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A8844">
      <w:pPr>
        <w:pStyle w:val="81"/>
        <w:ind w:left="0"/>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596255" cy="7910195"/>
            <wp:effectExtent l="0" t="0" r="4445" b="14605"/>
            <wp:docPr id="44" name="图片 44" descr="MX-C2622R_20260723_12020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MX-C2622R_20260723_120206_01"/>
                    <pic:cNvPicPr>
                      <a:picLocks noChangeAspect="1"/>
                    </pic:cNvPicPr>
                  </pic:nvPicPr>
                  <pic:blipFill>
                    <a:blip r:embed="rId10"/>
                    <a:stretch>
                      <a:fillRect/>
                    </a:stretch>
                  </pic:blipFill>
                  <pic:spPr>
                    <a:xfrm>
                      <a:off x="0" y="0"/>
                      <a:ext cx="5596255" cy="7910195"/>
                    </a:xfrm>
                    <a:prstGeom prst="rect">
                      <a:avLst/>
                    </a:prstGeom>
                  </pic:spPr>
                </pic:pic>
              </a:graphicData>
            </a:graphic>
          </wp:inline>
        </w:drawing>
      </w:r>
    </w:p>
    <w:p w14:paraId="20C20911">
      <w:pPr>
        <w:rPr>
          <w:rFonts w:hint="eastAsia"/>
          <w:color w:val="auto"/>
          <w:highlight w:val="none"/>
        </w:rPr>
      </w:pPr>
    </w:p>
    <w:p w14:paraId="0363D363">
      <w:pPr>
        <w:rPr>
          <w:rFonts w:eastAsia="仿宋_GB2312"/>
          <w:color w:val="auto"/>
          <w:sz w:val="36"/>
          <w:szCs w:val="36"/>
          <w:highlight w:val="none"/>
        </w:rPr>
      </w:pPr>
    </w:p>
    <w:p w14:paraId="621D27A9">
      <w:pPr>
        <w:rPr>
          <w:rFonts w:eastAsia="仿宋_GB2312"/>
          <w:color w:val="auto"/>
          <w:sz w:val="36"/>
          <w:szCs w:val="36"/>
          <w:highlight w:val="none"/>
        </w:rPr>
      </w:pPr>
    </w:p>
    <w:p w14:paraId="5C177774">
      <w:pPr>
        <w:adjustRightInd w:val="0"/>
        <w:snapToGrid w:val="0"/>
        <w:spacing w:line="288" w:lineRule="auto"/>
        <w:jc w:val="center"/>
        <w:rPr>
          <w:rFonts w:hint="eastAsia" w:eastAsia="楷体_GB2312"/>
          <w:color w:val="auto"/>
          <w:sz w:val="36"/>
          <w:szCs w:val="36"/>
          <w:highlight w:val="none"/>
          <w:lang w:eastAsia="zh-CN"/>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eastAsia="楷体_GB2312"/>
          <w:color w:val="auto"/>
          <w:sz w:val="36"/>
          <w:szCs w:val="36"/>
          <w:highlight w:val="none"/>
          <w:lang w:eastAsia="zh-CN"/>
        </w:rPr>
        <w:drawing>
          <wp:inline distT="0" distB="0" distL="114300" distR="114300">
            <wp:extent cx="5596255" cy="7910195"/>
            <wp:effectExtent l="0" t="0" r="4445" b="14605"/>
            <wp:docPr id="209" name="图片 209" descr="MX-C2622R_20260723_12354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MX-C2622R_20260723_123540_01"/>
                    <pic:cNvPicPr>
                      <a:picLocks noChangeAspect="1"/>
                    </pic:cNvPicPr>
                  </pic:nvPicPr>
                  <pic:blipFill>
                    <a:blip r:embed="rId11"/>
                    <a:stretch>
                      <a:fillRect/>
                    </a:stretch>
                  </pic:blipFill>
                  <pic:spPr>
                    <a:xfrm>
                      <a:off x="0" y="0"/>
                      <a:ext cx="5596255" cy="7910195"/>
                    </a:xfrm>
                    <a:prstGeom prst="rect">
                      <a:avLst/>
                    </a:prstGeom>
                  </pic:spPr>
                </pic:pic>
              </a:graphicData>
            </a:graphic>
          </wp:inline>
        </w:drawing>
      </w:r>
    </w:p>
    <w:p w14:paraId="6BDEA6ED">
      <w:pPr>
        <w:pStyle w:val="2"/>
        <w:rPr>
          <w:rFonts w:hint="eastAsia"/>
          <w:lang w:eastAsia="zh-CN"/>
        </w:rPr>
        <w:sectPr>
          <w:pgSz w:w="16838" w:h="11906" w:orient="landscape"/>
          <w:pgMar w:top="1440" w:right="1800" w:bottom="1440" w:left="1800"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lang w:eastAsia="zh-CN"/>
        </w:rPr>
        <w:drawing>
          <wp:inline distT="0" distB="0" distL="114300" distR="114300">
            <wp:extent cx="7705725" cy="5381625"/>
            <wp:effectExtent l="0" t="0" r="9525" b="9525"/>
            <wp:docPr id="227" name="图片 227" descr="编制单位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编制单位营业执照"/>
                    <pic:cNvPicPr>
                      <a:picLocks noChangeAspect="1"/>
                    </pic:cNvPicPr>
                  </pic:nvPicPr>
                  <pic:blipFill>
                    <a:blip r:embed="rId12"/>
                    <a:stretch>
                      <a:fillRect/>
                    </a:stretch>
                  </pic:blipFill>
                  <pic:spPr>
                    <a:xfrm>
                      <a:off x="0" y="0"/>
                      <a:ext cx="7705725" cy="5381625"/>
                    </a:xfrm>
                    <a:prstGeom prst="rect">
                      <a:avLst/>
                    </a:prstGeom>
                  </pic:spPr>
                </pic:pic>
              </a:graphicData>
            </a:graphic>
          </wp:inline>
        </w:drawing>
      </w:r>
    </w:p>
    <w:p w14:paraId="254A02B8">
      <w:pPr>
        <w:pStyle w:val="2"/>
        <w:rPr>
          <w:rFonts w:hint="eastAsia"/>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lang w:eastAsia="zh-CN"/>
        </w:rPr>
        <w:drawing>
          <wp:inline distT="0" distB="0" distL="114300" distR="114300">
            <wp:extent cx="5612765" cy="3973830"/>
            <wp:effectExtent l="0" t="0" r="6985" b="7620"/>
            <wp:docPr id="216" name="图片 216" descr="e06c4e735a8083fb08ed763b53d36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descr="e06c4e735a8083fb08ed763b53d36495"/>
                    <pic:cNvPicPr>
                      <a:picLocks noChangeAspect="1"/>
                    </pic:cNvPicPr>
                  </pic:nvPicPr>
                  <pic:blipFill>
                    <a:blip r:embed="rId13"/>
                    <a:stretch>
                      <a:fillRect/>
                    </a:stretch>
                  </pic:blipFill>
                  <pic:spPr>
                    <a:xfrm>
                      <a:off x="0" y="0"/>
                      <a:ext cx="5612765" cy="3973830"/>
                    </a:xfrm>
                    <a:prstGeom prst="rect">
                      <a:avLst/>
                    </a:prstGeom>
                  </pic:spPr>
                </pic:pic>
              </a:graphicData>
            </a:graphic>
          </wp:inline>
        </w:drawing>
      </w:r>
      <w:r>
        <w:rPr>
          <w:rFonts w:hint="eastAsia"/>
          <w:lang w:eastAsia="zh-CN"/>
        </w:rPr>
        <w:drawing>
          <wp:inline distT="0" distB="0" distL="114300" distR="114300">
            <wp:extent cx="5610860" cy="6480175"/>
            <wp:effectExtent l="0" t="0" r="8890" b="15875"/>
            <wp:docPr id="226" name="图片 226" descr="0ede12d21d843e78f4fa63f28c6f4d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0ede12d21d843e78f4fa63f28c6f4df3"/>
                    <pic:cNvPicPr>
                      <a:picLocks noChangeAspect="1"/>
                    </pic:cNvPicPr>
                  </pic:nvPicPr>
                  <pic:blipFill>
                    <a:blip r:embed="rId14"/>
                    <a:stretch>
                      <a:fillRect/>
                    </a:stretch>
                  </pic:blipFill>
                  <pic:spPr>
                    <a:xfrm>
                      <a:off x="0" y="0"/>
                      <a:ext cx="5610860" cy="6480175"/>
                    </a:xfrm>
                    <a:prstGeom prst="rect">
                      <a:avLst/>
                    </a:prstGeom>
                  </pic:spPr>
                </pic:pic>
              </a:graphicData>
            </a:graphic>
          </wp:inline>
        </w:drawing>
      </w:r>
    </w:p>
    <w:p w14:paraId="72E736CE">
      <w:pPr>
        <w:pStyle w:val="25"/>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一、建设项目基本情况</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22"/>
        <w:gridCol w:w="1832"/>
        <w:gridCol w:w="2179"/>
        <w:gridCol w:w="2830"/>
      </w:tblGrid>
      <w:tr w14:paraId="35B9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1" w:type="pct"/>
            <w:tcBorders>
              <w:tl2br w:val="nil"/>
              <w:tr2bl w:val="nil"/>
            </w:tcBorders>
            <w:tcMar>
              <w:top w:w="16" w:type="dxa"/>
              <w:left w:w="16" w:type="dxa"/>
              <w:right w:w="16" w:type="dxa"/>
            </w:tcMar>
            <w:vAlign w:val="center"/>
          </w:tcPr>
          <w:p w14:paraId="229B5EB4">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建设项目名称</w:t>
            </w:r>
          </w:p>
        </w:tc>
        <w:tc>
          <w:tcPr>
            <w:tcW w:w="3858" w:type="pct"/>
            <w:gridSpan w:val="3"/>
            <w:tcBorders>
              <w:tl2br w:val="nil"/>
              <w:tr2bl w:val="nil"/>
            </w:tcBorders>
            <w:vAlign w:val="center"/>
          </w:tcPr>
          <w:p w14:paraId="70F9F1C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原材料储存雨棚项目及原材料预处理项目</w:t>
            </w:r>
          </w:p>
        </w:tc>
      </w:tr>
      <w:tr w14:paraId="6715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1" w:type="pct"/>
            <w:tcBorders>
              <w:tl2br w:val="nil"/>
              <w:tr2bl w:val="nil"/>
            </w:tcBorders>
            <w:tcMar>
              <w:top w:w="16" w:type="dxa"/>
              <w:left w:w="16" w:type="dxa"/>
              <w:right w:w="16" w:type="dxa"/>
            </w:tcMar>
            <w:vAlign w:val="center"/>
          </w:tcPr>
          <w:p w14:paraId="615EF294">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项目代码</w:t>
            </w:r>
          </w:p>
        </w:tc>
        <w:tc>
          <w:tcPr>
            <w:tcW w:w="3858" w:type="pct"/>
            <w:gridSpan w:val="3"/>
            <w:tcBorders>
              <w:tl2br w:val="nil"/>
              <w:tr2bl w:val="nil"/>
            </w:tcBorders>
            <w:vAlign w:val="center"/>
          </w:tcPr>
          <w:p w14:paraId="39F57F99">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2307-210467-04-05-912371</w:t>
            </w:r>
          </w:p>
        </w:tc>
      </w:tr>
      <w:tr w14:paraId="66F9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1" w:type="pct"/>
            <w:tcBorders>
              <w:tl2br w:val="nil"/>
              <w:tr2bl w:val="nil"/>
            </w:tcBorders>
            <w:tcMar>
              <w:top w:w="16" w:type="dxa"/>
              <w:left w:w="16" w:type="dxa"/>
              <w:right w:w="16" w:type="dxa"/>
            </w:tcMar>
            <w:vAlign w:val="center"/>
          </w:tcPr>
          <w:p w14:paraId="131DF38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建设单位联系人</w:t>
            </w:r>
          </w:p>
        </w:tc>
        <w:tc>
          <w:tcPr>
            <w:tcW w:w="1033" w:type="pct"/>
            <w:tcBorders>
              <w:tl2br w:val="nil"/>
              <w:tr2bl w:val="nil"/>
            </w:tcBorders>
            <w:vAlign w:val="center"/>
          </w:tcPr>
          <w:p w14:paraId="35DF0798">
            <w:pPr>
              <w:keepNext w:val="0"/>
              <w:keepLines w:val="0"/>
              <w:suppressLineNumbers w:val="0"/>
              <w:adjustRightInd w:val="0"/>
              <w:snapToGrid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lang w:val="en-US" w:eastAsia="zh-CN"/>
              </w:rPr>
              <w:t>杨伟东</w:t>
            </w:r>
          </w:p>
        </w:tc>
        <w:tc>
          <w:tcPr>
            <w:tcW w:w="1229" w:type="pct"/>
            <w:tcBorders>
              <w:tl2br w:val="nil"/>
              <w:tr2bl w:val="nil"/>
            </w:tcBorders>
            <w:vAlign w:val="center"/>
          </w:tcPr>
          <w:p w14:paraId="3D3115E4">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联系方式</w:t>
            </w:r>
          </w:p>
        </w:tc>
        <w:tc>
          <w:tcPr>
            <w:tcW w:w="1595" w:type="pct"/>
            <w:tcBorders>
              <w:tl2br w:val="nil"/>
              <w:tr2bl w:val="nil"/>
            </w:tcBorders>
            <w:vAlign w:val="center"/>
          </w:tcPr>
          <w:p w14:paraId="443A3CC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18641307361</w:t>
            </w:r>
          </w:p>
        </w:tc>
      </w:tr>
      <w:tr w14:paraId="266A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1" w:type="pct"/>
            <w:tcBorders>
              <w:tl2br w:val="nil"/>
              <w:tr2bl w:val="nil"/>
            </w:tcBorders>
            <w:tcMar>
              <w:top w:w="16" w:type="dxa"/>
              <w:left w:w="16" w:type="dxa"/>
              <w:right w:w="16" w:type="dxa"/>
            </w:tcMar>
            <w:vAlign w:val="center"/>
          </w:tcPr>
          <w:p w14:paraId="28A9236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建设地点</w:t>
            </w:r>
          </w:p>
        </w:tc>
        <w:tc>
          <w:tcPr>
            <w:tcW w:w="3858" w:type="pct"/>
            <w:gridSpan w:val="3"/>
            <w:tcBorders>
              <w:tl2br w:val="nil"/>
              <w:tr2bl w:val="nil"/>
            </w:tcBorders>
            <w:vAlign w:val="center"/>
          </w:tcPr>
          <w:p w14:paraId="6BE6E64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辽宁省抚顺市东洲区龙祥路3号</w:t>
            </w:r>
          </w:p>
        </w:tc>
      </w:tr>
      <w:tr w14:paraId="68F3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1" w:type="pct"/>
            <w:tcBorders>
              <w:tl2br w:val="nil"/>
              <w:tr2bl w:val="nil"/>
            </w:tcBorders>
            <w:tcMar>
              <w:top w:w="16" w:type="dxa"/>
              <w:left w:w="16" w:type="dxa"/>
              <w:right w:w="16" w:type="dxa"/>
            </w:tcMar>
            <w:vAlign w:val="center"/>
          </w:tcPr>
          <w:p w14:paraId="1F6528DA">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地理坐标</w:t>
            </w:r>
          </w:p>
        </w:tc>
        <w:tc>
          <w:tcPr>
            <w:tcW w:w="3858" w:type="pct"/>
            <w:gridSpan w:val="3"/>
            <w:tcBorders>
              <w:tl2br w:val="nil"/>
              <w:tr2bl w:val="nil"/>
            </w:tcBorders>
            <w:vAlign w:val="center"/>
          </w:tcPr>
          <w:p w14:paraId="76B0B2DE">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w:t>
            </w:r>
            <w:r>
              <w:rPr>
                <w:color w:val="auto"/>
                <w:szCs w:val="21"/>
                <w:highlight w:val="none"/>
                <w:u w:val="single"/>
              </w:rPr>
              <w:t xml:space="preserve"> 12</w:t>
            </w:r>
            <w:r>
              <w:rPr>
                <w:rFonts w:hint="eastAsia"/>
                <w:color w:val="auto"/>
                <w:szCs w:val="21"/>
                <w:highlight w:val="none"/>
                <w:u w:val="single"/>
                <w:lang w:val="en-US" w:eastAsia="zh-CN"/>
              </w:rPr>
              <w:t>4</w:t>
            </w:r>
            <w:r>
              <w:rPr>
                <w:color w:val="auto"/>
                <w:szCs w:val="21"/>
                <w:highlight w:val="none"/>
                <w:u w:val="single"/>
              </w:rPr>
              <w:t xml:space="preserve"> </w:t>
            </w:r>
            <w:r>
              <w:rPr>
                <w:color w:val="auto"/>
                <w:szCs w:val="21"/>
                <w:highlight w:val="none"/>
              </w:rPr>
              <w:t>度</w:t>
            </w:r>
            <w:r>
              <w:rPr>
                <w:color w:val="auto"/>
                <w:szCs w:val="21"/>
                <w:highlight w:val="none"/>
                <w:u w:val="single"/>
              </w:rPr>
              <w:t xml:space="preserve"> </w:t>
            </w:r>
            <w:r>
              <w:rPr>
                <w:rFonts w:hint="eastAsia"/>
                <w:color w:val="auto"/>
                <w:szCs w:val="21"/>
                <w:highlight w:val="none"/>
                <w:u w:val="single"/>
              </w:rPr>
              <w:t>2</w:t>
            </w:r>
            <w:r>
              <w:rPr>
                <w:color w:val="auto"/>
                <w:szCs w:val="21"/>
                <w:highlight w:val="none"/>
                <w:u w:val="single"/>
              </w:rPr>
              <w:t xml:space="preserve"> </w:t>
            </w:r>
            <w:r>
              <w:rPr>
                <w:color w:val="auto"/>
                <w:szCs w:val="21"/>
                <w:highlight w:val="none"/>
              </w:rPr>
              <w:t>分</w:t>
            </w:r>
            <w:r>
              <w:rPr>
                <w:color w:val="auto"/>
                <w:szCs w:val="21"/>
                <w:highlight w:val="none"/>
                <w:u w:val="single"/>
              </w:rPr>
              <w:t xml:space="preserve"> </w:t>
            </w:r>
            <w:r>
              <w:rPr>
                <w:rFonts w:hint="eastAsia"/>
                <w:color w:val="auto"/>
                <w:szCs w:val="21"/>
                <w:highlight w:val="none"/>
                <w:u w:val="single"/>
                <w:lang w:val="en-US" w:eastAsia="zh-CN"/>
              </w:rPr>
              <w:t>45.567</w:t>
            </w:r>
            <w:r>
              <w:rPr>
                <w:color w:val="auto"/>
                <w:szCs w:val="21"/>
                <w:highlight w:val="none"/>
                <w:u w:val="single"/>
              </w:rPr>
              <w:t xml:space="preserve"> </w:t>
            </w:r>
            <w:r>
              <w:rPr>
                <w:color w:val="auto"/>
                <w:szCs w:val="21"/>
                <w:highlight w:val="none"/>
              </w:rPr>
              <w:t>秒，</w:t>
            </w:r>
            <w:r>
              <w:rPr>
                <w:color w:val="auto"/>
                <w:szCs w:val="21"/>
                <w:highlight w:val="none"/>
                <w:u w:val="single"/>
              </w:rPr>
              <w:t xml:space="preserve"> 41 </w:t>
            </w:r>
            <w:r>
              <w:rPr>
                <w:color w:val="auto"/>
                <w:szCs w:val="21"/>
                <w:highlight w:val="none"/>
              </w:rPr>
              <w:t>度</w:t>
            </w:r>
            <w:r>
              <w:rPr>
                <w:color w:val="auto"/>
                <w:szCs w:val="21"/>
                <w:highlight w:val="none"/>
                <w:u w:val="single"/>
              </w:rPr>
              <w:t xml:space="preserve"> </w:t>
            </w:r>
            <w:r>
              <w:rPr>
                <w:rFonts w:hint="eastAsia"/>
                <w:color w:val="auto"/>
                <w:szCs w:val="21"/>
                <w:highlight w:val="none"/>
                <w:u w:val="single"/>
                <w:lang w:val="en-US" w:eastAsia="zh-CN"/>
              </w:rPr>
              <w:t>48</w:t>
            </w:r>
            <w:r>
              <w:rPr>
                <w:color w:val="auto"/>
                <w:szCs w:val="21"/>
                <w:highlight w:val="none"/>
                <w:u w:val="single"/>
              </w:rPr>
              <w:t xml:space="preserve"> </w:t>
            </w:r>
            <w:r>
              <w:rPr>
                <w:color w:val="auto"/>
                <w:szCs w:val="21"/>
                <w:highlight w:val="none"/>
              </w:rPr>
              <w:t>分</w:t>
            </w:r>
            <w:r>
              <w:rPr>
                <w:color w:val="auto"/>
                <w:szCs w:val="21"/>
                <w:highlight w:val="none"/>
                <w:u w:val="single"/>
              </w:rPr>
              <w:t xml:space="preserve"> </w:t>
            </w:r>
            <w:r>
              <w:rPr>
                <w:rFonts w:hint="eastAsia"/>
                <w:color w:val="auto"/>
                <w:szCs w:val="21"/>
                <w:highlight w:val="none"/>
                <w:u w:val="single"/>
                <w:lang w:val="en-US" w:eastAsia="zh-CN"/>
              </w:rPr>
              <w:t>55.326</w:t>
            </w:r>
            <w:r>
              <w:rPr>
                <w:color w:val="auto"/>
                <w:szCs w:val="21"/>
                <w:highlight w:val="none"/>
                <w:u w:val="single"/>
              </w:rPr>
              <w:t xml:space="preserve"> </w:t>
            </w:r>
            <w:r>
              <w:rPr>
                <w:color w:val="auto"/>
                <w:szCs w:val="21"/>
                <w:highlight w:val="none"/>
              </w:rPr>
              <w:t>秒）</w:t>
            </w:r>
          </w:p>
        </w:tc>
      </w:tr>
      <w:tr w14:paraId="66B0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141" w:type="pct"/>
            <w:tcBorders>
              <w:tl2br w:val="nil"/>
              <w:tr2bl w:val="nil"/>
            </w:tcBorders>
            <w:tcMar>
              <w:top w:w="16" w:type="dxa"/>
              <w:left w:w="16" w:type="dxa"/>
              <w:right w:w="16" w:type="dxa"/>
            </w:tcMar>
            <w:vAlign w:val="center"/>
          </w:tcPr>
          <w:p w14:paraId="022540C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国民经济</w:t>
            </w:r>
          </w:p>
          <w:p w14:paraId="33454B7E">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行业类别</w:t>
            </w:r>
          </w:p>
        </w:tc>
        <w:tc>
          <w:tcPr>
            <w:tcW w:w="1033" w:type="pct"/>
            <w:tcBorders>
              <w:tl2br w:val="nil"/>
              <w:tr2bl w:val="nil"/>
            </w:tcBorders>
            <w:vAlign w:val="center"/>
          </w:tcPr>
          <w:p w14:paraId="76EB7179">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C</w:t>
            </w:r>
            <w:r>
              <w:rPr>
                <w:rFonts w:hint="eastAsia"/>
                <w:color w:val="auto"/>
                <w:szCs w:val="21"/>
                <w:highlight w:val="none"/>
              </w:rPr>
              <w:t>2511原油加工及石油制品制造</w:t>
            </w:r>
          </w:p>
        </w:tc>
        <w:tc>
          <w:tcPr>
            <w:tcW w:w="1229" w:type="pct"/>
            <w:tcBorders>
              <w:tl2br w:val="nil"/>
              <w:tr2bl w:val="nil"/>
            </w:tcBorders>
            <w:vAlign w:val="center"/>
          </w:tcPr>
          <w:p w14:paraId="458EFD54">
            <w:pPr>
              <w:keepNext w:val="0"/>
              <w:keepLines w:val="0"/>
              <w:suppressLineNumbers w:val="0"/>
              <w:adjustRightInd w:val="0"/>
              <w:snapToGrid w:val="0"/>
              <w:spacing w:before="0" w:beforeAutospacing="0" w:after="0" w:afterAutospacing="0"/>
              <w:ind w:left="0" w:right="0"/>
              <w:jc w:val="center"/>
              <w:rPr>
                <w:color w:val="auto"/>
                <w:szCs w:val="21"/>
                <w:highlight w:val="none"/>
              </w:rPr>
            </w:pPr>
            <w:bookmarkStart w:id="0" w:name="_Hlk49843745"/>
            <w:r>
              <w:rPr>
                <w:color w:val="auto"/>
                <w:szCs w:val="21"/>
                <w:highlight w:val="none"/>
              </w:rPr>
              <w:t>建设项目</w:t>
            </w:r>
          </w:p>
          <w:p w14:paraId="6F8D3E7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行业类别</w:t>
            </w:r>
            <w:bookmarkEnd w:id="0"/>
          </w:p>
        </w:tc>
        <w:tc>
          <w:tcPr>
            <w:tcW w:w="1595" w:type="pct"/>
            <w:tcBorders>
              <w:tl2br w:val="nil"/>
              <w:tr2bl w:val="nil"/>
            </w:tcBorders>
            <w:vAlign w:val="center"/>
          </w:tcPr>
          <w:p w14:paraId="4F462CAD">
            <w:pPr>
              <w:keepNext w:val="0"/>
              <w:keepLines w:val="0"/>
              <w:suppressLineNumbers w:val="0"/>
              <w:adjustRightInd w:val="0"/>
              <w:snapToGrid w:val="0"/>
              <w:spacing w:before="0" w:beforeAutospacing="0" w:after="0" w:afterAutospacing="0"/>
              <w:ind w:left="0" w:right="0"/>
              <w:jc w:val="left"/>
              <w:rPr>
                <w:rFonts w:hint="eastAsia"/>
                <w:color w:val="auto"/>
                <w:szCs w:val="21"/>
                <w:highlight w:val="none"/>
                <w:lang w:val="en-US" w:eastAsia="zh-CN"/>
              </w:rPr>
            </w:pPr>
            <w:r>
              <w:rPr>
                <w:rFonts w:hint="eastAsia"/>
                <w:color w:val="auto"/>
                <w:szCs w:val="21"/>
                <w:highlight w:val="none"/>
                <w:lang w:val="en-US" w:eastAsia="zh-CN"/>
              </w:rPr>
              <w:t>二十二、石油、煤炭及其它燃料加工业</w:t>
            </w:r>
          </w:p>
          <w:p w14:paraId="0948B750">
            <w:pPr>
              <w:keepNext w:val="0"/>
              <w:keepLines w:val="0"/>
              <w:suppressLineNumbers w:val="0"/>
              <w:adjustRightInd w:val="0"/>
              <w:snapToGrid w:val="0"/>
              <w:spacing w:before="0" w:beforeAutospacing="0" w:after="0" w:afterAutospacing="0"/>
              <w:ind w:left="0" w:right="0"/>
              <w:jc w:val="left"/>
              <w:rPr>
                <w:rFonts w:hint="default" w:eastAsia="宋体"/>
                <w:color w:val="auto"/>
                <w:szCs w:val="21"/>
                <w:highlight w:val="none"/>
                <w:lang w:val="en-US" w:eastAsia="zh-CN"/>
              </w:rPr>
            </w:pPr>
            <w:r>
              <w:rPr>
                <w:rFonts w:hint="eastAsia"/>
                <w:color w:val="auto"/>
                <w:szCs w:val="21"/>
                <w:highlight w:val="none"/>
                <w:lang w:val="en-US" w:eastAsia="zh-CN"/>
              </w:rPr>
              <w:t>精炼石油产品制造251</w:t>
            </w:r>
          </w:p>
        </w:tc>
      </w:tr>
      <w:tr w14:paraId="584E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141" w:type="pct"/>
            <w:tcBorders>
              <w:tl2br w:val="nil"/>
              <w:tr2bl w:val="nil"/>
            </w:tcBorders>
            <w:tcMar>
              <w:top w:w="16" w:type="dxa"/>
              <w:left w:w="16" w:type="dxa"/>
              <w:right w:w="16" w:type="dxa"/>
            </w:tcMar>
            <w:vAlign w:val="center"/>
          </w:tcPr>
          <w:p w14:paraId="11DE4BF6">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建设性质</w:t>
            </w:r>
          </w:p>
        </w:tc>
        <w:tc>
          <w:tcPr>
            <w:tcW w:w="1033" w:type="pct"/>
            <w:tcBorders>
              <w:tl2br w:val="nil"/>
              <w:tr2bl w:val="nil"/>
            </w:tcBorders>
            <w:vAlign w:val="center"/>
          </w:tcPr>
          <w:p w14:paraId="003FB3F1">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lang w:eastAsia="zh-CN"/>
              </w:rPr>
              <w:t>□</w:t>
            </w:r>
            <w:r>
              <w:rPr>
                <w:color w:val="auto"/>
                <w:szCs w:val="21"/>
                <w:highlight w:val="none"/>
              </w:rPr>
              <w:t>新建（迁建）</w:t>
            </w:r>
          </w:p>
          <w:p w14:paraId="4F416066">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lang w:eastAsia="zh-CN"/>
              </w:rPr>
              <w:t>□</w:t>
            </w:r>
            <w:r>
              <w:rPr>
                <w:color w:val="auto"/>
                <w:szCs w:val="21"/>
                <w:highlight w:val="none"/>
              </w:rPr>
              <w:t>改建</w:t>
            </w:r>
          </w:p>
          <w:p w14:paraId="2ECBE34E">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lang w:eastAsia="zh-CN"/>
              </w:rPr>
              <w:t>□</w:t>
            </w:r>
            <w:r>
              <w:rPr>
                <w:color w:val="auto"/>
                <w:szCs w:val="21"/>
                <w:highlight w:val="none"/>
              </w:rPr>
              <w:t>扩建</w:t>
            </w:r>
          </w:p>
          <w:p w14:paraId="02174E50">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lang w:eastAsia="zh-CN"/>
              </w:rPr>
              <w:t>☑</w:t>
            </w:r>
            <w:r>
              <w:rPr>
                <w:color w:val="auto"/>
                <w:szCs w:val="21"/>
                <w:highlight w:val="none"/>
              </w:rPr>
              <w:t>技术改造</w:t>
            </w:r>
          </w:p>
        </w:tc>
        <w:tc>
          <w:tcPr>
            <w:tcW w:w="1229" w:type="pct"/>
            <w:tcBorders>
              <w:tl2br w:val="nil"/>
              <w:tr2bl w:val="nil"/>
            </w:tcBorders>
            <w:vAlign w:val="center"/>
          </w:tcPr>
          <w:p w14:paraId="48FAFB6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建设项目</w:t>
            </w:r>
          </w:p>
          <w:p w14:paraId="46D05855">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申报情形</w:t>
            </w:r>
          </w:p>
        </w:tc>
        <w:tc>
          <w:tcPr>
            <w:tcW w:w="1595" w:type="pct"/>
            <w:tcBorders>
              <w:tl2br w:val="nil"/>
              <w:tr2bl w:val="nil"/>
            </w:tcBorders>
            <w:vAlign w:val="center"/>
          </w:tcPr>
          <w:p w14:paraId="3EA8EA1B">
            <w:pPr>
              <w:keepNext w:val="0"/>
              <w:keepLines w:val="0"/>
              <w:suppressLineNumbers w:val="0"/>
              <w:spacing w:before="0" w:beforeAutospacing="0" w:after="0" w:afterAutospacing="0"/>
              <w:ind w:left="0" w:right="0"/>
              <w:jc w:val="left"/>
              <w:rPr>
                <w:color w:val="auto"/>
                <w:szCs w:val="21"/>
                <w:highlight w:val="none"/>
              </w:rPr>
            </w:pPr>
            <w:r>
              <w:rPr>
                <w:color w:val="auto"/>
                <w:szCs w:val="21"/>
                <w:highlight w:val="none"/>
              </w:rPr>
              <w:t>☑首次申报项目</w:t>
            </w:r>
          </w:p>
          <w:p w14:paraId="057C5F6E">
            <w:pPr>
              <w:keepNext w:val="0"/>
              <w:keepLines w:val="0"/>
              <w:suppressLineNumbers w:val="0"/>
              <w:spacing w:before="0" w:beforeAutospacing="0" w:after="0" w:afterAutospacing="0"/>
              <w:ind w:left="0" w:right="0"/>
              <w:jc w:val="left"/>
              <w:rPr>
                <w:color w:val="auto"/>
                <w:szCs w:val="21"/>
                <w:highlight w:val="none"/>
              </w:rPr>
            </w:pPr>
            <w:r>
              <w:rPr>
                <w:color w:val="auto"/>
                <w:szCs w:val="21"/>
                <w:highlight w:val="none"/>
              </w:rPr>
              <w:t>□不予批准后再次申报项目</w:t>
            </w:r>
          </w:p>
          <w:p w14:paraId="618F79C3">
            <w:pPr>
              <w:keepNext w:val="0"/>
              <w:keepLines w:val="0"/>
              <w:suppressLineNumbers w:val="0"/>
              <w:spacing w:before="0" w:beforeAutospacing="0" w:after="0" w:afterAutospacing="0"/>
              <w:ind w:left="0" w:right="0"/>
              <w:jc w:val="left"/>
              <w:rPr>
                <w:color w:val="auto"/>
                <w:szCs w:val="21"/>
                <w:highlight w:val="none"/>
              </w:rPr>
            </w:pPr>
            <w:r>
              <w:rPr>
                <w:color w:val="auto"/>
                <w:szCs w:val="21"/>
                <w:highlight w:val="none"/>
              </w:rPr>
              <w:t>□超五年重新审核项目</w:t>
            </w:r>
          </w:p>
          <w:p w14:paraId="76E73807">
            <w:pPr>
              <w:keepNext w:val="0"/>
              <w:keepLines w:val="0"/>
              <w:suppressLineNumbers w:val="0"/>
              <w:spacing w:before="0" w:beforeAutospacing="0" w:after="0" w:afterAutospacing="0"/>
              <w:ind w:left="0" w:right="0"/>
              <w:jc w:val="left"/>
              <w:rPr>
                <w:color w:val="auto"/>
                <w:szCs w:val="21"/>
                <w:highlight w:val="none"/>
              </w:rPr>
            </w:pPr>
            <w:r>
              <w:rPr>
                <w:color w:val="auto"/>
                <w:szCs w:val="21"/>
                <w:highlight w:val="none"/>
              </w:rPr>
              <w:t>□重大变动重新报批项目</w:t>
            </w:r>
          </w:p>
        </w:tc>
      </w:tr>
      <w:tr w14:paraId="59F4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141" w:type="pct"/>
            <w:tcBorders>
              <w:tl2br w:val="nil"/>
              <w:tr2bl w:val="nil"/>
            </w:tcBorders>
            <w:tcMar>
              <w:top w:w="16" w:type="dxa"/>
              <w:left w:w="16" w:type="dxa"/>
              <w:right w:w="16" w:type="dxa"/>
            </w:tcMar>
            <w:vAlign w:val="center"/>
          </w:tcPr>
          <w:p w14:paraId="4157BFE0">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项目审批（核准/</w:t>
            </w:r>
          </w:p>
          <w:p w14:paraId="4E4364EA">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备案）部门（选填）</w:t>
            </w:r>
          </w:p>
        </w:tc>
        <w:tc>
          <w:tcPr>
            <w:tcW w:w="1033" w:type="pct"/>
            <w:tcBorders>
              <w:tl2br w:val="nil"/>
              <w:tr2bl w:val="nil"/>
            </w:tcBorders>
            <w:vAlign w:val="center"/>
          </w:tcPr>
          <w:p w14:paraId="6B0ECE1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w:t>
            </w:r>
          </w:p>
        </w:tc>
        <w:tc>
          <w:tcPr>
            <w:tcW w:w="1229" w:type="pct"/>
            <w:tcBorders>
              <w:tl2br w:val="nil"/>
              <w:tr2bl w:val="nil"/>
            </w:tcBorders>
            <w:vAlign w:val="center"/>
          </w:tcPr>
          <w:p w14:paraId="7B0678D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项目审批（核准/</w:t>
            </w:r>
          </w:p>
          <w:p w14:paraId="091F722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备案）文号（选填）</w:t>
            </w:r>
          </w:p>
        </w:tc>
        <w:tc>
          <w:tcPr>
            <w:tcW w:w="1595" w:type="pct"/>
            <w:tcBorders>
              <w:tl2br w:val="nil"/>
              <w:tr2bl w:val="nil"/>
            </w:tcBorders>
            <w:vAlign w:val="center"/>
          </w:tcPr>
          <w:p w14:paraId="540C4AB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w:t>
            </w:r>
          </w:p>
        </w:tc>
      </w:tr>
      <w:tr w14:paraId="5BB0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1" w:type="pct"/>
            <w:tcBorders>
              <w:tl2br w:val="nil"/>
              <w:tr2bl w:val="nil"/>
            </w:tcBorders>
            <w:tcMar>
              <w:top w:w="16" w:type="dxa"/>
              <w:left w:w="16" w:type="dxa"/>
              <w:right w:w="16" w:type="dxa"/>
            </w:tcMar>
            <w:vAlign w:val="center"/>
          </w:tcPr>
          <w:p w14:paraId="75354CBA">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总投资（万元）</w:t>
            </w:r>
          </w:p>
        </w:tc>
        <w:tc>
          <w:tcPr>
            <w:tcW w:w="1033" w:type="pct"/>
            <w:tcBorders>
              <w:tl2br w:val="nil"/>
              <w:tr2bl w:val="nil"/>
            </w:tcBorders>
            <w:vAlign w:val="center"/>
          </w:tcPr>
          <w:p w14:paraId="1E87C887">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1200</w:t>
            </w:r>
          </w:p>
        </w:tc>
        <w:tc>
          <w:tcPr>
            <w:tcW w:w="1229" w:type="pct"/>
            <w:tcBorders>
              <w:tl2br w:val="nil"/>
              <w:tr2bl w:val="nil"/>
            </w:tcBorders>
            <w:tcMar>
              <w:top w:w="16" w:type="dxa"/>
              <w:left w:w="16" w:type="dxa"/>
              <w:right w:w="16" w:type="dxa"/>
            </w:tcMar>
            <w:vAlign w:val="center"/>
          </w:tcPr>
          <w:p w14:paraId="3CC482D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环保投资（万元）</w:t>
            </w:r>
          </w:p>
        </w:tc>
        <w:tc>
          <w:tcPr>
            <w:tcW w:w="1595" w:type="pct"/>
            <w:tcBorders>
              <w:tl2br w:val="nil"/>
              <w:tr2bl w:val="nil"/>
            </w:tcBorders>
            <w:vAlign w:val="center"/>
          </w:tcPr>
          <w:p w14:paraId="38F0E55A">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52.5</w:t>
            </w:r>
          </w:p>
        </w:tc>
      </w:tr>
      <w:tr w14:paraId="50EA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1" w:type="pct"/>
            <w:tcBorders>
              <w:tl2br w:val="nil"/>
              <w:tr2bl w:val="nil"/>
            </w:tcBorders>
            <w:tcMar>
              <w:top w:w="16" w:type="dxa"/>
              <w:left w:w="16" w:type="dxa"/>
              <w:right w:w="16" w:type="dxa"/>
            </w:tcMar>
            <w:vAlign w:val="center"/>
          </w:tcPr>
          <w:p w14:paraId="02150C6A">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环保投资占比（%）</w:t>
            </w:r>
          </w:p>
        </w:tc>
        <w:tc>
          <w:tcPr>
            <w:tcW w:w="1033" w:type="pct"/>
            <w:tcBorders>
              <w:tl2br w:val="nil"/>
              <w:tr2bl w:val="nil"/>
            </w:tcBorders>
            <w:vAlign w:val="center"/>
          </w:tcPr>
          <w:p w14:paraId="0907B9A4">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4.3</w:t>
            </w:r>
          </w:p>
        </w:tc>
        <w:tc>
          <w:tcPr>
            <w:tcW w:w="1229" w:type="pct"/>
            <w:tcBorders>
              <w:tl2br w:val="nil"/>
              <w:tr2bl w:val="nil"/>
            </w:tcBorders>
            <w:tcMar>
              <w:top w:w="16" w:type="dxa"/>
              <w:left w:w="16" w:type="dxa"/>
              <w:right w:w="16" w:type="dxa"/>
            </w:tcMar>
            <w:vAlign w:val="center"/>
          </w:tcPr>
          <w:p w14:paraId="61D56ACE">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施工工期</w:t>
            </w:r>
          </w:p>
        </w:tc>
        <w:tc>
          <w:tcPr>
            <w:tcW w:w="1595" w:type="pct"/>
            <w:tcBorders>
              <w:tl2br w:val="nil"/>
              <w:tr2bl w:val="nil"/>
            </w:tcBorders>
            <w:vAlign w:val="center"/>
          </w:tcPr>
          <w:p w14:paraId="4BF5C61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1个月</w:t>
            </w:r>
          </w:p>
        </w:tc>
      </w:tr>
      <w:tr w14:paraId="4715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1" w:type="pct"/>
            <w:tcBorders>
              <w:tl2br w:val="nil"/>
              <w:tr2bl w:val="nil"/>
            </w:tcBorders>
            <w:tcMar>
              <w:top w:w="16" w:type="dxa"/>
              <w:left w:w="16" w:type="dxa"/>
              <w:right w:w="16" w:type="dxa"/>
            </w:tcMar>
            <w:vAlign w:val="center"/>
          </w:tcPr>
          <w:p w14:paraId="152AAEA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是否开工建设</w:t>
            </w:r>
          </w:p>
        </w:tc>
        <w:tc>
          <w:tcPr>
            <w:tcW w:w="1033" w:type="pct"/>
            <w:tcBorders>
              <w:tl2br w:val="nil"/>
              <w:tr2bl w:val="nil"/>
            </w:tcBorders>
            <w:vAlign w:val="center"/>
          </w:tcPr>
          <w:p w14:paraId="025D72C7">
            <w:pPr>
              <w:keepNext w:val="0"/>
              <w:keepLines w:val="0"/>
              <w:suppressLineNumbers w:val="0"/>
              <w:adjustRightInd w:val="0"/>
              <w:snapToGrid w:val="0"/>
              <w:spacing w:before="0" w:beforeAutospacing="0" w:after="0" w:afterAutospacing="0"/>
              <w:ind w:left="0" w:right="0"/>
              <w:rPr>
                <w:color w:val="auto"/>
                <w:szCs w:val="21"/>
                <w:highlight w:val="none"/>
              </w:rPr>
            </w:pPr>
            <w:r>
              <w:rPr>
                <w:rFonts w:hint="eastAsia"/>
                <w:color w:val="auto"/>
                <w:szCs w:val="21"/>
                <w:highlight w:val="none"/>
                <w:lang w:eastAsia="zh-CN"/>
              </w:rPr>
              <w:t>☑</w:t>
            </w:r>
            <w:r>
              <w:rPr>
                <w:color w:val="auto"/>
                <w:szCs w:val="21"/>
                <w:highlight w:val="none"/>
              </w:rPr>
              <w:t>否</w:t>
            </w:r>
          </w:p>
          <w:p w14:paraId="1713B188">
            <w:pPr>
              <w:keepNext w:val="0"/>
              <w:keepLines w:val="0"/>
              <w:suppressLineNumbers w:val="0"/>
              <w:adjustRightInd w:val="0"/>
              <w:snapToGrid w:val="0"/>
              <w:spacing w:before="0" w:beforeAutospacing="0" w:after="0" w:afterAutospacing="0"/>
              <w:ind w:left="0" w:right="0"/>
              <w:rPr>
                <w:color w:val="auto"/>
                <w:szCs w:val="21"/>
                <w:highlight w:val="none"/>
              </w:rPr>
            </w:pPr>
            <w:r>
              <w:rPr>
                <w:rFonts w:hint="eastAsia"/>
                <w:color w:val="auto"/>
                <w:szCs w:val="21"/>
                <w:highlight w:val="none"/>
                <w:lang w:eastAsia="zh-CN"/>
              </w:rPr>
              <w:t>□</w:t>
            </w:r>
            <w:r>
              <w:rPr>
                <w:color w:val="auto"/>
                <w:szCs w:val="21"/>
                <w:highlight w:val="none"/>
              </w:rPr>
              <w:t>是</w:t>
            </w:r>
          </w:p>
        </w:tc>
        <w:tc>
          <w:tcPr>
            <w:tcW w:w="1229" w:type="pct"/>
            <w:tcBorders>
              <w:tl2br w:val="nil"/>
              <w:tr2bl w:val="nil"/>
            </w:tcBorders>
            <w:tcMar>
              <w:top w:w="16" w:type="dxa"/>
              <w:left w:w="16" w:type="dxa"/>
              <w:right w:w="16" w:type="dxa"/>
            </w:tcMar>
            <w:vAlign w:val="center"/>
          </w:tcPr>
          <w:p w14:paraId="747F9376">
            <w:pPr>
              <w:keepNext w:val="0"/>
              <w:keepLines w:val="0"/>
              <w:suppressLineNumbers w:val="0"/>
              <w:adjustRightInd w:val="0"/>
              <w:snapToGrid w:val="0"/>
              <w:spacing w:before="0" w:beforeAutospacing="0" w:after="0" w:afterAutospacing="0"/>
              <w:ind w:left="0" w:right="0"/>
              <w:jc w:val="center"/>
              <w:rPr>
                <w:color w:val="auto"/>
                <w:spacing w:val="-6"/>
                <w:szCs w:val="21"/>
                <w:highlight w:val="none"/>
              </w:rPr>
            </w:pPr>
            <w:r>
              <w:rPr>
                <w:color w:val="auto"/>
                <w:spacing w:val="-6"/>
                <w:szCs w:val="21"/>
                <w:highlight w:val="none"/>
              </w:rPr>
              <w:t>用地（用海）</w:t>
            </w:r>
          </w:p>
          <w:p w14:paraId="5AA2040E">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pacing w:val="-6"/>
                <w:szCs w:val="21"/>
                <w:highlight w:val="none"/>
              </w:rPr>
              <w:t>面积（m</w:t>
            </w:r>
            <w:r>
              <w:rPr>
                <w:color w:val="auto"/>
                <w:spacing w:val="-6"/>
                <w:szCs w:val="21"/>
                <w:highlight w:val="none"/>
                <w:vertAlign w:val="superscript"/>
              </w:rPr>
              <w:t>2</w:t>
            </w:r>
            <w:r>
              <w:rPr>
                <w:color w:val="auto"/>
                <w:spacing w:val="-6"/>
                <w:szCs w:val="21"/>
                <w:highlight w:val="none"/>
              </w:rPr>
              <w:t>）</w:t>
            </w:r>
          </w:p>
        </w:tc>
        <w:tc>
          <w:tcPr>
            <w:tcW w:w="1595" w:type="pct"/>
            <w:tcBorders>
              <w:tl2br w:val="nil"/>
              <w:tr2bl w:val="nil"/>
            </w:tcBorders>
            <w:vAlign w:val="center"/>
          </w:tcPr>
          <w:p w14:paraId="7E246ABB">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highlight w:val="none"/>
              </w:rPr>
              <w:t>103702m</w:t>
            </w:r>
            <w:r>
              <w:rPr>
                <w:color w:val="auto"/>
                <w:highlight w:val="none"/>
                <w:vertAlign w:val="superscript"/>
              </w:rPr>
              <w:t>2</w:t>
            </w:r>
          </w:p>
        </w:tc>
      </w:tr>
      <w:tr w14:paraId="4DB1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1" w:type="pct"/>
            <w:tcBorders>
              <w:tl2br w:val="nil"/>
              <w:tr2bl w:val="nil"/>
            </w:tcBorders>
            <w:vAlign w:val="center"/>
          </w:tcPr>
          <w:p w14:paraId="686119A0">
            <w:pPr>
              <w:keepNext w:val="0"/>
              <w:keepLines w:val="0"/>
              <w:suppressLineNumbers w:val="0"/>
              <w:autoSpaceDE w:val="0"/>
              <w:autoSpaceDN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专项评价设置情况</w:t>
            </w:r>
          </w:p>
        </w:tc>
        <w:tc>
          <w:tcPr>
            <w:tcW w:w="3858" w:type="pct"/>
            <w:gridSpan w:val="3"/>
            <w:tcBorders>
              <w:tl2br w:val="nil"/>
              <w:tr2bl w:val="nil"/>
            </w:tcBorders>
            <w:vAlign w:val="center"/>
          </w:tcPr>
          <w:p w14:paraId="7277FC9B">
            <w:pPr>
              <w:pStyle w:val="2"/>
              <w:keepNext w:val="0"/>
              <w:keepLines w:val="0"/>
              <w:suppressLineNumbers w:val="0"/>
              <w:snapToGrid/>
              <w:spacing w:before="0" w:beforeAutospacing="0" w:after="0" w:afterAutospacing="0" w:line="360" w:lineRule="auto"/>
              <w:ind w:left="0" w:right="0" w:firstLine="480" w:firstLineChars="200"/>
              <w:rPr>
                <w:color w:val="auto"/>
                <w:kern w:val="2"/>
                <w:sz w:val="24"/>
                <w:szCs w:val="24"/>
                <w:highlight w:val="none"/>
              </w:rPr>
            </w:pPr>
            <w:r>
              <w:rPr>
                <w:rFonts w:hint="eastAsia"/>
                <w:color w:val="auto"/>
                <w:kern w:val="2"/>
                <w:sz w:val="24"/>
                <w:szCs w:val="24"/>
                <w:highlight w:val="none"/>
              </w:rPr>
              <w:t>根据《建设项目环境影响报告表编制技术指南》（试行）专项评价设置原则，本项目无需设置专项评价，具体分析详见下表。</w:t>
            </w:r>
          </w:p>
          <w:p w14:paraId="0318A0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4"/>
                <w:highlight w:val="none"/>
              </w:rPr>
            </w:pPr>
            <w:r>
              <w:rPr>
                <w:rFonts w:hint="eastAsia"/>
                <w:color w:val="auto"/>
                <w:sz w:val="24"/>
                <w:highlight w:val="none"/>
              </w:rPr>
              <w:t>表1-1  专项评价设置原则表</w:t>
            </w:r>
          </w:p>
          <w:tbl>
            <w:tblPr>
              <w:tblStyle w:val="2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89"/>
              <w:gridCol w:w="2816"/>
              <w:gridCol w:w="1932"/>
              <w:gridCol w:w="773"/>
            </w:tblGrid>
            <w:tr w14:paraId="5D1CC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1090" w:type="dxa"/>
                  <w:vAlign w:val="center"/>
                </w:tcPr>
                <w:p w14:paraId="0BB81C03">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专项评价的类别</w:t>
                  </w:r>
                </w:p>
              </w:tc>
              <w:tc>
                <w:tcPr>
                  <w:tcW w:w="2820" w:type="dxa"/>
                  <w:vAlign w:val="center"/>
                </w:tcPr>
                <w:p w14:paraId="268E4A31">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设置原则</w:t>
                  </w:r>
                </w:p>
              </w:tc>
              <w:tc>
                <w:tcPr>
                  <w:tcW w:w="1935" w:type="dxa"/>
                  <w:vAlign w:val="center"/>
                </w:tcPr>
                <w:p w14:paraId="26029F94">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本项目</w:t>
                  </w:r>
                </w:p>
              </w:tc>
              <w:tc>
                <w:tcPr>
                  <w:tcW w:w="774" w:type="dxa"/>
                  <w:vAlign w:val="center"/>
                </w:tcPr>
                <w:p w14:paraId="3DA470D3">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是否设置</w:t>
                  </w:r>
                </w:p>
              </w:tc>
            </w:tr>
            <w:tr w14:paraId="4FF15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90" w:type="dxa"/>
                  <w:vAlign w:val="center"/>
                </w:tcPr>
                <w:p w14:paraId="7B93B406">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大气</w:t>
                  </w:r>
                </w:p>
              </w:tc>
              <w:tc>
                <w:tcPr>
                  <w:tcW w:w="2820" w:type="dxa"/>
                  <w:vAlign w:val="center"/>
                </w:tcPr>
                <w:p w14:paraId="6C8E6C1C">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排放废气含有毒有害污染物</w:t>
                  </w:r>
                  <w:r>
                    <w:rPr>
                      <w:rFonts w:hint="eastAsia" w:eastAsia="宋体"/>
                      <w:color w:val="auto"/>
                      <w:sz w:val="21"/>
                      <w:szCs w:val="21"/>
                      <w:highlight w:val="none"/>
                      <w:vertAlign w:val="superscript"/>
                    </w:rPr>
                    <w:t>1</w:t>
                  </w:r>
                  <w:r>
                    <w:rPr>
                      <w:rFonts w:hint="eastAsia" w:eastAsia="宋体"/>
                      <w:color w:val="auto"/>
                      <w:sz w:val="21"/>
                      <w:szCs w:val="21"/>
                      <w:highlight w:val="none"/>
                    </w:rPr>
                    <w:t>、二噁英、苯并[a]芘、氰化物、氯气，且厂界外500米范围内有环境空气保护目标</w:t>
                  </w:r>
                  <w:r>
                    <w:rPr>
                      <w:rFonts w:hint="eastAsia" w:eastAsia="宋体"/>
                      <w:color w:val="auto"/>
                      <w:sz w:val="21"/>
                      <w:szCs w:val="21"/>
                      <w:highlight w:val="none"/>
                      <w:vertAlign w:val="superscript"/>
                    </w:rPr>
                    <w:t>2</w:t>
                  </w:r>
                  <w:r>
                    <w:rPr>
                      <w:rFonts w:hint="eastAsia" w:eastAsia="宋体"/>
                      <w:color w:val="auto"/>
                      <w:sz w:val="21"/>
                      <w:szCs w:val="21"/>
                      <w:highlight w:val="none"/>
                    </w:rPr>
                    <w:t>的建设项目</w:t>
                  </w:r>
                </w:p>
              </w:tc>
              <w:tc>
                <w:tcPr>
                  <w:tcW w:w="1935" w:type="dxa"/>
                  <w:vAlign w:val="center"/>
                </w:tcPr>
                <w:p w14:paraId="582694FC">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本项目厂界外500米范围内有环境空气保护目标，但本项目不排放含有毒有害废气污染物</w:t>
                  </w:r>
                </w:p>
              </w:tc>
              <w:tc>
                <w:tcPr>
                  <w:tcW w:w="774" w:type="dxa"/>
                  <w:vAlign w:val="center"/>
                </w:tcPr>
                <w:p w14:paraId="03B4B275">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否</w:t>
                  </w:r>
                </w:p>
              </w:tc>
            </w:tr>
            <w:tr w14:paraId="56140F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90" w:type="dxa"/>
                  <w:vAlign w:val="center"/>
                </w:tcPr>
                <w:p w14:paraId="100FB915">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地表水</w:t>
                  </w:r>
                </w:p>
              </w:tc>
              <w:tc>
                <w:tcPr>
                  <w:tcW w:w="2820" w:type="dxa"/>
                  <w:vAlign w:val="center"/>
                </w:tcPr>
                <w:p w14:paraId="106E8BFD">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新增工业废水直排建设项目（槽罐车外送污水处理厂的除外）；新增废水直排的污水集中处理厂</w:t>
                  </w:r>
                </w:p>
              </w:tc>
              <w:tc>
                <w:tcPr>
                  <w:tcW w:w="1935" w:type="dxa"/>
                  <w:vAlign w:val="center"/>
                </w:tcPr>
                <w:p w14:paraId="24EFD0F4">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不涉及</w:t>
                  </w:r>
                </w:p>
              </w:tc>
              <w:tc>
                <w:tcPr>
                  <w:tcW w:w="774" w:type="dxa"/>
                  <w:vAlign w:val="center"/>
                </w:tcPr>
                <w:p w14:paraId="1BB77028">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否</w:t>
                  </w:r>
                </w:p>
              </w:tc>
            </w:tr>
            <w:tr w14:paraId="519F27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90" w:type="dxa"/>
                  <w:vAlign w:val="center"/>
                </w:tcPr>
                <w:p w14:paraId="565DA762">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环境风险</w:t>
                  </w:r>
                </w:p>
              </w:tc>
              <w:tc>
                <w:tcPr>
                  <w:tcW w:w="2820" w:type="dxa"/>
                  <w:vAlign w:val="center"/>
                </w:tcPr>
                <w:p w14:paraId="0C57BCC7">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有毒有害和易燃易爆危险物质存储量超过临界量</w:t>
                  </w:r>
                  <w:r>
                    <w:rPr>
                      <w:rFonts w:hint="eastAsia" w:eastAsia="宋体"/>
                      <w:color w:val="auto"/>
                      <w:sz w:val="21"/>
                      <w:szCs w:val="21"/>
                      <w:highlight w:val="none"/>
                      <w:vertAlign w:val="superscript"/>
                    </w:rPr>
                    <w:t>3</w:t>
                  </w:r>
                  <w:r>
                    <w:rPr>
                      <w:rFonts w:hint="eastAsia" w:eastAsia="宋体"/>
                      <w:color w:val="auto"/>
                      <w:sz w:val="21"/>
                      <w:szCs w:val="21"/>
                      <w:highlight w:val="none"/>
                    </w:rPr>
                    <w:t>的建设项目</w:t>
                  </w:r>
                </w:p>
              </w:tc>
              <w:tc>
                <w:tcPr>
                  <w:tcW w:w="1935" w:type="dxa"/>
                  <w:vAlign w:val="center"/>
                </w:tcPr>
                <w:p w14:paraId="0041C6DF">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不涉及</w:t>
                  </w:r>
                </w:p>
              </w:tc>
              <w:tc>
                <w:tcPr>
                  <w:tcW w:w="774" w:type="dxa"/>
                  <w:vAlign w:val="center"/>
                </w:tcPr>
                <w:p w14:paraId="2FD1C9A7">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否</w:t>
                  </w:r>
                </w:p>
              </w:tc>
            </w:tr>
            <w:tr w14:paraId="2898B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90" w:type="dxa"/>
                  <w:vAlign w:val="center"/>
                </w:tcPr>
                <w:p w14:paraId="3FC17A76">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生态</w:t>
                  </w:r>
                </w:p>
              </w:tc>
              <w:tc>
                <w:tcPr>
                  <w:tcW w:w="2820" w:type="dxa"/>
                  <w:vAlign w:val="center"/>
                </w:tcPr>
                <w:p w14:paraId="43F7EBB6">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取水口下游500米范围内有重要水生生物的自然产卵场、索饵场、越冬场和洄游通道的新增河道取水的污染类建设项目</w:t>
                  </w:r>
                </w:p>
              </w:tc>
              <w:tc>
                <w:tcPr>
                  <w:tcW w:w="1935" w:type="dxa"/>
                  <w:vAlign w:val="center"/>
                </w:tcPr>
                <w:p w14:paraId="5509F116">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不涉及</w:t>
                  </w:r>
                </w:p>
              </w:tc>
              <w:tc>
                <w:tcPr>
                  <w:tcW w:w="774" w:type="dxa"/>
                  <w:vAlign w:val="center"/>
                </w:tcPr>
                <w:p w14:paraId="37ED7355">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否</w:t>
                  </w:r>
                </w:p>
              </w:tc>
            </w:tr>
            <w:tr w14:paraId="1F18A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090" w:type="dxa"/>
                  <w:vAlign w:val="center"/>
                </w:tcPr>
                <w:p w14:paraId="06DB53C6">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海洋</w:t>
                  </w:r>
                </w:p>
              </w:tc>
              <w:tc>
                <w:tcPr>
                  <w:tcW w:w="2820" w:type="dxa"/>
                  <w:vAlign w:val="center"/>
                </w:tcPr>
                <w:p w14:paraId="4CEA6264">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直接向海排放污染物的海洋工程建设项目</w:t>
                  </w:r>
                </w:p>
              </w:tc>
              <w:tc>
                <w:tcPr>
                  <w:tcW w:w="1935" w:type="dxa"/>
                  <w:vAlign w:val="center"/>
                </w:tcPr>
                <w:p w14:paraId="13F6373C">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不涉及</w:t>
                  </w:r>
                </w:p>
              </w:tc>
              <w:tc>
                <w:tcPr>
                  <w:tcW w:w="774" w:type="dxa"/>
                  <w:vAlign w:val="center"/>
                </w:tcPr>
                <w:p w14:paraId="363DFAE2">
                  <w:pPr>
                    <w:pStyle w:val="69"/>
                    <w:keepNext w:val="0"/>
                    <w:keepLines w:val="0"/>
                    <w:suppressLineNumbers w:val="0"/>
                    <w:spacing w:before="0" w:beforeAutospacing="0" w:after="0" w:afterAutospacing="0"/>
                    <w:ind w:left="0" w:right="0"/>
                    <w:jc w:val="center"/>
                    <w:rPr>
                      <w:rFonts w:eastAsia="宋体"/>
                      <w:color w:val="auto"/>
                      <w:sz w:val="21"/>
                      <w:szCs w:val="21"/>
                      <w:highlight w:val="none"/>
                    </w:rPr>
                  </w:pPr>
                  <w:r>
                    <w:rPr>
                      <w:rFonts w:hint="eastAsia" w:eastAsia="宋体"/>
                      <w:color w:val="auto"/>
                      <w:sz w:val="21"/>
                      <w:szCs w:val="21"/>
                      <w:highlight w:val="none"/>
                    </w:rPr>
                    <w:t>否</w:t>
                  </w:r>
                </w:p>
              </w:tc>
            </w:tr>
          </w:tbl>
          <w:p w14:paraId="6A4ED585">
            <w:pPr>
              <w:pStyle w:val="69"/>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textAlignment w:val="auto"/>
              <w:rPr>
                <w:rFonts w:eastAsia="宋体"/>
                <w:b/>
                <w:bCs/>
                <w:color w:val="auto"/>
                <w:sz w:val="21"/>
                <w:szCs w:val="21"/>
                <w:highlight w:val="none"/>
              </w:rPr>
            </w:pPr>
            <w:r>
              <w:rPr>
                <w:rFonts w:hint="eastAsia" w:eastAsia="宋体"/>
                <w:b/>
                <w:bCs/>
                <w:color w:val="auto"/>
                <w:sz w:val="21"/>
                <w:szCs w:val="21"/>
                <w:highlight w:val="none"/>
              </w:rPr>
              <w:t>注：1、废气中有毒有害污染物指纳入《有毒有害大气污染物名录》的污染物（不包括无排放标准的污染物）。</w:t>
            </w:r>
          </w:p>
          <w:p w14:paraId="6AA0AE84">
            <w:pPr>
              <w:pStyle w:val="69"/>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textAlignment w:val="auto"/>
              <w:rPr>
                <w:rFonts w:eastAsia="宋体"/>
                <w:b/>
                <w:bCs/>
                <w:color w:val="auto"/>
                <w:sz w:val="21"/>
                <w:szCs w:val="21"/>
                <w:highlight w:val="none"/>
              </w:rPr>
            </w:pPr>
            <w:r>
              <w:rPr>
                <w:rFonts w:hint="eastAsia" w:eastAsia="宋体"/>
                <w:b/>
                <w:bCs/>
                <w:color w:val="auto"/>
                <w:sz w:val="21"/>
                <w:szCs w:val="21"/>
                <w:highlight w:val="none"/>
              </w:rPr>
              <w:t>2、环境空气保护目标指自然保护区、风景名胜区、居住区、文化区和农村地区中人群较集中的区域。</w:t>
            </w:r>
          </w:p>
          <w:p w14:paraId="6E350CC4">
            <w:pPr>
              <w:pStyle w:val="2"/>
              <w:keepNext w:val="0"/>
              <w:keepLines w:val="0"/>
              <w:pageBreakBefore w:val="0"/>
              <w:widowControl w:val="0"/>
              <w:suppressLineNumbers w:val="0"/>
              <w:kinsoku/>
              <w:wordWrap/>
              <w:overflowPunct/>
              <w:topLinePunct w:val="0"/>
              <w:autoSpaceDE/>
              <w:autoSpaceDN/>
              <w:bidi w:val="0"/>
              <w:adjustRightInd/>
              <w:spacing w:before="0" w:beforeAutospacing="0" w:after="0" w:afterAutospacing="0"/>
              <w:ind w:left="0" w:right="0"/>
              <w:textAlignment w:val="auto"/>
              <w:rPr>
                <w:b/>
                <w:bCs/>
                <w:color w:val="auto"/>
                <w:sz w:val="21"/>
                <w:szCs w:val="21"/>
                <w:highlight w:val="none"/>
              </w:rPr>
            </w:pPr>
            <w:r>
              <w:rPr>
                <w:rFonts w:hint="eastAsia"/>
                <w:b/>
                <w:bCs/>
                <w:color w:val="auto"/>
                <w:sz w:val="21"/>
                <w:szCs w:val="21"/>
                <w:highlight w:val="none"/>
              </w:rPr>
              <w:t>3、临界量及其计算方法可参考《建设项目环境风险评价技术导则》（HJ169）附录B、附录C。</w:t>
            </w:r>
          </w:p>
          <w:p w14:paraId="3B915EA7">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项目周边 500m 内不涉及集中式饮用水水源和热水、矿泉水、温泉等特殊地下水资源保护区，无需设置地下水专项评价。</w:t>
            </w:r>
          </w:p>
        </w:tc>
      </w:tr>
      <w:tr w14:paraId="1107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1" w:type="pct"/>
            <w:tcBorders>
              <w:tl2br w:val="nil"/>
              <w:tr2bl w:val="nil"/>
            </w:tcBorders>
            <w:vAlign w:val="center"/>
          </w:tcPr>
          <w:p w14:paraId="1FFDA3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color w:val="auto"/>
                <w:kern w:val="0"/>
                <w:szCs w:val="21"/>
                <w:highlight w:val="none"/>
              </w:rPr>
            </w:pPr>
            <w:r>
              <w:rPr>
                <w:color w:val="auto"/>
                <w:szCs w:val="21"/>
                <w:highlight w:val="none"/>
              </w:rPr>
              <w:t>规划情况</w:t>
            </w:r>
          </w:p>
        </w:tc>
        <w:tc>
          <w:tcPr>
            <w:tcW w:w="3858" w:type="pct"/>
            <w:gridSpan w:val="3"/>
            <w:tcBorders>
              <w:tl2br w:val="nil"/>
              <w:tr2bl w:val="nil"/>
            </w:tcBorders>
            <w:vAlign w:val="center"/>
          </w:tcPr>
          <w:p w14:paraId="15DAD75C">
            <w:pPr>
              <w:keepNext w:val="0"/>
              <w:keepLines w:val="0"/>
              <w:pageBreakBefore w:val="0"/>
              <w:widowControl w:val="0"/>
              <w:suppressLineNumbers w:val="0"/>
              <w:kinsoku/>
              <w:wordWrap/>
              <w:overflowPunct/>
              <w:topLinePunct w:val="0"/>
              <w:bidi w:val="0"/>
              <w:spacing w:before="0" w:beforeAutospacing="0" w:after="0" w:afterAutospacing="0" w:line="240" w:lineRule="auto"/>
              <w:ind w:left="1200" w:right="0" w:hanging="1200" w:hangingChars="500"/>
              <w:textAlignment w:val="auto"/>
              <w:rPr>
                <w:color w:val="auto"/>
                <w:sz w:val="24"/>
                <w:highlight w:val="none"/>
              </w:rPr>
            </w:pPr>
            <w:r>
              <w:rPr>
                <w:rFonts w:hint="eastAsia"/>
                <w:color w:val="auto"/>
                <w:sz w:val="24"/>
                <w:highlight w:val="none"/>
              </w:rPr>
              <w:t>规划名称：《抚顺高新技术产业开发区国土空间规划(2021-2035)》</w:t>
            </w:r>
          </w:p>
          <w:p w14:paraId="00445628">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color w:val="auto"/>
                <w:sz w:val="24"/>
                <w:highlight w:val="none"/>
              </w:rPr>
            </w:pPr>
            <w:r>
              <w:rPr>
                <w:rFonts w:hint="eastAsia"/>
                <w:color w:val="auto"/>
                <w:sz w:val="24"/>
                <w:highlight w:val="none"/>
              </w:rPr>
              <w:t>审批机关：</w:t>
            </w:r>
            <w:r>
              <w:rPr>
                <w:rFonts w:hint="eastAsia"/>
                <w:color w:val="auto"/>
                <w:sz w:val="24"/>
                <w:highlight w:val="none"/>
                <w:lang w:val="en-US" w:eastAsia="zh-CN"/>
              </w:rPr>
              <w:t>抚顺</w:t>
            </w:r>
            <w:r>
              <w:rPr>
                <w:rFonts w:hint="eastAsia"/>
                <w:color w:val="auto"/>
                <w:sz w:val="24"/>
                <w:highlight w:val="none"/>
              </w:rPr>
              <w:t>市人民政府</w:t>
            </w:r>
          </w:p>
          <w:p w14:paraId="067CEF08">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textAlignment w:val="auto"/>
              <w:rPr>
                <w:color w:val="auto"/>
                <w:highlight w:val="none"/>
              </w:rPr>
            </w:pPr>
            <w:r>
              <w:rPr>
                <w:rFonts w:hint="eastAsia"/>
                <w:color w:val="auto"/>
                <w:sz w:val="24"/>
                <w:highlight w:val="none"/>
                <w:lang w:val="en-US" w:eastAsia="zh-CN"/>
              </w:rPr>
              <w:t>审查文件名称及文号</w:t>
            </w:r>
            <w:r>
              <w:rPr>
                <w:rFonts w:hint="eastAsia"/>
                <w:color w:val="auto"/>
                <w:sz w:val="24"/>
                <w:highlight w:val="none"/>
              </w:rPr>
              <w:t>：《抚顺市人民政府关于抚顺高新技术产业开发区国土空间规划(2021-2035)的批复》（抚政[2025]64号）（2025年6月5日）</w:t>
            </w:r>
          </w:p>
        </w:tc>
      </w:tr>
      <w:tr w14:paraId="3089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1" w:type="pct"/>
            <w:tcBorders>
              <w:tl2br w:val="nil"/>
              <w:tr2bl w:val="nil"/>
            </w:tcBorders>
            <w:vAlign w:val="center"/>
          </w:tcPr>
          <w:p w14:paraId="2EA5F65A">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规划环境影响</w:t>
            </w:r>
          </w:p>
          <w:p w14:paraId="2D00153E">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szCs w:val="21"/>
                <w:highlight w:val="none"/>
              </w:rPr>
              <w:t>评价情况</w:t>
            </w:r>
          </w:p>
        </w:tc>
        <w:tc>
          <w:tcPr>
            <w:tcW w:w="3858" w:type="pct"/>
            <w:gridSpan w:val="3"/>
            <w:tcBorders>
              <w:tl2br w:val="nil"/>
              <w:tr2bl w:val="nil"/>
            </w:tcBorders>
            <w:vAlign w:val="center"/>
          </w:tcPr>
          <w:p w14:paraId="48B228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规划环评名称：：《抚顺高新技术产业开发区国土空间规划(2021-2035</w:t>
            </w:r>
            <w:r>
              <w:rPr>
                <w:rFonts w:hint="eastAsia"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rPr>
              <w:t>年环境影响报告书》；</w:t>
            </w:r>
          </w:p>
          <w:p w14:paraId="3536D4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审查机关：</w:t>
            </w:r>
            <w:r>
              <w:rPr>
                <w:rFonts w:hint="eastAsia" w:ascii="Times New Roman" w:hAnsi="Times New Roman" w:eastAsia="宋体" w:cs="Times New Roman"/>
                <w:color w:val="auto"/>
                <w:sz w:val="24"/>
                <w:highlight w:val="none"/>
                <w:lang w:val="en-US" w:eastAsia="zh-CN"/>
              </w:rPr>
              <w:t>抚顺</w:t>
            </w:r>
            <w:r>
              <w:rPr>
                <w:rFonts w:hint="eastAsia" w:ascii="Times New Roman" w:hAnsi="Times New Roman" w:eastAsia="宋体" w:cs="Times New Roman"/>
                <w:color w:val="auto"/>
                <w:sz w:val="24"/>
                <w:highlight w:val="none"/>
              </w:rPr>
              <w:t>市生态环境局；</w:t>
            </w:r>
          </w:p>
          <w:p w14:paraId="5C875C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color w:val="auto"/>
                <w:kern w:val="0"/>
                <w:szCs w:val="21"/>
                <w:highlight w:val="none"/>
              </w:rPr>
            </w:pPr>
            <w:r>
              <w:rPr>
                <w:rFonts w:hint="eastAsia" w:ascii="Times New Roman" w:hAnsi="Times New Roman" w:eastAsia="宋体" w:cs="Times New Roman"/>
                <w:color w:val="auto"/>
                <w:sz w:val="24"/>
                <w:highlight w:val="none"/>
              </w:rPr>
              <w:t>审查文件名称及文号：《抚顺市生态环境局关于抚顺高新技术产业开发区国土空间规划(2021-2035年)环境影响报告书审查意见的函》（抚环函[2025]24号）（2025年5月26日）</w:t>
            </w:r>
          </w:p>
        </w:tc>
      </w:tr>
      <w:tr w14:paraId="59BF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1" w:type="pct"/>
            <w:tcBorders>
              <w:tl2br w:val="nil"/>
              <w:tr2bl w:val="nil"/>
            </w:tcBorders>
            <w:vAlign w:val="center"/>
          </w:tcPr>
          <w:p w14:paraId="067AD4CC">
            <w:pPr>
              <w:keepNext w:val="0"/>
              <w:keepLines w:val="0"/>
              <w:suppressLineNumbers w:val="0"/>
              <w:autoSpaceDE w:val="0"/>
              <w:autoSpaceDN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规划及规划环境</w:t>
            </w:r>
          </w:p>
          <w:p w14:paraId="6AF5FB4C">
            <w:pPr>
              <w:keepNext w:val="0"/>
              <w:keepLines w:val="0"/>
              <w:suppressLineNumbers w:val="0"/>
              <w:autoSpaceDE w:val="0"/>
              <w:autoSpaceDN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影响评价符合性分析</w:t>
            </w:r>
          </w:p>
        </w:tc>
        <w:tc>
          <w:tcPr>
            <w:tcW w:w="3858" w:type="pct"/>
            <w:gridSpan w:val="3"/>
            <w:tcBorders>
              <w:tl2br w:val="nil"/>
              <w:tr2bl w:val="nil"/>
            </w:tcBorders>
            <w:vAlign w:val="center"/>
          </w:tcPr>
          <w:p w14:paraId="0E762558">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1、</w:t>
            </w:r>
            <w:r>
              <w:rPr>
                <w:rFonts w:hint="eastAsia" w:ascii="Times New Roman" w:hAnsi="Times New Roman" w:eastAsia="宋体" w:cs="Times New Roman"/>
                <w:color w:val="auto"/>
                <w:sz w:val="24"/>
                <w:highlight w:val="none"/>
              </w:rPr>
              <w:t>本项目与规划符合性分析</w:t>
            </w:r>
          </w:p>
          <w:p w14:paraId="6583611B">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ascii="Times New Roman" w:hAnsi="Times New Roman" w:cs="Times New Roman"/>
                <w:color w:val="auto"/>
                <w:sz w:val="24"/>
                <w:highlight w:val="none"/>
              </w:rPr>
            </w:pPr>
            <w:r>
              <w:rPr>
                <w:rFonts w:hint="eastAsia"/>
                <w:color w:val="auto"/>
                <w:sz w:val="24"/>
                <w:highlight w:val="none"/>
              </w:rPr>
              <w:t>本项目与《</w:t>
            </w:r>
            <w:r>
              <w:rPr>
                <w:rFonts w:hint="eastAsia"/>
                <w:color w:val="auto"/>
                <w:sz w:val="24"/>
                <w:highlight w:val="none"/>
                <w:lang w:val="en-US" w:eastAsia="zh-CN"/>
              </w:rPr>
              <w:t>抚顺</w:t>
            </w:r>
            <w:r>
              <w:rPr>
                <w:rFonts w:ascii="Times New Roman" w:hAnsi="Times New Roman" w:cs="Times New Roman"/>
                <w:color w:val="auto"/>
                <w:sz w:val="24"/>
                <w:highlight w:val="none"/>
              </w:rPr>
              <w:t>高新技术产业开发区总体规划（2018～2030）》的符合性分析见下表1-2。</w:t>
            </w:r>
          </w:p>
          <w:p w14:paraId="7C31353A">
            <w:pPr>
              <w:pStyle w:val="8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表1-2 本项目与规划相符性分析</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9"/>
              <w:gridCol w:w="2518"/>
              <w:gridCol w:w="928"/>
            </w:tblGrid>
            <w:tr w14:paraId="497F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tcBorders>
                    <w:tl2br w:val="nil"/>
                    <w:tr2bl w:val="nil"/>
                  </w:tcBorders>
                  <w:vAlign w:val="center"/>
                </w:tcPr>
                <w:p w14:paraId="06D3EBE8">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规划内容</w:t>
                  </w:r>
                </w:p>
              </w:tc>
              <w:tc>
                <w:tcPr>
                  <w:tcW w:w="2520" w:type="dxa"/>
                  <w:tcBorders>
                    <w:tl2br w:val="nil"/>
                    <w:tr2bl w:val="nil"/>
                  </w:tcBorders>
                  <w:vAlign w:val="center"/>
                </w:tcPr>
                <w:p w14:paraId="0B0DE43F">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本项目情况</w:t>
                  </w:r>
                </w:p>
              </w:tc>
              <w:tc>
                <w:tcPr>
                  <w:tcW w:w="929" w:type="dxa"/>
                  <w:tcBorders>
                    <w:tl2br w:val="nil"/>
                    <w:tr2bl w:val="nil"/>
                  </w:tcBorders>
                  <w:vAlign w:val="center"/>
                </w:tcPr>
                <w:p w14:paraId="2EFA0ADF">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相符性</w:t>
                  </w:r>
                </w:p>
              </w:tc>
            </w:tr>
            <w:tr w14:paraId="340B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tcBorders>
                    <w:tl2br w:val="nil"/>
                    <w:tr2bl w:val="nil"/>
                  </w:tcBorders>
                  <w:vAlign w:val="center"/>
                </w:tcPr>
                <w:p w14:paraId="48C861E3">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以石化及精细化工产业链延伸为主，突出发展高新技术产业，并用高新技术改造提升传统产业，形成以石油化工为龙头，以化工及精细化工产品为主导，以橡塑蜡制品加工、高端装备制造为辅助，高新技术产业为支撑，具有循环经济特色的上下游一体化及资源配置生态化的园区。</w:t>
                  </w:r>
                </w:p>
              </w:tc>
              <w:tc>
                <w:tcPr>
                  <w:tcW w:w="2520" w:type="dxa"/>
                  <w:tcBorders>
                    <w:tl2br w:val="nil"/>
                    <w:tr2bl w:val="nil"/>
                  </w:tcBorders>
                  <w:vAlign w:val="center"/>
                </w:tcPr>
                <w:p w14:paraId="4A601F80">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本项目为汉圣化工（抚顺）有限公司</w:t>
                  </w:r>
                  <w:r>
                    <w:rPr>
                      <w:rFonts w:hint="eastAsia"/>
                      <w:color w:val="auto"/>
                      <w:szCs w:val="21"/>
                      <w:highlight w:val="none"/>
                      <w:lang w:val="en-US" w:eastAsia="zh-CN"/>
                    </w:rPr>
                    <w:t>技术改造</w:t>
                  </w:r>
                  <w:r>
                    <w:rPr>
                      <w:rFonts w:hint="eastAsia"/>
                      <w:color w:val="auto"/>
                      <w:szCs w:val="21"/>
                      <w:highlight w:val="none"/>
                    </w:rPr>
                    <w:t>项目，属于原油加工及石油制品制造</w:t>
                  </w:r>
                </w:p>
              </w:tc>
              <w:tc>
                <w:tcPr>
                  <w:tcW w:w="929" w:type="dxa"/>
                  <w:tcBorders>
                    <w:tl2br w:val="nil"/>
                    <w:tr2bl w:val="nil"/>
                  </w:tcBorders>
                  <w:vAlign w:val="center"/>
                </w:tcPr>
                <w:p w14:paraId="64A549C3">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符合</w:t>
                  </w:r>
                </w:p>
              </w:tc>
            </w:tr>
            <w:tr w14:paraId="4975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tcBorders>
                    <w:tl2br w:val="nil"/>
                    <w:tr2bl w:val="nil"/>
                  </w:tcBorders>
                  <w:vAlign w:val="center"/>
                </w:tcPr>
                <w:p w14:paraId="5FCDA1B8">
                  <w:pPr>
                    <w:keepNext w:val="0"/>
                    <w:keepLines w:val="0"/>
                    <w:suppressLineNumbers w:val="0"/>
                    <w:snapToGri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在抚顺高新区管辖范围内划定化工园区范围，作为用于进行化工项目建设落位和化工园</w:t>
                  </w:r>
                </w:p>
                <w:p w14:paraId="00193688">
                  <w:pPr>
                    <w:keepNext w:val="0"/>
                    <w:keepLines w:val="0"/>
                    <w:suppressLineNumbers w:val="0"/>
                    <w:snapToGri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区认定的空间范围。化工园区部分总面积共24.18 平方公里，东、南至兰山工业园区边界，</w:t>
                  </w:r>
                </w:p>
                <w:p w14:paraId="50FA2906">
                  <w:pPr>
                    <w:keepNext w:val="0"/>
                    <w:keepLines w:val="0"/>
                    <w:suppressLineNumbers w:val="0"/>
                    <w:snapToGri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西至海新工业园区，北至石化公司建成区北侧边界，包括石化建成区、兰山工业园区、再生</w:t>
                  </w:r>
                </w:p>
                <w:p w14:paraId="415E3F7B">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资源产业园区、张甸工业园区、碾盘工业园区、海新工业园区主体部分。</w:t>
                  </w:r>
                </w:p>
              </w:tc>
              <w:tc>
                <w:tcPr>
                  <w:tcW w:w="2520" w:type="dxa"/>
                  <w:tcBorders>
                    <w:tl2br w:val="nil"/>
                    <w:tr2bl w:val="nil"/>
                  </w:tcBorders>
                  <w:vAlign w:val="center"/>
                </w:tcPr>
                <w:p w14:paraId="57B6180A">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本项目位于张甸工业园区</w:t>
                  </w:r>
                </w:p>
              </w:tc>
              <w:tc>
                <w:tcPr>
                  <w:tcW w:w="929" w:type="dxa"/>
                  <w:tcBorders>
                    <w:tl2br w:val="nil"/>
                    <w:tr2bl w:val="nil"/>
                  </w:tcBorders>
                  <w:vAlign w:val="center"/>
                </w:tcPr>
                <w:p w14:paraId="7FC526F9">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符合</w:t>
                  </w:r>
                </w:p>
              </w:tc>
            </w:tr>
            <w:tr w14:paraId="26D1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tcBorders>
                    <w:tl2br w:val="nil"/>
                    <w:tr2bl w:val="nil"/>
                  </w:tcBorders>
                  <w:vAlign w:val="center"/>
                </w:tcPr>
                <w:p w14:paraId="2CAD5093">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石油化工产业区用地规模845.44公顷，为三类工业用地。</w:t>
                  </w:r>
                </w:p>
              </w:tc>
              <w:tc>
                <w:tcPr>
                  <w:tcW w:w="2520" w:type="dxa"/>
                  <w:tcBorders>
                    <w:tl2br w:val="nil"/>
                    <w:tr2bl w:val="nil"/>
                  </w:tcBorders>
                  <w:vAlign w:val="center"/>
                </w:tcPr>
                <w:p w14:paraId="0FF8E508">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本项目用地性质为工业用地。</w:t>
                  </w:r>
                </w:p>
              </w:tc>
              <w:tc>
                <w:tcPr>
                  <w:tcW w:w="929" w:type="dxa"/>
                  <w:tcBorders>
                    <w:tl2br w:val="nil"/>
                    <w:tr2bl w:val="nil"/>
                  </w:tcBorders>
                  <w:vAlign w:val="center"/>
                </w:tcPr>
                <w:p w14:paraId="5A771E46">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符合</w:t>
                  </w:r>
                </w:p>
              </w:tc>
            </w:tr>
            <w:tr w14:paraId="5E24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tcBorders>
                    <w:tl2br w:val="nil"/>
                    <w:tr2bl w:val="nil"/>
                  </w:tcBorders>
                  <w:vAlign w:val="center"/>
                </w:tcPr>
                <w:p w14:paraId="470550C3">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石油化工产业区由城区市政供水。</w:t>
                  </w:r>
                </w:p>
              </w:tc>
              <w:tc>
                <w:tcPr>
                  <w:tcW w:w="2520" w:type="dxa"/>
                  <w:tcBorders>
                    <w:tl2br w:val="nil"/>
                    <w:tr2bl w:val="nil"/>
                  </w:tcBorders>
                  <w:vAlign w:val="center"/>
                </w:tcPr>
                <w:p w14:paraId="31F8132B">
                  <w:pPr>
                    <w:keepNext w:val="0"/>
                    <w:keepLines w:val="0"/>
                    <w:widowControl/>
                    <w:suppressLineNumbers w:val="0"/>
                    <w:spacing w:before="0" w:beforeAutospacing="0" w:after="0" w:afterAutospacing="0"/>
                    <w:ind w:left="0" w:right="0"/>
                    <w:jc w:val="center"/>
                    <w:rPr>
                      <w:color w:val="auto"/>
                      <w:sz w:val="24"/>
                      <w:highlight w:val="none"/>
                    </w:rPr>
                  </w:pPr>
                  <w:r>
                    <w:rPr>
                      <w:rFonts w:hint="eastAsia"/>
                      <w:color w:val="auto"/>
                      <w:szCs w:val="21"/>
                      <w:highlight w:val="none"/>
                    </w:rPr>
                    <w:t>本项目由市政供水。</w:t>
                  </w:r>
                </w:p>
              </w:tc>
              <w:tc>
                <w:tcPr>
                  <w:tcW w:w="929" w:type="dxa"/>
                  <w:tcBorders>
                    <w:tl2br w:val="nil"/>
                    <w:tr2bl w:val="nil"/>
                  </w:tcBorders>
                  <w:vAlign w:val="center"/>
                </w:tcPr>
                <w:p w14:paraId="150439A8">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符合</w:t>
                  </w:r>
                </w:p>
              </w:tc>
            </w:tr>
            <w:tr w14:paraId="1209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tcBorders>
                    <w:tl2br w:val="nil"/>
                    <w:tr2bl w:val="nil"/>
                  </w:tcBorders>
                  <w:vAlign w:val="center"/>
                </w:tcPr>
                <w:p w14:paraId="3DD2FF07">
                  <w:pPr>
                    <w:keepNext w:val="0"/>
                    <w:keepLines w:val="0"/>
                    <w:suppressLineNumbers w:val="0"/>
                    <w:snapToGrid w:val="0"/>
                    <w:spacing w:before="0" w:beforeAutospacing="0" w:after="0" w:afterAutospacing="0"/>
                    <w:ind w:left="0" w:right="0"/>
                    <w:jc w:val="center"/>
                    <w:rPr>
                      <w:color w:val="auto"/>
                      <w:highlight w:val="none"/>
                    </w:rPr>
                  </w:pPr>
                  <w:r>
                    <w:rPr>
                      <w:rFonts w:hint="eastAsia"/>
                      <w:color w:val="auto"/>
                      <w:highlight w:val="none"/>
                    </w:rPr>
                    <w:t>环境保护规划：</w:t>
                  </w:r>
                </w:p>
                <w:p w14:paraId="628E7B5E">
                  <w:pPr>
                    <w:keepNext w:val="0"/>
                    <w:keepLines w:val="0"/>
                    <w:suppressLineNumbers w:val="0"/>
                    <w:snapToGrid w:val="0"/>
                    <w:spacing w:before="0" w:beforeAutospacing="0" w:after="0" w:afterAutospacing="0"/>
                    <w:ind w:left="0" w:right="0"/>
                    <w:jc w:val="center"/>
                    <w:rPr>
                      <w:color w:val="auto"/>
                      <w:highlight w:val="none"/>
                    </w:rPr>
                  </w:pPr>
                  <w:r>
                    <w:rPr>
                      <w:rFonts w:hint="eastAsia"/>
                      <w:color w:val="auto"/>
                      <w:highlight w:val="none"/>
                    </w:rPr>
                    <w:t>（1）环境空气环保目标：规划项目排放废气得到有效控制，废气达标排放，周围环境空气质量不受影响。</w:t>
                  </w:r>
                </w:p>
                <w:p w14:paraId="0F1FBE76">
                  <w:pPr>
                    <w:pStyle w:val="2"/>
                    <w:keepNext w:val="0"/>
                    <w:keepLines w:val="0"/>
                    <w:suppressLineNumbers w:val="0"/>
                    <w:spacing w:before="0" w:beforeAutospacing="0" w:after="0" w:afterAutospacing="0"/>
                    <w:ind w:left="0" w:right="0"/>
                    <w:jc w:val="center"/>
                    <w:rPr>
                      <w:color w:val="auto"/>
                      <w:kern w:val="2"/>
                      <w:sz w:val="21"/>
                      <w:szCs w:val="24"/>
                      <w:highlight w:val="none"/>
                    </w:rPr>
                  </w:pPr>
                  <w:r>
                    <w:rPr>
                      <w:rFonts w:hint="eastAsia"/>
                      <w:color w:val="auto"/>
                      <w:kern w:val="2"/>
                      <w:sz w:val="21"/>
                      <w:szCs w:val="24"/>
                      <w:highlight w:val="none"/>
                    </w:rPr>
                    <w:t>（2）水环境保护目标</w:t>
                  </w:r>
                </w:p>
                <w:p w14:paraId="4FDA6B44">
                  <w:pPr>
                    <w:pStyle w:val="2"/>
                    <w:keepNext w:val="0"/>
                    <w:keepLines w:val="0"/>
                    <w:suppressLineNumbers w:val="0"/>
                    <w:spacing w:before="0" w:beforeAutospacing="0" w:after="0" w:afterAutospacing="0"/>
                    <w:ind w:left="0" w:right="0"/>
                    <w:jc w:val="center"/>
                    <w:rPr>
                      <w:color w:val="auto"/>
                      <w:kern w:val="2"/>
                      <w:sz w:val="21"/>
                      <w:szCs w:val="24"/>
                      <w:highlight w:val="none"/>
                    </w:rPr>
                  </w:pPr>
                  <w:r>
                    <w:rPr>
                      <w:rFonts w:hint="eastAsia"/>
                      <w:color w:val="auto"/>
                      <w:kern w:val="2"/>
                      <w:sz w:val="21"/>
                      <w:szCs w:val="24"/>
                      <w:highlight w:val="none"/>
                    </w:rPr>
                    <w:t>规划项目外排污水处理率达到100%，做到达标排放，尽可能实施包括中水在内的各级水资源循环利用，减少废水排放总量。</w:t>
                  </w:r>
                </w:p>
                <w:p w14:paraId="0951E49A">
                  <w:pPr>
                    <w:pStyle w:val="2"/>
                    <w:keepNext w:val="0"/>
                    <w:keepLines w:val="0"/>
                    <w:suppressLineNumbers w:val="0"/>
                    <w:spacing w:before="0" w:beforeAutospacing="0" w:after="0" w:afterAutospacing="0"/>
                    <w:ind w:left="0" w:right="0"/>
                    <w:jc w:val="center"/>
                    <w:rPr>
                      <w:color w:val="auto"/>
                      <w:kern w:val="2"/>
                      <w:sz w:val="21"/>
                      <w:szCs w:val="24"/>
                      <w:highlight w:val="none"/>
                    </w:rPr>
                  </w:pPr>
                  <w:r>
                    <w:rPr>
                      <w:rFonts w:hint="eastAsia"/>
                      <w:color w:val="auto"/>
                      <w:kern w:val="2"/>
                      <w:sz w:val="21"/>
                      <w:szCs w:val="24"/>
                      <w:highlight w:val="none"/>
                    </w:rPr>
                    <w:t>（3）声环境保护目标规划项目采取有效的噪声控制措施，确保区域内声环境质量不受影响。</w:t>
                  </w:r>
                </w:p>
                <w:p w14:paraId="25BB93B5">
                  <w:pPr>
                    <w:pStyle w:val="2"/>
                    <w:keepNext w:val="0"/>
                    <w:keepLines w:val="0"/>
                    <w:suppressLineNumbers w:val="0"/>
                    <w:spacing w:before="0" w:beforeAutospacing="0" w:after="0" w:afterAutospacing="0"/>
                    <w:ind w:left="0" w:right="0"/>
                    <w:jc w:val="center"/>
                    <w:rPr>
                      <w:color w:val="auto"/>
                      <w:kern w:val="2"/>
                      <w:sz w:val="21"/>
                      <w:szCs w:val="24"/>
                      <w:highlight w:val="none"/>
                    </w:rPr>
                  </w:pPr>
                  <w:r>
                    <w:rPr>
                      <w:rFonts w:hint="eastAsia"/>
                      <w:color w:val="auto"/>
                      <w:kern w:val="2"/>
                      <w:sz w:val="21"/>
                      <w:szCs w:val="24"/>
                      <w:highlight w:val="none"/>
                    </w:rPr>
                    <w:t>（4）固体废物目标</w:t>
                  </w:r>
                </w:p>
                <w:p w14:paraId="281E3D3B">
                  <w:pPr>
                    <w:pStyle w:val="2"/>
                    <w:keepNext w:val="0"/>
                    <w:keepLines w:val="0"/>
                    <w:suppressLineNumbers w:val="0"/>
                    <w:spacing w:before="0" w:beforeAutospacing="0" w:after="0" w:afterAutospacing="0"/>
                    <w:ind w:left="0" w:right="0"/>
                    <w:jc w:val="center"/>
                    <w:rPr>
                      <w:color w:val="auto"/>
                      <w:kern w:val="2"/>
                      <w:sz w:val="21"/>
                      <w:szCs w:val="24"/>
                      <w:highlight w:val="none"/>
                    </w:rPr>
                  </w:pPr>
                  <w:r>
                    <w:rPr>
                      <w:rFonts w:hint="eastAsia"/>
                      <w:color w:val="auto"/>
                      <w:kern w:val="2"/>
                      <w:sz w:val="21"/>
                      <w:szCs w:val="24"/>
                      <w:highlight w:val="none"/>
                    </w:rPr>
                    <w:t>对固体废物处置采取减量化、资源化和无害化措施，处置率达到100%。</w:t>
                  </w:r>
                </w:p>
                <w:p w14:paraId="2B1FB5EF">
                  <w:pPr>
                    <w:pStyle w:val="2"/>
                    <w:keepNext w:val="0"/>
                    <w:keepLines w:val="0"/>
                    <w:suppressLineNumbers w:val="0"/>
                    <w:spacing w:before="0" w:beforeAutospacing="0" w:after="0" w:afterAutospacing="0"/>
                    <w:ind w:left="0" w:right="0"/>
                    <w:jc w:val="center"/>
                    <w:rPr>
                      <w:color w:val="auto"/>
                      <w:sz w:val="24"/>
                      <w:highlight w:val="none"/>
                    </w:rPr>
                  </w:pPr>
                  <w:r>
                    <w:rPr>
                      <w:rFonts w:hint="eastAsia"/>
                      <w:color w:val="auto"/>
                      <w:kern w:val="2"/>
                      <w:sz w:val="21"/>
                      <w:szCs w:val="24"/>
                      <w:highlight w:val="none"/>
                    </w:rPr>
                    <w:t>（5）污染物总量控制目标规划项目实施有效的污染控制和减排措施，尽量降低污染物排放总量，使其符合地方相关环境保护规划要求。</w:t>
                  </w:r>
                </w:p>
              </w:tc>
              <w:tc>
                <w:tcPr>
                  <w:tcW w:w="2520" w:type="dxa"/>
                  <w:tcBorders>
                    <w:tl2br w:val="nil"/>
                    <w:tr2bl w:val="nil"/>
                  </w:tcBorders>
                  <w:vAlign w:val="center"/>
                </w:tcPr>
                <w:p w14:paraId="7A935FD2">
                  <w:pPr>
                    <w:keepNext w:val="0"/>
                    <w:keepLines w:val="0"/>
                    <w:suppressLineNumbers w:val="0"/>
                    <w:snapToGrid w:val="0"/>
                    <w:spacing w:before="0" w:beforeAutospacing="0" w:after="0" w:afterAutospacing="0"/>
                    <w:ind w:left="0" w:right="0"/>
                    <w:jc w:val="center"/>
                    <w:rPr>
                      <w:color w:val="auto"/>
                      <w:highlight w:val="none"/>
                    </w:rPr>
                  </w:pPr>
                  <w:r>
                    <w:rPr>
                      <w:rFonts w:hint="eastAsia"/>
                      <w:color w:val="auto"/>
                      <w:highlight w:val="none"/>
                    </w:rPr>
                    <w:t>（1）本项目建成后废气</w:t>
                  </w:r>
                  <w:r>
                    <w:rPr>
                      <w:rFonts w:hint="eastAsia"/>
                      <w:color w:val="auto"/>
                      <w:highlight w:val="none"/>
                      <w:lang w:val="en-US" w:eastAsia="zh-CN"/>
                    </w:rPr>
                    <w:t>产生量极小，严格按照《挥发性有机物无组织排放控制标准》（GB37822-2019）要求采取抑制VOCs产生措施，</w:t>
                  </w:r>
                  <w:r>
                    <w:rPr>
                      <w:rFonts w:hint="eastAsia"/>
                      <w:color w:val="auto"/>
                      <w:highlight w:val="none"/>
                    </w:rPr>
                    <w:t>废气可达标排放，周围环境空气不受影响。</w:t>
                  </w:r>
                </w:p>
                <w:p w14:paraId="02CFFEDE">
                  <w:pPr>
                    <w:pStyle w:val="2"/>
                    <w:keepNext w:val="0"/>
                    <w:keepLines w:val="0"/>
                    <w:suppressLineNumbers w:val="0"/>
                    <w:spacing w:before="0" w:beforeAutospacing="0" w:after="0" w:afterAutospacing="0"/>
                    <w:ind w:left="0" w:right="0"/>
                    <w:jc w:val="center"/>
                    <w:rPr>
                      <w:rFonts w:hint="eastAsia" w:eastAsia="宋体"/>
                      <w:color w:val="auto"/>
                      <w:kern w:val="2"/>
                      <w:sz w:val="21"/>
                      <w:szCs w:val="24"/>
                      <w:highlight w:val="none"/>
                      <w:lang w:eastAsia="zh-CN"/>
                    </w:rPr>
                  </w:pPr>
                  <w:r>
                    <w:rPr>
                      <w:rFonts w:hint="eastAsia"/>
                      <w:color w:val="auto"/>
                      <w:kern w:val="2"/>
                      <w:sz w:val="21"/>
                      <w:szCs w:val="24"/>
                      <w:highlight w:val="none"/>
                    </w:rPr>
                    <w:t>（2）蒸汽凝结水回用于地面冲洗，地面冲洗废水经污水管网排入东泽污水处理厂</w:t>
                  </w:r>
                  <w:r>
                    <w:rPr>
                      <w:rFonts w:hint="eastAsia"/>
                      <w:color w:val="auto"/>
                      <w:kern w:val="2"/>
                      <w:sz w:val="21"/>
                      <w:szCs w:val="24"/>
                      <w:highlight w:val="none"/>
                      <w:lang w:eastAsia="zh-CN"/>
                    </w:rPr>
                    <w:t>。</w:t>
                  </w:r>
                </w:p>
                <w:p w14:paraId="00713CA1">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highlight w:val="none"/>
                    </w:rPr>
                    <w:t>（3）本项目营运期设备噪声采取减震、隔声等措施后</w:t>
                  </w:r>
                  <w:r>
                    <w:rPr>
                      <w:rFonts w:hint="eastAsia"/>
                      <w:color w:val="auto"/>
                      <w:szCs w:val="21"/>
                      <w:highlight w:val="none"/>
                    </w:rPr>
                    <w:t>，厂界噪声达标排放，区域内声环境质量可维持现状。</w:t>
                  </w:r>
                </w:p>
                <w:p w14:paraId="132FA5E4">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（4）本项目营运期产生的固废</w:t>
                  </w:r>
                  <w:r>
                    <w:rPr>
                      <w:rFonts w:hint="eastAsia"/>
                      <w:color w:val="auto"/>
                      <w:szCs w:val="21"/>
                      <w:highlight w:val="none"/>
                      <w:lang w:val="en-US" w:eastAsia="zh-CN"/>
                    </w:rPr>
                    <w:t>均得到妥善处理处置，</w:t>
                  </w:r>
                  <w:r>
                    <w:rPr>
                      <w:rFonts w:hint="eastAsia"/>
                      <w:color w:val="auto"/>
                      <w:szCs w:val="21"/>
                      <w:highlight w:val="none"/>
                    </w:rPr>
                    <w:t>处置效率可达100%。</w:t>
                  </w:r>
                </w:p>
                <w:p w14:paraId="25FBC52F">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（5）本项目采取有效的污染物控制措施，排放总量符合地方环境保护划要求。</w:t>
                  </w:r>
                </w:p>
              </w:tc>
              <w:tc>
                <w:tcPr>
                  <w:tcW w:w="929" w:type="dxa"/>
                  <w:tcBorders>
                    <w:tl2br w:val="nil"/>
                    <w:tr2bl w:val="nil"/>
                  </w:tcBorders>
                  <w:vAlign w:val="center"/>
                </w:tcPr>
                <w:p w14:paraId="46C86CFA">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符合</w:t>
                  </w:r>
                </w:p>
              </w:tc>
            </w:tr>
            <w:tr w14:paraId="729A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5" w:type="dxa"/>
                  <w:tcBorders>
                    <w:tl2br w:val="nil"/>
                    <w:tr2bl w:val="nil"/>
                  </w:tcBorders>
                  <w:vAlign w:val="center"/>
                </w:tcPr>
                <w:p w14:paraId="1590C81C">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以石化及精细化工产业链延伸为主，突出发展高新技术产业，并用高新技术改造提升传统产业，形成以石油化工为龙头，以化工及精细化工产品为主导，以橡塑蜡制品加工、高端装备制造为辅助，高新技术产业为支撑，具有循环经济特色的上下游一体化及资源配置生态化的园区。</w:t>
                  </w:r>
                </w:p>
              </w:tc>
              <w:tc>
                <w:tcPr>
                  <w:tcW w:w="2520" w:type="dxa"/>
                  <w:tcBorders>
                    <w:tl2br w:val="nil"/>
                    <w:tr2bl w:val="nil"/>
                  </w:tcBorders>
                  <w:vAlign w:val="center"/>
                </w:tcPr>
                <w:p w14:paraId="6E599776">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本项目为汉圣化工（抚顺）有限公司</w:t>
                  </w:r>
                  <w:r>
                    <w:rPr>
                      <w:rFonts w:hint="eastAsia"/>
                      <w:color w:val="auto"/>
                      <w:szCs w:val="21"/>
                      <w:highlight w:val="none"/>
                      <w:lang w:val="en-US" w:eastAsia="zh-CN"/>
                    </w:rPr>
                    <w:t>技术改造</w:t>
                  </w:r>
                  <w:r>
                    <w:rPr>
                      <w:rFonts w:hint="eastAsia"/>
                      <w:color w:val="auto"/>
                      <w:szCs w:val="21"/>
                      <w:highlight w:val="none"/>
                    </w:rPr>
                    <w:t>项目，属于C2511原油加工及石油制品制造</w:t>
                  </w:r>
                </w:p>
              </w:tc>
              <w:tc>
                <w:tcPr>
                  <w:tcW w:w="929" w:type="dxa"/>
                  <w:tcBorders>
                    <w:tl2br w:val="nil"/>
                    <w:tr2bl w:val="nil"/>
                  </w:tcBorders>
                  <w:vAlign w:val="center"/>
                </w:tcPr>
                <w:p w14:paraId="7E147A08">
                  <w:pPr>
                    <w:keepNext w:val="0"/>
                    <w:keepLines w:val="0"/>
                    <w:suppressLineNumbers w:val="0"/>
                    <w:snapToGrid w:val="0"/>
                    <w:spacing w:before="0" w:beforeAutospacing="0" w:after="0" w:afterAutospacing="0"/>
                    <w:ind w:left="0" w:right="0"/>
                    <w:jc w:val="center"/>
                    <w:rPr>
                      <w:color w:val="auto"/>
                      <w:sz w:val="24"/>
                      <w:highlight w:val="none"/>
                    </w:rPr>
                  </w:pPr>
                  <w:r>
                    <w:rPr>
                      <w:rFonts w:hint="eastAsia"/>
                      <w:color w:val="auto"/>
                      <w:szCs w:val="21"/>
                      <w:highlight w:val="none"/>
                    </w:rPr>
                    <w:t>符合</w:t>
                  </w:r>
                </w:p>
              </w:tc>
            </w:tr>
          </w:tbl>
          <w:p w14:paraId="06435182">
            <w:pPr>
              <w:keepNext w:val="0"/>
              <w:keepLines w:val="0"/>
              <w:widowControl/>
              <w:suppressLineNumbers w:val="0"/>
              <w:spacing w:before="0" w:beforeAutospacing="0" w:after="0" w:afterAutospacing="0" w:line="360" w:lineRule="auto"/>
              <w:ind w:left="0" w:right="0" w:firstLine="480" w:firstLineChars="200"/>
              <w:jc w:val="left"/>
              <w:rPr>
                <w:rFonts w:hint="eastAsia"/>
                <w:color w:val="auto"/>
                <w:sz w:val="24"/>
                <w:highlight w:val="none"/>
              </w:rPr>
            </w:pPr>
            <w:r>
              <w:rPr>
                <w:rFonts w:hint="eastAsia"/>
                <w:color w:val="auto"/>
                <w:sz w:val="24"/>
                <w:highlight w:val="none"/>
              </w:rPr>
              <w:t>综上所述，</w:t>
            </w:r>
            <w:r>
              <w:rPr>
                <w:rFonts w:hint="eastAsia" w:ascii="宋体" w:hAnsi="宋体" w:cs="宋体"/>
                <w:color w:val="auto"/>
                <w:kern w:val="0"/>
                <w:sz w:val="24"/>
                <w:highlight w:val="none"/>
                <w:lang w:bidi="ar"/>
              </w:rPr>
              <w:t>本项目的建设符合</w:t>
            </w:r>
            <w:r>
              <w:rPr>
                <w:rFonts w:hint="eastAsia"/>
                <w:color w:val="auto"/>
                <w:sz w:val="24"/>
                <w:highlight w:val="none"/>
              </w:rPr>
              <w:t>《高新技术产业开发区总体规划（2018～2030）》要求。</w:t>
            </w:r>
          </w:p>
          <w:p w14:paraId="2416B290">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lang w:val="en-US" w:eastAsia="zh-CN"/>
              </w:rPr>
              <w:t>2</w:t>
            </w:r>
            <w:r>
              <w:rPr>
                <w:rFonts w:hint="eastAsia"/>
                <w:color w:val="auto"/>
                <w:sz w:val="24"/>
                <w:highlight w:val="none"/>
              </w:rPr>
              <w:t>、本项目与规划</w:t>
            </w:r>
            <w:r>
              <w:rPr>
                <w:rFonts w:hint="eastAsia"/>
                <w:color w:val="auto"/>
                <w:sz w:val="24"/>
                <w:highlight w:val="none"/>
                <w:lang w:val="en-US" w:eastAsia="zh-CN"/>
              </w:rPr>
              <w:t>环评</w:t>
            </w:r>
            <w:r>
              <w:rPr>
                <w:rFonts w:hint="eastAsia"/>
                <w:color w:val="auto"/>
                <w:sz w:val="24"/>
                <w:highlight w:val="none"/>
              </w:rPr>
              <w:t>相符性分析</w:t>
            </w:r>
          </w:p>
          <w:p w14:paraId="78F4BA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hanging="1200" w:hangingChars="500"/>
              <w:jc w:val="center"/>
              <w:textAlignment w:val="auto"/>
              <w:rPr>
                <w:color w:val="auto"/>
                <w:sz w:val="24"/>
                <w:highlight w:val="none"/>
              </w:rPr>
            </w:pPr>
            <w:r>
              <w:rPr>
                <w:rFonts w:hint="eastAsia"/>
                <w:color w:val="auto"/>
                <w:sz w:val="24"/>
                <w:highlight w:val="none"/>
              </w:rPr>
              <w:t>表1-</w:t>
            </w:r>
            <w:r>
              <w:rPr>
                <w:rFonts w:hint="eastAsia"/>
                <w:color w:val="auto"/>
                <w:sz w:val="24"/>
                <w:highlight w:val="none"/>
                <w:lang w:val="en-US" w:eastAsia="zh-CN"/>
              </w:rPr>
              <w:t>3</w:t>
            </w:r>
            <w:r>
              <w:rPr>
                <w:rFonts w:hint="eastAsia"/>
                <w:color w:val="auto"/>
                <w:sz w:val="24"/>
                <w:highlight w:val="none"/>
              </w:rPr>
              <w:t xml:space="preserve">  与规划</w:t>
            </w:r>
            <w:r>
              <w:rPr>
                <w:rFonts w:hint="eastAsia"/>
                <w:color w:val="auto"/>
                <w:sz w:val="24"/>
                <w:highlight w:val="none"/>
                <w:lang w:val="en-US" w:eastAsia="zh-CN"/>
              </w:rPr>
              <w:t>环评</w:t>
            </w:r>
            <w:r>
              <w:rPr>
                <w:rFonts w:hint="eastAsia"/>
                <w:color w:val="auto"/>
                <w:sz w:val="24"/>
                <w:highlight w:val="none"/>
              </w:rPr>
              <w:t>符合性分析</w:t>
            </w:r>
          </w:p>
          <w:tbl>
            <w:tblPr>
              <w:tblStyle w:val="2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78"/>
              <w:gridCol w:w="3107"/>
              <w:gridCol w:w="1984"/>
              <w:gridCol w:w="941"/>
            </w:tblGrid>
            <w:tr w14:paraId="6993F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5BD0742B">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序号</w:t>
                  </w:r>
                </w:p>
              </w:tc>
              <w:tc>
                <w:tcPr>
                  <w:tcW w:w="3109" w:type="dxa"/>
                  <w:vAlign w:val="center"/>
                </w:tcPr>
                <w:p w14:paraId="1DB1F199">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规划内容</w:t>
                  </w:r>
                </w:p>
              </w:tc>
              <w:tc>
                <w:tcPr>
                  <w:tcW w:w="1985" w:type="dxa"/>
                  <w:vAlign w:val="center"/>
                </w:tcPr>
                <w:p w14:paraId="3A47FA4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本项目</w:t>
                  </w:r>
                </w:p>
              </w:tc>
              <w:tc>
                <w:tcPr>
                  <w:tcW w:w="942" w:type="dxa"/>
                  <w:vAlign w:val="center"/>
                </w:tcPr>
                <w:p w14:paraId="0A9440A8">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符合性</w:t>
                  </w:r>
                </w:p>
              </w:tc>
            </w:tr>
            <w:tr w14:paraId="3E91FF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05E8D354">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1</w:t>
                  </w:r>
                </w:p>
              </w:tc>
              <w:tc>
                <w:tcPr>
                  <w:tcW w:w="3109" w:type="dxa"/>
                  <w:vAlign w:val="center"/>
                </w:tcPr>
                <w:p w14:paraId="3B4A6F08">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严格落实规划与建设项目环境影响评价的联动机制。建设项目环评需逐条落实规划环评建议、主要结论及审查意见等内容。</w:t>
                  </w:r>
                </w:p>
              </w:tc>
              <w:tc>
                <w:tcPr>
                  <w:tcW w:w="1985" w:type="dxa"/>
                  <w:vAlign w:val="center"/>
                </w:tcPr>
                <w:p w14:paraId="63D5D882">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本项目严格落实与规划联动机制，满</w:t>
                  </w:r>
                </w:p>
                <w:p w14:paraId="492D63DC">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足规划环评建议、主要结论及审查意</w:t>
                  </w:r>
                </w:p>
                <w:p w14:paraId="3518541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见要求的内容</w:t>
                  </w:r>
                </w:p>
              </w:tc>
              <w:tc>
                <w:tcPr>
                  <w:tcW w:w="942" w:type="dxa"/>
                  <w:vAlign w:val="center"/>
                </w:tcPr>
                <w:p w14:paraId="0C7DA2B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3D032C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24471FAB">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c>
                <w:tcPr>
                  <w:tcW w:w="3109" w:type="dxa"/>
                  <w:vAlign w:val="center"/>
                </w:tcPr>
                <w:p w14:paraId="177263C9">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企业必须根据《中华人民共和国环境保护法》、《中华人民共和国环境影响评价法》、《建设项目环境保护管理条例》等相关法律法规办理相关环评环保手续，获得环保批复。在开展环境影响评价工作中，应重点进行工程分析、污染防治措施、环境风险等内容，对于入驻项目应着重评价布局、规模和实施后对周边环境的影响，确认污染物排放浓度是否满足国家和地方的标准，排放总量是否满足抚顺市总量控制目标之内。</w:t>
                  </w:r>
                </w:p>
              </w:tc>
              <w:tc>
                <w:tcPr>
                  <w:tcW w:w="1985" w:type="dxa"/>
                  <w:vAlign w:val="center"/>
                </w:tcPr>
                <w:p w14:paraId="34F769B0">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本项目正在办理相关环评环保手续，</w:t>
                  </w:r>
                </w:p>
                <w:p w14:paraId="5D7D331D">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报告重点进行工程分析、污染防治措</w:t>
                  </w:r>
                </w:p>
                <w:p w14:paraId="017FB98C">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施、环境风险等内容，污染物排放满</w:t>
                  </w:r>
                </w:p>
                <w:p w14:paraId="1575B40B">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足国家和地方标准，报批前申请总量指标</w:t>
                  </w:r>
                </w:p>
                <w:p w14:paraId="74751E8A">
                  <w:pPr>
                    <w:keepNext w:val="0"/>
                    <w:keepLines w:val="0"/>
                    <w:suppressLineNumbers w:val="0"/>
                    <w:spacing w:before="0" w:beforeAutospacing="0" w:after="0" w:afterAutospacing="0"/>
                    <w:ind w:left="0" w:right="0"/>
                    <w:jc w:val="center"/>
                    <w:rPr>
                      <w:color w:val="auto"/>
                      <w:szCs w:val="21"/>
                      <w:highlight w:val="none"/>
                    </w:rPr>
                  </w:pPr>
                </w:p>
              </w:tc>
              <w:tc>
                <w:tcPr>
                  <w:tcW w:w="942" w:type="dxa"/>
                  <w:vAlign w:val="center"/>
                </w:tcPr>
                <w:p w14:paraId="02EE021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63C4AE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3E72E10F">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3</w:t>
                  </w:r>
                </w:p>
              </w:tc>
              <w:tc>
                <w:tcPr>
                  <w:tcW w:w="3109" w:type="dxa"/>
                  <w:vAlign w:val="center"/>
                </w:tcPr>
                <w:p w14:paraId="59214E07">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企业必须符合国家、辽宁省的产业政策和环保政策，企业项目（产品）应符合国家及地方关于环境保护的规定和要求。</w:t>
                  </w:r>
                </w:p>
              </w:tc>
              <w:tc>
                <w:tcPr>
                  <w:tcW w:w="1985" w:type="dxa"/>
                  <w:vAlign w:val="center"/>
                </w:tcPr>
                <w:p w14:paraId="4EAB40CC">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企业符合国家、辽宁省的产业政策和</w:t>
                  </w:r>
                </w:p>
                <w:p w14:paraId="60583C08">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环保政策，企业项目（产品）符合国</w:t>
                  </w:r>
                </w:p>
                <w:p w14:paraId="5BC93109">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家及地方关于环境保护的规定和要</w:t>
                  </w:r>
                </w:p>
                <w:p w14:paraId="3A7FDC8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求</w:t>
                  </w:r>
                </w:p>
              </w:tc>
              <w:tc>
                <w:tcPr>
                  <w:tcW w:w="942" w:type="dxa"/>
                  <w:vAlign w:val="center"/>
                </w:tcPr>
                <w:p w14:paraId="179F6E0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537C5F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69ED540E">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4</w:t>
                  </w:r>
                </w:p>
              </w:tc>
              <w:tc>
                <w:tcPr>
                  <w:tcW w:w="3109" w:type="dxa"/>
                  <w:vAlign w:val="center"/>
                </w:tcPr>
                <w:p w14:paraId="7E35873E">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符合抚顺高新区产业规划的产业发展方向。（张甸化工及精细化工产业区：位于石油化工产业园区南侧，依托抚顺石化原料资源，以提质增效为核心，强化技术创新和技术成果转化，加快研发纯度高、品质好、性能佳、安全健康的特色品种，将产业链向精细化工、化工新材料等下游产业领域延伸。）</w:t>
                  </w:r>
                </w:p>
              </w:tc>
              <w:tc>
                <w:tcPr>
                  <w:tcW w:w="1985" w:type="dxa"/>
                  <w:vAlign w:val="center"/>
                </w:tcPr>
                <w:p w14:paraId="2294B2A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本项目</w:t>
                  </w:r>
                  <w:r>
                    <w:rPr>
                      <w:rFonts w:hint="eastAsia"/>
                      <w:color w:val="auto"/>
                      <w:szCs w:val="21"/>
                      <w:highlight w:val="none"/>
                      <w:lang w:val="en-US" w:eastAsia="zh-CN"/>
                    </w:rPr>
                    <w:t>无新增产品种类及数量，主要对原料进行精细加工。原项目</w:t>
                  </w:r>
                  <w:r>
                    <w:rPr>
                      <w:rFonts w:hint="eastAsia"/>
                      <w:color w:val="auto"/>
                      <w:szCs w:val="21"/>
                      <w:highlight w:val="none"/>
                    </w:rPr>
                    <w:t>主要生产</w:t>
                  </w:r>
                  <w:r>
                    <w:rPr>
                      <w:rFonts w:hint="eastAsia"/>
                      <w:color w:val="auto"/>
                      <w:szCs w:val="21"/>
                      <w:highlight w:val="none"/>
                      <w:lang w:val="en-US" w:eastAsia="zh-CN"/>
                    </w:rPr>
                    <w:t>橡胶防护蜡、凡士林</w:t>
                  </w:r>
                  <w:r>
                    <w:rPr>
                      <w:rFonts w:hint="eastAsia"/>
                      <w:color w:val="auto"/>
                      <w:szCs w:val="21"/>
                      <w:highlight w:val="none"/>
                    </w:rPr>
                    <w:t>，符合张甸化工园区产业链延伸项目的要求，符合抚顺高新区产业发展方向</w:t>
                  </w:r>
                </w:p>
              </w:tc>
              <w:tc>
                <w:tcPr>
                  <w:tcW w:w="942" w:type="dxa"/>
                  <w:vAlign w:val="center"/>
                </w:tcPr>
                <w:p w14:paraId="541553E6">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7D6DC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0A709E9E">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5</w:t>
                  </w:r>
                </w:p>
              </w:tc>
              <w:tc>
                <w:tcPr>
                  <w:tcW w:w="3109" w:type="dxa"/>
                  <w:vAlign w:val="center"/>
                </w:tcPr>
                <w:p w14:paraId="4C80046D">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采用先进的技术和装备减少污染物的排放。</w:t>
                  </w:r>
                </w:p>
              </w:tc>
              <w:tc>
                <w:tcPr>
                  <w:tcW w:w="1985" w:type="dxa"/>
                  <w:vAlign w:val="center"/>
                </w:tcPr>
                <w:p w14:paraId="38A7D3CB">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本项目采用先进技术装备，有效减少</w:t>
                  </w:r>
                </w:p>
                <w:p w14:paraId="69683C36">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污染物的排放</w:t>
                  </w:r>
                </w:p>
              </w:tc>
              <w:tc>
                <w:tcPr>
                  <w:tcW w:w="942" w:type="dxa"/>
                  <w:vAlign w:val="center"/>
                </w:tcPr>
                <w:p w14:paraId="1A543873">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符合</w:t>
                  </w:r>
                </w:p>
              </w:tc>
            </w:tr>
            <w:tr w14:paraId="5FD4D7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26632642">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6</w:t>
                  </w:r>
                </w:p>
              </w:tc>
              <w:tc>
                <w:tcPr>
                  <w:tcW w:w="3109" w:type="dxa"/>
                  <w:vAlign w:val="center"/>
                </w:tcPr>
                <w:p w14:paraId="20843F5E">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满足抚顺高新区对用水、排水及其他污染物的排放和管理要求。</w:t>
                  </w:r>
                </w:p>
              </w:tc>
              <w:tc>
                <w:tcPr>
                  <w:tcW w:w="1985" w:type="dxa"/>
                  <w:vAlign w:val="center"/>
                </w:tcPr>
                <w:p w14:paraId="1CB6A010">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本项目满足用水、排水及其他污染物</w:t>
                  </w:r>
                </w:p>
                <w:p w14:paraId="0F178E27">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的排放和管理要求</w:t>
                  </w:r>
                </w:p>
              </w:tc>
              <w:tc>
                <w:tcPr>
                  <w:tcW w:w="942" w:type="dxa"/>
                  <w:vAlign w:val="center"/>
                </w:tcPr>
                <w:p w14:paraId="22514552">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符合</w:t>
                  </w:r>
                </w:p>
              </w:tc>
            </w:tr>
            <w:tr w14:paraId="32CA08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6671C57B">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7</w:t>
                  </w:r>
                </w:p>
              </w:tc>
              <w:tc>
                <w:tcPr>
                  <w:tcW w:w="3109" w:type="dxa"/>
                  <w:vAlign w:val="center"/>
                </w:tcPr>
                <w:p w14:paraId="1B7460CB">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强化建设项目事中事后监管，实行清洁生产审核，严格控制生产各环节污染物产生，拟入园企业的清洁生产水平应达到国内先进水平。</w:t>
                  </w:r>
                </w:p>
              </w:tc>
              <w:tc>
                <w:tcPr>
                  <w:tcW w:w="1985" w:type="dxa"/>
                  <w:vAlign w:val="center"/>
                </w:tcPr>
                <w:p w14:paraId="607009C0">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本项目清洁生产水平达到国内先进</w:t>
                  </w:r>
                </w:p>
                <w:p w14:paraId="262442E4">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水平</w:t>
                  </w:r>
                </w:p>
              </w:tc>
              <w:tc>
                <w:tcPr>
                  <w:tcW w:w="942" w:type="dxa"/>
                  <w:vAlign w:val="center"/>
                </w:tcPr>
                <w:p w14:paraId="5675C08B">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符合</w:t>
                  </w:r>
                </w:p>
              </w:tc>
            </w:tr>
            <w:tr w14:paraId="174C1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6F9EA440">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8</w:t>
                  </w:r>
                </w:p>
              </w:tc>
              <w:tc>
                <w:tcPr>
                  <w:tcW w:w="3109" w:type="dxa"/>
                  <w:vAlign w:val="center"/>
                </w:tcPr>
                <w:p w14:paraId="4DA3A0AC">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建立环境保护管理责任部门、责任人制度，接受抚顺高新区管委会及</w:t>
                  </w:r>
                  <w:r>
                    <w:rPr>
                      <w:rFonts w:hint="eastAsia"/>
                      <w:color w:val="FF0000"/>
                      <w:szCs w:val="21"/>
                      <w:highlight w:val="none"/>
                      <w:lang w:val="en-US" w:eastAsia="zh-CN"/>
                    </w:rPr>
                    <w:t>生态环境局</w:t>
                  </w:r>
                  <w:r>
                    <w:rPr>
                      <w:rFonts w:hint="eastAsia"/>
                      <w:color w:val="auto"/>
                      <w:szCs w:val="21"/>
                      <w:highlight w:val="none"/>
                    </w:rPr>
                    <w:t>的监督。</w:t>
                  </w:r>
                </w:p>
              </w:tc>
              <w:tc>
                <w:tcPr>
                  <w:tcW w:w="1985" w:type="dxa"/>
                  <w:vAlign w:val="center"/>
                </w:tcPr>
                <w:p w14:paraId="48CA8509">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企业已建立环保责任制度和环境管</w:t>
                  </w:r>
                </w:p>
                <w:p w14:paraId="378DB34A">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理制度，接受抚顺高新区管委会及环</w:t>
                  </w:r>
                </w:p>
                <w:p w14:paraId="4C5D3B7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保局的监督</w:t>
                  </w:r>
                </w:p>
              </w:tc>
              <w:tc>
                <w:tcPr>
                  <w:tcW w:w="942" w:type="dxa"/>
                  <w:vAlign w:val="center"/>
                </w:tcPr>
                <w:p w14:paraId="50351548">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符合</w:t>
                  </w:r>
                </w:p>
              </w:tc>
            </w:tr>
            <w:tr w14:paraId="16BC6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41C5481C">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9</w:t>
                  </w:r>
                </w:p>
              </w:tc>
              <w:tc>
                <w:tcPr>
                  <w:tcW w:w="3109" w:type="dxa"/>
                  <w:vAlign w:val="center"/>
                </w:tcPr>
                <w:p w14:paraId="12BF6328">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加强企业环境风险管控。落实环境安全责任主体，完善抚顺高新区、企业环境风险风控设施（措施）和环境风险“三级防控体系”，制定园区、企业突发环境事件应急预案，建立环境安全隐患排查治理制度，健全环境风险管理台账</w:t>
                  </w:r>
                </w:p>
              </w:tc>
              <w:tc>
                <w:tcPr>
                  <w:tcW w:w="1985" w:type="dxa"/>
                  <w:vAlign w:val="center"/>
                </w:tcPr>
                <w:p w14:paraId="3B27798F">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企业建立三级防控体系，本项目建成</w:t>
                  </w:r>
                </w:p>
                <w:p w14:paraId="0E6E990D">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后企业及时修订应急预案，建立环境</w:t>
                  </w:r>
                </w:p>
                <w:p w14:paraId="42EBFD7F">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安全隐患排查治理制度和环境风险</w:t>
                  </w:r>
                </w:p>
                <w:p w14:paraId="0B28B0CF">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管理台账</w:t>
                  </w:r>
                </w:p>
              </w:tc>
              <w:tc>
                <w:tcPr>
                  <w:tcW w:w="942" w:type="dxa"/>
                  <w:vAlign w:val="center"/>
                </w:tcPr>
                <w:p w14:paraId="59A92855">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符合</w:t>
                  </w:r>
                </w:p>
              </w:tc>
            </w:tr>
            <w:tr w14:paraId="54FED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78" w:type="dxa"/>
                  <w:vAlign w:val="center"/>
                </w:tcPr>
                <w:p w14:paraId="0860BD98">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10</w:t>
                  </w:r>
                </w:p>
              </w:tc>
              <w:tc>
                <w:tcPr>
                  <w:tcW w:w="3109" w:type="dxa"/>
                  <w:vAlign w:val="center"/>
                </w:tcPr>
                <w:p w14:paraId="6284F2CA">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应优先发展《产业结构调整指导目录（2024 年本）》中鼓励类项目，不符合产业政策的项目不能入驻。优先引进高技术含量、高附加值、低污染、低能耗的企业。</w:t>
                  </w:r>
                </w:p>
              </w:tc>
              <w:tc>
                <w:tcPr>
                  <w:tcW w:w="1985" w:type="dxa"/>
                  <w:vAlign w:val="center"/>
                </w:tcPr>
                <w:p w14:paraId="07274A34">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本项目属于《产业结构调整指导目录</w:t>
                  </w:r>
                </w:p>
                <w:p w14:paraId="75BCF634">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（2024 年本）》允许类项目</w:t>
                  </w:r>
                </w:p>
              </w:tc>
              <w:tc>
                <w:tcPr>
                  <w:tcW w:w="942" w:type="dxa"/>
                  <w:vAlign w:val="center"/>
                </w:tcPr>
                <w:p w14:paraId="66E7CA97">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bl>
          <w:p w14:paraId="4B67DAED">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lang w:val="en-US" w:eastAsia="zh-CN"/>
              </w:rPr>
              <w:t>3</w:t>
            </w:r>
            <w:r>
              <w:rPr>
                <w:rFonts w:hint="eastAsia"/>
                <w:color w:val="auto"/>
                <w:sz w:val="24"/>
                <w:highlight w:val="none"/>
              </w:rPr>
              <w:t>、本项目与规划环境影响评</w:t>
            </w:r>
            <w:r>
              <w:rPr>
                <w:rFonts w:hint="eastAsia"/>
                <w:color w:val="auto"/>
                <w:sz w:val="24"/>
                <w:highlight w:val="none"/>
                <w:lang w:val="en-US" w:eastAsia="zh-CN"/>
              </w:rPr>
              <w:t>审查意见</w:t>
            </w:r>
            <w:r>
              <w:rPr>
                <w:rFonts w:hint="eastAsia"/>
                <w:color w:val="auto"/>
                <w:sz w:val="24"/>
                <w:highlight w:val="none"/>
              </w:rPr>
              <w:t>价结论相符性分析</w:t>
            </w:r>
          </w:p>
          <w:p w14:paraId="34DCB8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hanging="1200" w:hangingChars="500"/>
              <w:jc w:val="center"/>
              <w:textAlignment w:val="auto"/>
              <w:rPr>
                <w:color w:val="auto"/>
                <w:sz w:val="24"/>
                <w:highlight w:val="none"/>
              </w:rPr>
            </w:pPr>
            <w:r>
              <w:rPr>
                <w:rFonts w:hint="eastAsia"/>
                <w:color w:val="auto"/>
                <w:sz w:val="24"/>
                <w:highlight w:val="none"/>
              </w:rPr>
              <w:t>表1-</w:t>
            </w:r>
            <w:r>
              <w:rPr>
                <w:rFonts w:hint="eastAsia"/>
                <w:color w:val="auto"/>
                <w:sz w:val="24"/>
                <w:highlight w:val="none"/>
                <w:lang w:val="en-US" w:eastAsia="zh-CN"/>
              </w:rPr>
              <w:t>4</w:t>
            </w:r>
            <w:r>
              <w:rPr>
                <w:rFonts w:hint="eastAsia"/>
                <w:color w:val="auto"/>
                <w:sz w:val="24"/>
                <w:highlight w:val="none"/>
              </w:rPr>
              <w:t xml:space="preserve">  与规划环评</w:t>
            </w:r>
            <w:r>
              <w:rPr>
                <w:rFonts w:hint="eastAsia"/>
                <w:color w:val="auto"/>
                <w:sz w:val="24"/>
                <w:highlight w:val="none"/>
                <w:lang w:val="en-US" w:eastAsia="zh-CN"/>
              </w:rPr>
              <w:t>审查意见</w:t>
            </w:r>
            <w:r>
              <w:rPr>
                <w:rFonts w:hint="eastAsia"/>
                <w:color w:val="auto"/>
                <w:sz w:val="24"/>
                <w:highlight w:val="none"/>
              </w:rPr>
              <w:t>相符性分析</w:t>
            </w:r>
          </w:p>
          <w:tbl>
            <w:tblPr>
              <w:tblStyle w:val="27"/>
              <w:tblW w:w="4984"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64"/>
              <w:gridCol w:w="1047"/>
              <w:gridCol w:w="2312"/>
              <w:gridCol w:w="1943"/>
              <w:gridCol w:w="823"/>
            </w:tblGrid>
            <w:tr w14:paraId="09C52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288" w:type="pct"/>
                  <w:gridSpan w:val="2"/>
                  <w:vAlign w:val="center"/>
                </w:tcPr>
                <w:p w14:paraId="4B4A45F0">
                  <w:pPr>
                    <w:keepNext w:val="0"/>
                    <w:keepLines w:val="0"/>
                    <w:widowControl/>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分类</w:t>
                  </w:r>
                </w:p>
              </w:tc>
              <w:tc>
                <w:tcPr>
                  <w:tcW w:w="1824" w:type="pct"/>
                  <w:vAlign w:val="center"/>
                </w:tcPr>
                <w:p w14:paraId="6FC784DA">
                  <w:pPr>
                    <w:keepNext w:val="0"/>
                    <w:keepLines w:val="0"/>
                    <w:widowControl/>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文件要求</w:t>
                  </w:r>
                </w:p>
              </w:tc>
              <w:tc>
                <w:tcPr>
                  <w:tcW w:w="1191" w:type="pct"/>
                  <w:vAlign w:val="center"/>
                </w:tcPr>
                <w:p w14:paraId="349BA26B">
                  <w:pPr>
                    <w:keepNext w:val="0"/>
                    <w:keepLines w:val="0"/>
                    <w:widowControl/>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本项目</w:t>
                  </w:r>
                </w:p>
              </w:tc>
              <w:tc>
                <w:tcPr>
                  <w:tcW w:w="695" w:type="pct"/>
                  <w:vAlign w:val="center"/>
                </w:tcPr>
                <w:p w14:paraId="0C19CAA7">
                  <w:pPr>
                    <w:keepNext w:val="0"/>
                    <w:keepLines w:val="0"/>
                    <w:widowControl/>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符合性</w:t>
                  </w:r>
                </w:p>
              </w:tc>
            </w:tr>
            <w:tr w14:paraId="731DB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Align w:val="center"/>
                </w:tcPr>
                <w:p w14:paraId="65CD6725">
                  <w:pPr>
                    <w:keepNext w:val="0"/>
                    <w:keepLines w:val="0"/>
                    <w:widowControl/>
                    <w:suppressLineNumbers w:val="0"/>
                    <w:spacing w:before="0" w:beforeAutospacing="0" w:after="0" w:afterAutospacing="0"/>
                    <w:ind w:left="0" w:right="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1</w:t>
                  </w:r>
                </w:p>
              </w:tc>
              <w:tc>
                <w:tcPr>
                  <w:tcW w:w="864" w:type="pct"/>
                  <w:vAlign w:val="center"/>
                </w:tcPr>
                <w:p w14:paraId="5E69416D">
                  <w:pPr>
                    <w:keepNext w:val="0"/>
                    <w:keepLines w:val="0"/>
                    <w:widowControl/>
                    <w:suppressLineNumbers w:val="0"/>
                    <w:spacing w:before="0" w:beforeAutospacing="0" w:after="0" w:afterAutospacing="0"/>
                    <w:ind w:left="0" w:right="0"/>
                    <w:jc w:val="center"/>
                    <w:rPr>
                      <w:rFonts w:hint="eastAsia"/>
                      <w:color w:val="auto"/>
                      <w:kern w:val="0"/>
                      <w:szCs w:val="21"/>
                      <w:highlight w:val="none"/>
                    </w:rPr>
                  </w:pPr>
                  <w:r>
                    <w:rPr>
                      <w:rFonts w:hint="eastAsia"/>
                      <w:color w:val="auto"/>
                      <w:kern w:val="0"/>
                      <w:szCs w:val="21"/>
                      <w:highlight w:val="none"/>
                    </w:rPr>
                    <w:t>(一)坚持</w:t>
                  </w:r>
                </w:p>
                <w:p w14:paraId="2102C5D7">
                  <w:pPr>
                    <w:keepNext w:val="0"/>
                    <w:keepLines w:val="0"/>
                    <w:widowControl/>
                    <w:suppressLineNumbers w:val="0"/>
                    <w:spacing w:before="0" w:beforeAutospacing="0" w:after="0" w:afterAutospacing="0"/>
                    <w:ind w:left="0" w:right="0"/>
                    <w:jc w:val="center"/>
                    <w:rPr>
                      <w:rFonts w:hint="eastAsia"/>
                      <w:color w:val="auto"/>
                      <w:kern w:val="0"/>
                      <w:szCs w:val="21"/>
                      <w:highlight w:val="none"/>
                    </w:rPr>
                  </w:pPr>
                  <w:r>
                    <w:rPr>
                      <w:rFonts w:hint="eastAsia"/>
                      <w:color w:val="auto"/>
                      <w:kern w:val="0"/>
                      <w:szCs w:val="21"/>
                      <w:highlight w:val="none"/>
                    </w:rPr>
                    <w:t>生态优</w:t>
                  </w:r>
                </w:p>
                <w:p w14:paraId="17FC3BE0">
                  <w:pPr>
                    <w:keepNext w:val="0"/>
                    <w:keepLines w:val="0"/>
                    <w:widowControl/>
                    <w:suppressLineNumbers w:val="0"/>
                    <w:spacing w:before="0" w:beforeAutospacing="0" w:after="0" w:afterAutospacing="0"/>
                    <w:ind w:left="0" w:right="0"/>
                    <w:jc w:val="center"/>
                    <w:rPr>
                      <w:rFonts w:hint="default" w:eastAsia="宋体"/>
                      <w:color w:val="auto"/>
                      <w:kern w:val="0"/>
                      <w:szCs w:val="21"/>
                      <w:highlight w:val="none"/>
                      <w:lang w:val="en-US" w:eastAsia="zh-CN"/>
                    </w:rPr>
                  </w:pPr>
                  <w:r>
                    <w:rPr>
                      <w:rFonts w:hint="eastAsia"/>
                      <w:color w:val="auto"/>
                      <w:kern w:val="0"/>
                      <w:szCs w:val="21"/>
                      <w:highlight w:val="none"/>
                    </w:rPr>
                    <w:t>先，绿色</w:t>
                  </w:r>
                  <w:r>
                    <w:rPr>
                      <w:rFonts w:hint="eastAsia"/>
                      <w:color w:val="auto"/>
                      <w:kern w:val="0"/>
                      <w:szCs w:val="21"/>
                      <w:highlight w:val="none"/>
                      <w:lang w:val="en-US" w:eastAsia="zh-CN"/>
                    </w:rPr>
                    <w:t>低碳发展</w:t>
                  </w:r>
                </w:p>
              </w:tc>
              <w:tc>
                <w:tcPr>
                  <w:tcW w:w="1824" w:type="pct"/>
                  <w:vAlign w:val="center"/>
                </w:tcPr>
                <w:p w14:paraId="7F7F09FE">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在优化规划布局和发展规模的基础上，进一步提高土地资源利用率，提高产业水平、聚集度和产业链延伸度，确保与生态环境分区管控要求和抚顺市国土空间总体规划等相符，保持重要生态用地面积不减少，确保区域生态功能不退化。</w:t>
                  </w:r>
                </w:p>
              </w:tc>
              <w:tc>
                <w:tcPr>
                  <w:tcW w:w="1191" w:type="pct"/>
                  <w:vAlign w:val="center"/>
                </w:tcPr>
                <w:p w14:paraId="26917083">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本项目在现有厂区内建设，不新增占地，项目建设符合生态环境分区管控要求和抚顺市国土空间总体规划</w:t>
                  </w:r>
                </w:p>
              </w:tc>
              <w:tc>
                <w:tcPr>
                  <w:tcW w:w="695" w:type="pct"/>
                  <w:vAlign w:val="center"/>
                </w:tcPr>
                <w:p w14:paraId="49E7C2E9">
                  <w:pPr>
                    <w:keepNext w:val="0"/>
                    <w:keepLines w:val="0"/>
                    <w:widowControl/>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符合</w:t>
                  </w:r>
                </w:p>
              </w:tc>
            </w:tr>
            <w:tr w14:paraId="443E89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restart"/>
                  <w:vAlign w:val="center"/>
                </w:tcPr>
                <w:p w14:paraId="0956FE77">
                  <w:pPr>
                    <w:keepNext w:val="0"/>
                    <w:keepLines w:val="0"/>
                    <w:widowControl/>
                    <w:suppressLineNumbers w:val="0"/>
                    <w:spacing w:before="0" w:beforeAutospacing="0" w:after="0" w:afterAutospacing="0"/>
                    <w:ind w:left="0" w:right="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2</w:t>
                  </w:r>
                </w:p>
              </w:tc>
              <w:tc>
                <w:tcPr>
                  <w:tcW w:w="864" w:type="pct"/>
                  <w:vMerge w:val="restart"/>
                  <w:vAlign w:val="center"/>
                </w:tcPr>
                <w:p w14:paraId="5C687987">
                  <w:pPr>
                    <w:keepNext w:val="0"/>
                    <w:keepLines w:val="0"/>
                    <w:widowControl/>
                    <w:suppressLineNumbers w:val="0"/>
                    <w:spacing w:before="0" w:beforeAutospacing="0" w:after="0" w:afterAutospacing="0"/>
                    <w:ind w:left="0" w:right="0"/>
                    <w:jc w:val="center"/>
                    <w:rPr>
                      <w:rFonts w:hint="eastAsia"/>
                      <w:color w:val="auto"/>
                      <w:kern w:val="0"/>
                      <w:szCs w:val="21"/>
                      <w:highlight w:val="none"/>
                    </w:rPr>
                  </w:pPr>
                  <w:r>
                    <w:rPr>
                      <w:rFonts w:hint="eastAsia"/>
                      <w:color w:val="auto"/>
                      <w:kern w:val="0"/>
                      <w:szCs w:val="21"/>
                      <w:highlight w:val="none"/>
                    </w:rPr>
                    <w:t>（二）严</w:t>
                  </w:r>
                </w:p>
                <w:p w14:paraId="17252733">
                  <w:pPr>
                    <w:keepNext w:val="0"/>
                    <w:keepLines w:val="0"/>
                    <w:widowControl/>
                    <w:suppressLineNumbers w:val="0"/>
                    <w:spacing w:before="0" w:beforeAutospacing="0" w:after="0" w:afterAutospacing="0"/>
                    <w:ind w:left="0" w:right="0"/>
                    <w:jc w:val="center"/>
                    <w:rPr>
                      <w:rFonts w:hint="eastAsia"/>
                      <w:color w:val="auto"/>
                      <w:kern w:val="0"/>
                      <w:szCs w:val="21"/>
                      <w:highlight w:val="none"/>
                    </w:rPr>
                  </w:pPr>
                  <w:r>
                    <w:rPr>
                      <w:rFonts w:hint="eastAsia"/>
                      <w:color w:val="auto"/>
                      <w:kern w:val="0"/>
                      <w:szCs w:val="21"/>
                      <w:highlight w:val="none"/>
                    </w:rPr>
                    <w:t>格空间管控、优化功能布</w:t>
                  </w:r>
                </w:p>
                <w:p w14:paraId="5D8CAA1B">
                  <w:pPr>
                    <w:keepNext w:val="0"/>
                    <w:keepLines w:val="0"/>
                    <w:widowControl/>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局。</w:t>
                  </w:r>
                </w:p>
              </w:tc>
              <w:tc>
                <w:tcPr>
                  <w:tcW w:w="1824" w:type="pct"/>
                  <w:vAlign w:val="center"/>
                </w:tcPr>
                <w:p w14:paraId="38E21D72">
                  <w:pPr>
                    <w:keepNext w:val="0"/>
                    <w:keepLines w:val="0"/>
                    <w:widowControl/>
                    <w:suppressLineNumbers w:val="0"/>
                    <w:spacing w:before="0" w:beforeAutospacing="0" w:after="0" w:afterAutospacing="0"/>
                    <w:ind w:left="0" w:right="0"/>
                    <w:jc w:val="left"/>
                    <w:rPr>
                      <w:rFonts w:hint="eastAsia" w:eastAsia="宋体"/>
                      <w:color w:val="auto"/>
                      <w:kern w:val="0"/>
                      <w:szCs w:val="21"/>
                      <w:highlight w:val="none"/>
                      <w:lang w:eastAsia="zh-CN"/>
                    </w:rPr>
                  </w:pPr>
                  <w:r>
                    <w:rPr>
                      <w:rFonts w:hint="eastAsia"/>
                      <w:color w:val="auto"/>
                      <w:kern w:val="0"/>
                      <w:szCs w:val="21"/>
                      <w:highlight w:val="none"/>
                    </w:rPr>
                    <w:t>为减少规划工业用地对周边居住区的环境影响，报告书规定石化建成区、碾盘工业园区、张甸工业园区的三类工业用地及石化建成区西侧的仓储物流用地外1000 米为环境敏感点控制距离</w:t>
                  </w:r>
                  <w:r>
                    <w:rPr>
                      <w:rFonts w:hint="eastAsia"/>
                      <w:color w:val="auto"/>
                      <w:kern w:val="0"/>
                      <w:szCs w:val="21"/>
                      <w:highlight w:val="none"/>
                      <w:lang w:eastAsia="zh-CN"/>
                    </w:rPr>
                    <w:t>……</w:t>
                  </w:r>
                  <w:r>
                    <w:rPr>
                      <w:rFonts w:hint="eastAsia"/>
                      <w:color w:val="auto"/>
                      <w:kern w:val="0"/>
                      <w:szCs w:val="21"/>
                      <w:highlight w:val="none"/>
                    </w:rPr>
                    <w:t>在该距离范围内不得规划或建设居民区、学校、医院等；新建项目的环境防护距离包络线不应超出规划环境敏感点控制距离边界线以外</w:t>
                  </w:r>
                  <w:r>
                    <w:rPr>
                      <w:rFonts w:hint="eastAsia"/>
                      <w:color w:val="auto"/>
                      <w:kern w:val="0"/>
                      <w:szCs w:val="21"/>
                      <w:highlight w:val="none"/>
                      <w:lang w:eastAsia="zh-CN"/>
                    </w:rPr>
                    <w:t>……</w:t>
                  </w:r>
                </w:p>
              </w:tc>
              <w:tc>
                <w:tcPr>
                  <w:tcW w:w="1191" w:type="pct"/>
                  <w:vAlign w:val="center"/>
                </w:tcPr>
                <w:p w14:paraId="2D931BB1">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本项目位于张甸工业园区，企业卫生防护距离在园区控制范围内，对周围居民点影响较小</w:t>
                  </w:r>
                </w:p>
                <w:p w14:paraId="4C2790E4">
                  <w:pPr>
                    <w:keepNext w:val="0"/>
                    <w:keepLines w:val="0"/>
                    <w:widowControl/>
                    <w:suppressLineNumbers w:val="0"/>
                    <w:spacing w:before="0" w:beforeAutospacing="0" w:after="0" w:afterAutospacing="0"/>
                    <w:ind w:left="0" w:right="0"/>
                    <w:jc w:val="left"/>
                    <w:rPr>
                      <w:color w:val="auto"/>
                      <w:kern w:val="0"/>
                      <w:szCs w:val="21"/>
                      <w:highlight w:val="none"/>
                    </w:rPr>
                  </w:pPr>
                </w:p>
              </w:tc>
              <w:tc>
                <w:tcPr>
                  <w:tcW w:w="695" w:type="pct"/>
                  <w:vAlign w:val="center"/>
                </w:tcPr>
                <w:p w14:paraId="66928F90">
                  <w:pPr>
                    <w:keepNext w:val="0"/>
                    <w:keepLines w:val="0"/>
                    <w:widowControl/>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符合</w:t>
                  </w:r>
                </w:p>
              </w:tc>
            </w:tr>
            <w:tr w14:paraId="28317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continue"/>
                  <w:vAlign w:val="center"/>
                </w:tcPr>
                <w:p w14:paraId="1CFCA7B9">
                  <w:pPr>
                    <w:keepNext w:val="0"/>
                    <w:keepLines w:val="0"/>
                    <w:widowControl/>
                    <w:suppressLineNumbers w:val="0"/>
                    <w:spacing w:before="0" w:beforeAutospacing="0" w:after="0" w:afterAutospacing="0"/>
                    <w:ind w:left="0" w:right="0"/>
                    <w:jc w:val="center"/>
                    <w:rPr>
                      <w:color w:val="auto"/>
                      <w:kern w:val="0"/>
                      <w:szCs w:val="21"/>
                      <w:highlight w:val="none"/>
                    </w:rPr>
                  </w:pPr>
                </w:p>
              </w:tc>
              <w:tc>
                <w:tcPr>
                  <w:tcW w:w="864" w:type="pct"/>
                  <w:vMerge w:val="continue"/>
                  <w:vAlign w:val="center"/>
                </w:tcPr>
                <w:p w14:paraId="57FB01C7">
                  <w:pPr>
                    <w:keepNext w:val="0"/>
                    <w:keepLines w:val="0"/>
                    <w:widowControl/>
                    <w:suppressLineNumbers w:val="0"/>
                    <w:spacing w:before="0" w:beforeAutospacing="0" w:after="0" w:afterAutospacing="0"/>
                    <w:ind w:left="0" w:right="0"/>
                    <w:jc w:val="center"/>
                    <w:rPr>
                      <w:color w:val="auto"/>
                      <w:kern w:val="0"/>
                      <w:szCs w:val="21"/>
                      <w:highlight w:val="none"/>
                    </w:rPr>
                  </w:pPr>
                </w:p>
              </w:tc>
              <w:tc>
                <w:tcPr>
                  <w:tcW w:w="1824" w:type="pct"/>
                  <w:vAlign w:val="center"/>
                </w:tcPr>
                <w:p w14:paraId="2E65C6F4">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新建、扩建化工类项目应布置在化工区块内，将污染较轻项目或生产装置布置在园区边界，污染较重的化工项目应布设在远离周边外环境的化工区块内部，涉及未在城镇开发边界内的区域，未纳入城镇开发边界前不应实施开发建设</w:t>
                  </w:r>
                </w:p>
              </w:tc>
              <w:tc>
                <w:tcPr>
                  <w:tcW w:w="1191" w:type="pct"/>
                  <w:vAlign w:val="center"/>
                </w:tcPr>
                <w:p w14:paraId="57BBDDD4">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本项目位于化工区块内，在现有厂区内建设，不新增用</w:t>
                  </w:r>
                </w:p>
                <w:p w14:paraId="7F94B428">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地</w:t>
                  </w:r>
                </w:p>
                <w:p w14:paraId="4B83B552">
                  <w:pPr>
                    <w:keepNext w:val="0"/>
                    <w:keepLines w:val="0"/>
                    <w:widowControl/>
                    <w:suppressLineNumbers w:val="0"/>
                    <w:spacing w:before="0" w:beforeAutospacing="0" w:after="0" w:afterAutospacing="0"/>
                    <w:ind w:left="0" w:right="0"/>
                    <w:jc w:val="left"/>
                    <w:rPr>
                      <w:color w:val="auto"/>
                      <w:kern w:val="0"/>
                      <w:szCs w:val="21"/>
                      <w:highlight w:val="none"/>
                    </w:rPr>
                  </w:pPr>
                </w:p>
              </w:tc>
              <w:tc>
                <w:tcPr>
                  <w:tcW w:w="695" w:type="pct"/>
                  <w:vAlign w:val="center"/>
                </w:tcPr>
                <w:p w14:paraId="12125F4B">
                  <w:pPr>
                    <w:keepNext w:val="0"/>
                    <w:keepLines w:val="0"/>
                    <w:widowControl/>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符合</w:t>
                  </w:r>
                </w:p>
              </w:tc>
            </w:tr>
            <w:tr w14:paraId="4FA96B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Align w:val="center"/>
                </w:tcPr>
                <w:p w14:paraId="79A52973">
                  <w:pPr>
                    <w:keepNext w:val="0"/>
                    <w:keepLines w:val="0"/>
                    <w:widowControl/>
                    <w:suppressLineNumbers w:val="0"/>
                    <w:spacing w:before="0" w:beforeAutospacing="0" w:after="0" w:afterAutospacing="0"/>
                    <w:ind w:left="0" w:right="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3</w:t>
                  </w:r>
                </w:p>
              </w:tc>
              <w:tc>
                <w:tcPr>
                  <w:tcW w:w="864" w:type="pct"/>
                  <w:vAlign w:val="center"/>
                </w:tcPr>
                <w:p w14:paraId="3D5A0CE2">
                  <w:pPr>
                    <w:keepNext w:val="0"/>
                    <w:keepLines w:val="0"/>
                    <w:widowControl/>
                    <w:suppressLineNumbers w:val="0"/>
                    <w:spacing w:before="0" w:beforeAutospacing="0" w:after="0" w:afterAutospacing="0"/>
                    <w:ind w:left="0" w:right="0"/>
                    <w:jc w:val="center"/>
                    <w:rPr>
                      <w:rFonts w:hint="eastAsia"/>
                      <w:color w:val="auto"/>
                      <w:highlight w:val="none"/>
                    </w:rPr>
                  </w:pPr>
                  <w:r>
                    <w:rPr>
                      <w:rFonts w:hint="eastAsia"/>
                      <w:color w:val="auto"/>
                      <w:highlight w:val="none"/>
                    </w:rPr>
                    <w:t>(三)严格</w:t>
                  </w:r>
                </w:p>
                <w:p w14:paraId="4DBA6528">
                  <w:pPr>
                    <w:keepNext w:val="0"/>
                    <w:keepLines w:val="0"/>
                    <w:widowControl/>
                    <w:suppressLineNumbers w:val="0"/>
                    <w:spacing w:before="0" w:beforeAutospacing="0" w:after="0" w:afterAutospacing="0"/>
                    <w:ind w:left="0" w:right="0"/>
                    <w:jc w:val="center"/>
                    <w:rPr>
                      <w:color w:val="auto"/>
                      <w:highlight w:val="none"/>
                    </w:rPr>
                  </w:pPr>
                  <w:r>
                    <w:rPr>
                      <w:rFonts w:hint="eastAsia"/>
                      <w:color w:val="auto"/>
                      <w:highlight w:val="none"/>
                    </w:rPr>
                    <w:t>生态环境准入，推动高质量发展。</w:t>
                  </w:r>
                </w:p>
              </w:tc>
              <w:tc>
                <w:tcPr>
                  <w:tcW w:w="1824" w:type="pct"/>
                  <w:vAlign w:val="center"/>
                </w:tcPr>
                <w:p w14:paraId="4D2C10CB">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严格落实《报告书》提出的生态环境准入要求，严格控制高能耗、高排放项目引进，执行最严格的废气、废水排放控制要求，入驻项目生态环境指标不应低于清洁生产一级水平。禁止不符合国家产业政策、行业发展规划、规划产业定位和不利于产业结构优化升级的项目入驻，不应入驻报告书规定的生态环境准入清单禁止类别项目和不符合园区产业定位项目，引进的项目应严格依法办理建设项目环评和用地手续。禁止破坏和占用规划范围内文物保护区域。</w:t>
                  </w:r>
                </w:p>
                <w:p w14:paraId="1F60E4F3">
                  <w:pPr>
                    <w:keepNext w:val="0"/>
                    <w:keepLines w:val="0"/>
                    <w:widowControl/>
                    <w:suppressLineNumbers w:val="0"/>
                    <w:spacing w:before="0" w:beforeAutospacing="0" w:after="0" w:afterAutospacing="0"/>
                    <w:ind w:left="0" w:right="0"/>
                    <w:jc w:val="left"/>
                    <w:rPr>
                      <w:color w:val="auto"/>
                      <w:kern w:val="0"/>
                      <w:szCs w:val="21"/>
                      <w:highlight w:val="none"/>
                    </w:rPr>
                  </w:pPr>
                </w:p>
              </w:tc>
              <w:tc>
                <w:tcPr>
                  <w:tcW w:w="1191" w:type="pct"/>
                  <w:vAlign w:val="center"/>
                </w:tcPr>
                <w:p w14:paraId="55E2C502">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本项目符合《报告书》中的生态环境准入要求，不属于高能耗、高排放项目，废气执行特别排放限值，生产项目满足清洁生产一级水平；</w:t>
                  </w:r>
                </w:p>
                <w:p w14:paraId="6F40F250">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项目建设符合国家产业政策、行业发展规划、规划产业定位，不属于报告书中生态环境准入清单禁止类别项目和不符合园区产业定位项目，目前正在办理环评手续；不涉及文物保护区域</w:t>
                  </w:r>
                </w:p>
                <w:p w14:paraId="7771A18A">
                  <w:pPr>
                    <w:keepNext w:val="0"/>
                    <w:keepLines w:val="0"/>
                    <w:widowControl/>
                    <w:suppressLineNumbers w:val="0"/>
                    <w:spacing w:before="0" w:beforeAutospacing="0" w:after="0" w:afterAutospacing="0"/>
                    <w:ind w:left="0" w:right="0"/>
                    <w:jc w:val="left"/>
                    <w:rPr>
                      <w:color w:val="auto"/>
                      <w:kern w:val="0"/>
                      <w:szCs w:val="21"/>
                      <w:highlight w:val="none"/>
                    </w:rPr>
                  </w:pPr>
                </w:p>
              </w:tc>
              <w:tc>
                <w:tcPr>
                  <w:tcW w:w="695" w:type="pct"/>
                  <w:vAlign w:val="center"/>
                </w:tcPr>
                <w:p w14:paraId="2433423E">
                  <w:pPr>
                    <w:keepNext w:val="0"/>
                    <w:keepLines w:val="0"/>
                    <w:widowControl/>
                    <w:suppressLineNumbers w:val="0"/>
                    <w:spacing w:before="0" w:beforeAutospacing="0" w:after="0" w:afterAutospacing="0"/>
                    <w:ind w:left="0" w:right="0"/>
                    <w:jc w:val="center"/>
                    <w:rPr>
                      <w:rFonts w:hint="eastAsia"/>
                      <w:color w:val="auto"/>
                      <w:kern w:val="0"/>
                      <w:szCs w:val="21"/>
                      <w:highlight w:val="none"/>
                    </w:rPr>
                  </w:pPr>
                  <w:r>
                    <w:rPr>
                      <w:rFonts w:hint="eastAsia"/>
                      <w:color w:val="auto"/>
                      <w:kern w:val="0"/>
                      <w:szCs w:val="21"/>
                      <w:highlight w:val="none"/>
                    </w:rPr>
                    <w:t>符合</w:t>
                  </w:r>
                </w:p>
              </w:tc>
            </w:tr>
            <w:tr w14:paraId="4DB0CA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restart"/>
                  <w:vAlign w:val="center"/>
                </w:tcPr>
                <w:p w14:paraId="42CC109C">
                  <w:pPr>
                    <w:keepNext w:val="0"/>
                    <w:keepLines w:val="0"/>
                    <w:widowControl/>
                    <w:suppressLineNumbers w:val="0"/>
                    <w:spacing w:before="0" w:beforeAutospacing="0" w:after="0" w:afterAutospacing="0"/>
                    <w:ind w:left="0" w:right="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4</w:t>
                  </w:r>
                </w:p>
              </w:tc>
              <w:tc>
                <w:tcPr>
                  <w:tcW w:w="864" w:type="pct"/>
                  <w:vMerge w:val="restart"/>
                  <w:vAlign w:val="center"/>
                </w:tcPr>
                <w:p w14:paraId="73836732">
                  <w:pPr>
                    <w:keepNext w:val="0"/>
                    <w:keepLines w:val="0"/>
                    <w:widowControl/>
                    <w:suppressLineNumbers w:val="0"/>
                    <w:spacing w:before="0" w:beforeAutospacing="0" w:after="0" w:afterAutospacing="0"/>
                    <w:ind w:left="0" w:right="0"/>
                    <w:jc w:val="center"/>
                    <w:rPr>
                      <w:rFonts w:hint="eastAsia"/>
                      <w:color w:val="auto"/>
                      <w:highlight w:val="none"/>
                    </w:rPr>
                  </w:pPr>
                  <w:r>
                    <w:rPr>
                      <w:rFonts w:hint="eastAsia"/>
                      <w:color w:val="auto"/>
                      <w:highlight w:val="none"/>
                    </w:rPr>
                    <w:t>(四)严守</w:t>
                  </w:r>
                </w:p>
                <w:p w14:paraId="2473E158">
                  <w:pPr>
                    <w:keepNext w:val="0"/>
                    <w:keepLines w:val="0"/>
                    <w:widowControl/>
                    <w:suppressLineNumbers w:val="0"/>
                    <w:spacing w:before="0" w:beforeAutospacing="0" w:after="0" w:afterAutospacing="0"/>
                    <w:ind w:left="0" w:right="0"/>
                    <w:jc w:val="center"/>
                    <w:rPr>
                      <w:color w:val="auto"/>
                      <w:highlight w:val="none"/>
                    </w:rPr>
                  </w:pPr>
                  <w:r>
                    <w:rPr>
                      <w:rFonts w:hint="eastAsia"/>
                      <w:color w:val="auto"/>
                      <w:highlight w:val="none"/>
                    </w:rPr>
                    <w:t>环境质量底线，强化污染物排放总量管控。</w:t>
                  </w:r>
                </w:p>
              </w:tc>
              <w:tc>
                <w:tcPr>
                  <w:tcW w:w="1824" w:type="pct"/>
                  <w:vAlign w:val="center"/>
                </w:tcPr>
                <w:p w14:paraId="31924453">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严格实施煤炭消费总量控制、清洁能源替代等工作。按照源头和过程</w:t>
                  </w:r>
                </w:p>
                <w:p w14:paraId="1F0D5090">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控制与末端治理相结合的综合防治原则，从区域统筹角度，开展挥发性有机物污染防治。园区内企业应采用密闭化、自动化、智能化生产工艺设施，鼓励采用连续化生产工艺设施，设置挥发性有机物生产储运设备密闭防渗漏，加强有机废气的收集与处理，加强挥发性有机物的收集与处理，确保满足《挥发性有机物(VOCs)污染防治技术政策》等相关要求。</w:t>
                  </w:r>
                </w:p>
              </w:tc>
              <w:tc>
                <w:tcPr>
                  <w:tcW w:w="1191" w:type="pct"/>
                  <w:vAlign w:val="center"/>
                </w:tcPr>
                <w:p w14:paraId="5703052D">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本项目使用密闭化、自动化、智能化生产工艺设施，挥发性有机物生产储运设备密闭防渗漏，废气产生量极小，严格按照《挥发性有机物无组织排放控制标准》（GB37822-2019）要求采取抑制VOCs产生措施，废气可达标排放，满足《挥发性有机物(VOCs)污染防治技术政策》等相关要求。</w:t>
                  </w:r>
                </w:p>
                <w:p w14:paraId="5A5007B4">
                  <w:pPr>
                    <w:keepNext w:val="0"/>
                    <w:keepLines w:val="0"/>
                    <w:widowControl/>
                    <w:suppressLineNumbers w:val="0"/>
                    <w:spacing w:before="0" w:beforeAutospacing="0" w:after="0" w:afterAutospacing="0"/>
                    <w:ind w:left="0" w:right="0"/>
                    <w:jc w:val="left"/>
                    <w:rPr>
                      <w:rFonts w:hint="eastAsia"/>
                      <w:color w:val="auto"/>
                      <w:kern w:val="0"/>
                      <w:szCs w:val="21"/>
                      <w:highlight w:val="none"/>
                    </w:rPr>
                  </w:pPr>
                </w:p>
                <w:p w14:paraId="71E6023F">
                  <w:pPr>
                    <w:keepNext w:val="0"/>
                    <w:keepLines w:val="0"/>
                    <w:widowControl/>
                    <w:suppressLineNumbers w:val="0"/>
                    <w:spacing w:before="0" w:beforeAutospacing="0" w:after="0" w:afterAutospacing="0"/>
                    <w:ind w:left="0" w:right="0"/>
                    <w:jc w:val="left"/>
                    <w:rPr>
                      <w:color w:val="auto"/>
                      <w:kern w:val="0"/>
                      <w:szCs w:val="21"/>
                      <w:highlight w:val="none"/>
                    </w:rPr>
                  </w:pPr>
                </w:p>
              </w:tc>
              <w:tc>
                <w:tcPr>
                  <w:tcW w:w="695" w:type="pct"/>
                  <w:shd w:val="clear" w:color="auto" w:fill="auto"/>
                  <w:vAlign w:val="center"/>
                </w:tcPr>
                <w:p w14:paraId="0072ED31">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符合</w:t>
                  </w:r>
                </w:p>
              </w:tc>
            </w:tr>
            <w:tr w14:paraId="038C5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continue"/>
                  <w:vAlign w:val="center"/>
                </w:tcPr>
                <w:p w14:paraId="4CA0BBB3">
                  <w:pPr>
                    <w:keepNext w:val="0"/>
                    <w:keepLines w:val="0"/>
                    <w:widowControl/>
                    <w:suppressLineNumbers w:val="0"/>
                    <w:spacing w:before="0" w:beforeAutospacing="0" w:after="0" w:afterAutospacing="0"/>
                    <w:ind w:left="0" w:right="0"/>
                    <w:jc w:val="center"/>
                    <w:rPr>
                      <w:rFonts w:hint="eastAsia"/>
                      <w:color w:val="auto"/>
                      <w:kern w:val="0"/>
                      <w:szCs w:val="21"/>
                      <w:highlight w:val="none"/>
                      <w:lang w:val="en-US" w:eastAsia="zh-CN"/>
                    </w:rPr>
                  </w:pPr>
                </w:p>
              </w:tc>
              <w:tc>
                <w:tcPr>
                  <w:tcW w:w="864" w:type="pct"/>
                  <w:vMerge w:val="continue"/>
                  <w:vAlign w:val="center"/>
                </w:tcPr>
                <w:p w14:paraId="27610328">
                  <w:pPr>
                    <w:keepNext w:val="0"/>
                    <w:keepLines w:val="0"/>
                    <w:widowControl/>
                    <w:suppressLineNumbers w:val="0"/>
                    <w:spacing w:before="0" w:beforeAutospacing="0" w:after="0" w:afterAutospacing="0"/>
                    <w:ind w:left="0" w:right="0"/>
                    <w:jc w:val="center"/>
                    <w:rPr>
                      <w:rFonts w:hint="eastAsia"/>
                      <w:color w:val="auto"/>
                      <w:highlight w:val="none"/>
                    </w:rPr>
                  </w:pPr>
                </w:p>
              </w:tc>
              <w:tc>
                <w:tcPr>
                  <w:tcW w:w="1824" w:type="pct"/>
                  <w:vAlign w:val="center"/>
                </w:tcPr>
                <w:p w14:paraId="0D7E4001">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根据高新区及周边规划发展状况、开发时序及阶段用汽用热需求，生产、生活用汽用热应根据2024 年省发展改革委批复的《抚顺市中心城区热电发展规划(2021～2035 年)》要求，加快抚顺高新技术产业开发区热电联产工程的建设，作为区域集中热源供热。抚顺石化公司等具备生产余热供暖条件的企业，应优先采取余热供热或在有富余能力条件下为其他企业供热，没有集中供热条件企业应采用清洁能源供热，以实现区域节能降耗、降碳减排，严禁建设燃煤燃油锅炉。在该集中热源建设及配套管网建成运行前，相关依托项目不应投产运行。</w:t>
                  </w:r>
                </w:p>
              </w:tc>
              <w:tc>
                <w:tcPr>
                  <w:tcW w:w="1191" w:type="pct"/>
                  <w:vAlign w:val="center"/>
                </w:tcPr>
                <w:p w14:paraId="06651AF2">
                  <w:pPr>
                    <w:keepNext w:val="0"/>
                    <w:keepLines w:val="0"/>
                    <w:widowControl/>
                    <w:suppressLineNumbers w:val="0"/>
                    <w:spacing w:before="0" w:beforeAutospacing="0" w:after="0" w:afterAutospacing="0"/>
                    <w:ind w:left="0" w:right="0"/>
                    <w:jc w:val="left"/>
                    <w:rPr>
                      <w:rFonts w:hint="default" w:eastAsia="宋体"/>
                      <w:color w:val="auto"/>
                      <w:kern w:val="0"/>
                      <w:szCs w:val="21"/>
                      <w:highlight w:val="none"/>
                      <w:lang w:val="en-US" w:eastAsia="zh-CN"/>
                    </w:rPr>
                  </w:pPr>
                  <w:r>
                    <w:rPr>
                      <w:rFonts w:hint="eastAsia"/>
                      <w:color w:val="auto"/>
                      <w:kern w:val="0"/>
                      <w:szCs w:val="21"/>
                      <w:highlight w:val="none"/>
                      <w:lang w:val="en-US" w:eastAsia="zh-CN"/>
                    </w:rPr>
                    <w:t>企业供热由园区供热管网集中供热</w:t>
                  </w:r>
                </w:p>
              </w:tc>
              <w:tc>
                <w:tcPr>
                  <w:tcW w:w="695" w:type="pct"/>
                  <w:shd w:val="clear" w:color="auto" w:fill="auto"/>
                  <w:vAlign w:val="center"/>
                </w:tcPr>
                <w:p w14:paraId="6B2FEABC">
                  <w:pPr>
                    <w:keepNext w:val="0"/>
                    <w:keepLines w:val="0"/>
                    <w:widowControl/>
                    <w:suppressLineNumbers w:val="0"/>
                    <w:spacing w:before="0" w:beforeAutospacing="0" w:after="0" w:afterAutospacing="0"/>
                    <w:ind w:left="0" w:right="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符合</w:t>
                  </w:r>
                </w:p>
              </w:tc>
            </w:tr>
            <w:tr w14:paraId="0E149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restart"/>
                  <w:vAlign w:val="center"/>
                </w:tcPr>
                <w:p w14:paraId="1D634B56">
                  <w:pPr>
                    <w:keepNext w:val="0"/>
                    <w:keepLines w:val="0"/>
                    <w:widowControl/>
                    <w:suppressLineNumbers w:val="0"/>
                    <w:spacing w:before="0" w:beforeAutospacing="0" w:after="0" w:afterAutospacing="0"/>
                    <w:ind w:left="0" w:right="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5</w:t>
                  </w:r>
                </w:p>
              </w:tc>
              <w:tc>
                <w:tcPr>
                  <w:tcW w:w="864" w:type="pct"/>
                  <w:vMerge w:val="restart"/>
                  <w:vAlign w:val="center"/>
                </w:tcPr>
                <w:p w14:paraId="497AC47F">
                  <w:pPr>
                    <w:keepNext w:val="0"/>
                    <w:keepLines w:val="0"/>
                    <w:widowControl/>
                    <w:suppressLineNumbers w:val="0"/>
                    <w:spacing w:before="0" w:beforeAutospacing="0" w:after="0" w:afterAutospacing="0"/>
                    <w:ind w:left="0" w:right="0"/>
                    <w:jc w:val="center"/>
                    <w:rPr>
                      <w:rFonts w:hint="eastAsia"/>
                      <w:color w:val="auto"/>
                      <w:highlight w:val="none"/>
                    </w:rPr>
                  </w:pPr>
                  <w:r>
                    <w:rPr>
                      <w:rFonts w:hint="eastAsia"/>
                      <w:color w:val="auto"/>
                      <w:highlight w:val="none"/>
                    </w:rPr>
                    <w:t>(五)加强</w:t>
                  </w:r>
                </w:p>
                <w:p w14:paraId="1545D99F">
                  <w:pPr>
                    <w:keepNext w:val="0"/>
                    <w:keepLines w:val="0"/>
                    <w:widowControl/>
                    <w:suppressLineNumbers w:val="0"/>
                    <w:spacing w:before="0" w:beforeAutospacing="0" w:after="0" w:afterAutospacing="0"/>
                    <w:ind w:left="0" w:right="0"/>
                    <w:jc w:val="center"/>
                    <w:rPr>
                      <w:color w:val="auto"/>
                      <w:highlight w:val="none"/>
                    </w:rPr>
                  </w:pPr>
                  <w:r>
                    <w:rPr>
                      <w:rFonts w:hint="eastAsia"/>
                      <w:color w:val="auto"/>
                      <w:highlight w:val="none"/>
                    </w:rPr>
                    <w:t>环境基础设施建设。</w:t>
                  </w:r>
                </w:p>
              </w:tc>
              <w:tc>
                <w:tcPr>
                  <w:tcW w:w="1824" w:type="pct"/>
                  <w:vAlign w:val="center"/>
                </w:tcPr>
                <w:p w14:paraId="57ED8D61">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高新区应按照“清污分流、雨污分流”原则规划建设区域排水系统和污水收集管网。按照规划，青草沟园区污水排入青草沟污水处理站处理后排入千金河；其它地区污水均经污水泵站提升后排入碾盘地区东泽污水处理厂(设计规模为5 万立方米/日)，处理后排入东洲河；上述污</w:t>
                  </w:r>
                </w:p>
                <w:p w14:paraId="32E5A2C5">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水处理厂出水满足《城镇污水处理厂污染物排放标准》(GB18919 -2002)一级A 标准排放。</w:t>
                  </w:r>
                </w:p>
              </w:tc>
              <w:tc>
                <w:tcPr>
                  <w:tcW w:w="1191" w:type="pct"/>
                  <w:vAlign w:val="center"/>
                </w:tcPr>
                <w:p w14:paraId="631E9B7D">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本项目</w:t>
                  </w:r>
                  <w:r>
                    <w:rPr>
                      <w:rFonts w:hint="eastAsia" w:ascii="Times New Roman"/>
                      <w:color w:val="auto"/>
                      <w:highlight w:val="none"/>
                      <w:lang w:val="en-US" w:eastAsia="zh-CN"/>
                    </w:rPr>
                    <w:t>蒸汽凝结水回用于地面冲洗，地面冲洗废水经污水管网排入东泽污水处理厂</w:t>
                  </w:r>
                </w:p>
              </w:tc>
              <w:tc>
                <w:tcPr>
                  <w:tcW w:w="695" w:type="pct"/>
                  <w:shd w:val="clear" w:color="auto" w:fill="auto"/>
                  <w:vAlign w:val="center"/>
                </w:tcPr>
                <w:p w14:paraId="11333DA8">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符合</w:t>
                  </w:r>
                </w:p>
              </w:tc>
            </w:tr>
            <w:tr w14:paraId="4C17A3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continue"/>
                  <w:vAlign w:val="center"/>
                </w:tcPr>
                <w:p w14:paraId="66E44E01">
                  <w:pPr>
                    <w:keepNext w:val="0"/>
                    <w:keepLines w:val="0"/>
                    <w:widowControl/>
                    <w:suppressLineNumbers w:val="0"/>
                    <w:spacing w:before="0" w:beforeAutospacing="0" w:after="0" w:afterAutospacing="0"/>
                    <w:ind w:left="0" w:right="0"/>
                    <w:jc w:val="center"/>
                    <w:rPr>
                      <w:rFonts w:hint="eastAsia"/>
                      <w:color w:val="auto"/>
                      <w:kern w:val="0"/>
                      <w:szCs w:val="21"/>
                      <w:highlight w:val="none"/>
                      <w:lang w:val="en-US" w:eastAsia="zh-CN"/>
                    </w:rPr>
                  </w:pPr>
                </w:p>
              </w:tc>
              <w:tc>
                <w:tcPr>
                  <w:tcW w:w="864" w:type="pct"/>
                  <w:vMerge w:val="continue"/>
                  <w:vAlign w:val="center"/>
                </w:tcPr>
                <w:p w14:paraId="196545F3">
                  <w:pPr>
                    <w:keepNext w:val="0"/>
                    <w:keepLines w:val="0"/>
                    <w:widowControl/>
                    <w:suppressLineNumbers w:val="0"/>
                    <w:spacing w:before="0" w:beforeAutospacing="0" w:after="0" w:afterAutospacing="0"/>
                    <w:ind w:left="0" w:right="0"/>
                    <w:jc w:val="center"/>
                    <w:rPr>
                      <w:rFonts w:hint="eastAsia"/>
                      <w:color w:val="auto"/>
                      <w:highlight w:val="none"/>
                    </w:rPr>
                  </w:pPr>
                </w:p>
              </w:tc>
              <w:tc>
                <w:tcPr>
                  <w:tcW w:w="1824" w:type="pct"/>
                  <w:vAlign w:val="center"/>
                </w:tcPr>
                <w:p w14:paraId="4A7954F2">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高新区应做好污水处理厂及配套市政排水管网的规划设计建设工作，污水采用专管或明管输送。确保规划区及周边区域污水全部得到有效收集处理，各企业第一类水污染物经处理应在车间达标后再统一排放，并依法设置环境自动监测系统。高新区应配合地方政府优先回用污水处理厂再生水；园区污水处理厂在给水工程规划及设计时，应考虑采取中水回用等有效措施减少废水排放，降低水资源消耗，提高区域水资源利用率。</w:t>
                  </w:r>
                </w:p>
              </w:tc>
              <w:tc>
                <w:tcPr>
                  <w:tcW w:w="1191" w:type="pct"/>
                  <w:vAlign w:val="center"/>
                </w:tcPr>
                <w:p w14:paraId="524B9791">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本项目</w:t>
                  </w:r>
                  <w:r>
                    <w:rPr>
                      <w:rFonts w:hint="eastAsia" w:ascii="Times New Roman"/>
                      <w:color w:val="auto"/>
                      <w:highlight w:val="none"/>
                      <w:lang w:val="en-US" w:eastAsia="zh-CN"/>
                    </w:rPr>
                    <w:t>蒸汽凝结水回用于地面冲洗，地面冲洗废水经污水管网排入东泽污水处理厂</w:t>
                  </w:r>
                </w:p>
              </w:tc>
              <w:tc>
                <w:tcPr>
                  <w:tcW w:w="695" w:type="pct"/>
                  <w:shd w:val="clear" w:color="auto" w:fill="auto"/>
                  <w:vAlign w:val="center"/>
                </w:tcPr>
                <w:p w14:paraId="31F97251">
                  <w:pPr>
                    <w:keepNext w:val="0"/>
                    <w:keepLines w:val="0"/>
                    <w:widowControl/>
                    <w:suppressLineNumbers w:val="0"/>
                    <w:spacing w:before="0" w:beforeAutospacing="0" w:after="0" w:afterAutospacing="0"/>
                    <w:ind w:left="0" w:right="0"/>
                    <w:jc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符合</w:t>
                  </w:r>
                </w:p>
              </w:tc>
            </w:tr>
            <w:tr w14:paraId="09433D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continue"/>
                  <w:vAlign w:val="center"/>
                </w:tcPr>
                <w:p w14:paraId="54819AA1">
                  <w:pPr>
                    <w:keepNext w:val="0"/>
                    <w:keepLines w:val="0"/>
                    <w:widowControl/>
                    <w:suppressLineNumbers w:val="0"/>
                    <w:spacing w:before="0" w:beforeAutospacing="0" w:after="0" w:afterAutospacing="0"/>
                    <w:ind w:left="0" w:right="0"/>
                    <w:jc w:val="center"/>
                    <w:rPr>
                      <w:rFonts w:hint="eastAsia" w:eastAsia="宋体"/>
                      <w:color w:val="auto"/>
                      <w:kern w:val="0"/>
                      <w:szCs w:val="21"/>
                      <w:highlight w:val="none"/>
                      <w:lang w:val="en-US" w:eastAsia="zh-CN"/>
                    </w:rPr>
                  </w:pPr>
                </w:p>
              </w:tc>
              <w:tc>
                <w:tcPr>
                  <w:tcW w:w="864" w:type="pct"/>
                  <w:vMerge w:val="continue"/>
                  <w:vAlign w:val="center"/>
                </w:tcPr>
                <w:p w14:paraId="20C99921">
                  <w:pPr>
                    <w:keepNext w:val="0"/>
                    <w:keepLines w:val="0"/>
                    <w:widowControl/>
                    <w:suppressLineNumbers w:val="0"/>
                    <w:spacing w:before="0" w:beforeAutospacing="0" w:after="0" w:afterAutospacing="0"/>
                    <w:ind w:left="0" w:right="0"/>
                    <w:jc w:val="center"/>
                    <w:rPr>
                      <w:color w:val="auto"/>
                      <w:highlight w:val="none"/>
                    </w:rPr>
                  </w:pPr>
                </w:p>
              </w:tc>
              <w:tc>
                <w:tcPr>
                  <w:tcW w:w="1824" w:type="pct"/>
                  <w:vAlign w:val="center"/>
                </w:tcPr>
                <w:p w14:paraId="7F3F09C5">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规划区内企业应严格划分重点防渗区，开展地下水污染治理，并依法做好地下水防渗防漏工作。固体废物应实行分类管理，依法依规收集，妥善安全处理处置；遵循减量化、资源化、无害化原则，推行清洁生产，淘汰高能耗、高物耗、高废物生产工艺，鼓励无废少废生产工艺发展和工业固体废物的资源利用，延伸园区产业链，最大限度减少废物产生，提高废物综合利用率。危险废物应委托有资质单位安全有效处理。产生的生活垃圾应分类收集送市政部门统一安全处理，不得随意堆放，确保生活垃圾得到有效处置。</w:t>
                  </w:r>
                </w:p>
              </w:tc>
              <w:tc>
                <w:tcPr>
                  <w:tcW w:w="1191" w:type="pct"/>
                  <w:vAlign w:val="center"/>
                </w:tcPr>
                <w:p w14:paraId="0E60FE86">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企业进行分区防渗，有效防止地下水和土壤污染；产生的危险废物委托资质单位处置，生活垃圾委托环卫处理</w:t>
                  </w:r>
                </w:p>
              </w:tc>
              <w:tc>
                <w:tcPr>
                  <w:tcW w:w="695" w:type="pct"/>
                  <w:shd w:val="clear" w:color="auto" w:fill="auto"/>
                  <w:vAlign w:val="center"/>
                </w:tcPr>
                <w:p w14:paraId="21C47D47">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符合</w:t>
                  </w:r>
                </w:p>
              </w:tc>
            </w:tr>
            <w:tr w14:paraId="209BB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restart"/>
                  <w:shd w:val="clear" w:color="auto" w:fill="auto"/>
                  <w:vAlign w:val="center"/>
                </w:tcPr>
                <w:p w14:paraId="2D686D23">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6</w:t>
                  </w:r>
                </w:p>
              </w:tc>
              <w:tc>
                <w:tcPr>
                  <w:tcW w:w="864" w:type="pct"/>
                  <w:vMerge w:val="restart"/>
                  <w:vAlign w:val="center"/>
                </w:tcPr>
                <w:p w14:paraId="7F20F1AD">
                  <w:pPr>
                    <w:keepNext w:val="0"/>
                    <w:keepLines w:val="0"/>
                    <w:widowControl/>
                    <w:suppressLineNumbers w:val="0"/>
                    <w:spacing w:before="0" w:beforeAutospacing="0" w:after="0" w:afterAutospacing="0"/>
                    <w:ind w:left="0" w:right="0"/>
                    <w:jc w:val="center"/>
                    <w:rPr>
                      <w:rFonts w:hint="eastAsia"/>
                      <w:color w:val="auto"/>
                      <w:highlight w:val="none"/>
                    </w:rPr>
                  </w:pPr>
                  <w:r>
                    <w:rPr>
                      <w:rFonts w:hint="eastAsia"/>
                      <w:color w:val="auto"/>
                      <w:highlight w:val="none"/>
                    </w:rPr>
                    <w:t>(六)加强</w:t>
                  </w:r>
                </w:p>
                <w:p w14:paraId="503CF94A">
                  <w:pPr>
                    <w:keepNext w:val="0"/>
                    <w:keepLines w:val="0"/>
                    <w:widowControl/>
                    <w:suppressLineNumbers w:val="0"/>
                    <w:spacing w:before="0" w:beforeAutospacing="0" w:after="0" w:afterAutospacing="0"/>
                    <w:ind w:left="0" w:right="0"/>
                    <w:jc w:val="center"/>
                    <w:rPr>
                      <w:rFonts w:hint="eastAsia"/>
                      <w:color w:val="auto"/>
                      <w:highlight w:val="none"/>
                    </w:rPr>
                  </w:pPr>
                  <w:r>
                    <w:rPr>
                      <w:rFonts w:hint="eastAsia"/>
                      <w:color w:val="auto"/>
                      <w:highlight w:val="none"/>
                    </w:rPr>
                    <w:t>生态环境影响跟踪监测，提</w:t>
                  </w:r>
                </w:p>
                <w:p w14:paraId="361E759B">
                  <w:pPr>
                    <w:keepNext w:val="0"/>
                    <w:keepLines w:val="0"/>
                    <w:widowControl/>
                    <w:suppressLineNumbers w:val="0"/>
                    <w:spacing w:before="0" w:beforeAutospacing="0" w:after="0" w:afterAutospacing="0"/>
                    <w:ind w:left="0" w:right="0"/>
                    <w:jc w:val="center"/>
                    <w:rPr>
                      <w:color w:val="auto"/>
                      <w:highlight w:val="none"/>
                    </w:rPr>
                  </w:pPr>
                  <w:r>
                    <w:rPr>
                      <w:rFonts w:hint="eastAsia"/>
                      <w:color w:val="auto"/>
                      <w:highlight w:val="none"/>
                    </w:rPr>
                    <w:t>升环境风险防控和应急响应能力。</w:t>
                  </w:r>
                </w:p>
              </w:tc>
              <w:tc>
                <w:tcPr>
                  <w:tcW w:w="1824" w:type="pct"/>
                  <w:vAlign w:val="center"/>
                </w:tcPr>
                <w:p w14:paraId="464B93F6">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建立生态环境影响跟踪监测体系，每季度定期对规划实施产生的生态环境影响和减缓措施等进行跟踪监测和效果评估。结合监测和效果评估，必要时依法对规划进行优化调整，完善必要的生态环境监管措施。</w:t>
                  </w:r>
                </w:p>
              </w:tc>
              <w:tc>
                <w:tcPr>
                  <w:tcW w:w="1191" w:type="pct"/>
                  <w:vAlign w:val="center"/>
                </w:tcPr>
                <w:p w14:paraId="4D14FBCD">
                  <w:pPr>
                    <w:keepNext w:val="0"/>
                    <w:keepLines w:val="0"/>
                    <w:widowControl/>
                    <w:suppressLineNumbers w:val="0"/>
                    <w:spacing w:before="0" w:beforeAutospacing="0" w:after="0" w:afterAutospacing="0"/>
                    <w:ind w:left="0" w:right="0"/>
                    <w:jc w:val="left"/>
                    <w:rPr>
                      <w:color w:val="auto"/>
                      <w:kern w:val="0"/>
                      <w:szCs w:val="21"/>
                      <w:highlight w:val="none"/>
                    </w:rPr>
                  </w:pPr>
                  <w:r>
                    <w:rPr>
                      <w:rFonts w:hint="eastAsia"/>
                      <w:color w:val="auto"/>
                      <w:kern w:val="0"/>
                      <w:szCs w:val="21"/>
                      <w:highlight w:val="none"/>
                    </w:rPr>
                    <w:t>企业按照排污许可执行报告要求定期开展环境检测</w:t>
                  </w:r>
                </w:p>
              </w:tc>
              <w:tc>
                <w:tcPr>
                  <w:tcW w:w="695" w:type="pct"/>
                  <w:shd w:val="clear" w:color="auto" w:fill="auto"/>
                  <w:vAlign w:val="center"/>
                </w:tcPr>
                <w:p w14:paraId="1F84794D">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符合</w:t>
                  </w:r>
                </w:p>
              </w:tc>
            </w:tr>
            <w:tr w14:paraId="2BF8AB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vMerge w:val="continue"/>
                  <w:shd w:val="clear" w:color="auto" w:fill="auto"/>
                  <w:vAlign w:val="center"/>
                </w:tcPr>
                <w:p w14:paraId="36A96505">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p>
              </w:tc>
              <w:tc>
                <w:tcPr>
                  <w:tcW w:w="864" w:type="pct"/>
                  <w:vMerge w:val="continue"/>
                  <w:vAlign w:val="center"/>
                </w:tcPr>
                <w:p w14:paraId="475011F4">
                  <w:pPr>
                    <w:keepNext w:val="0"/>
                    <w:keepLines w:val="0"/>
                    <w:widowControl/>
                    <w:suppressLineNumbers w:val="0"/>
                    <w:spacing w:before="0" w:beforeAutospacing="0" w:after="0" w:afterAutospacing="0"/>
                    <w:ind w:left="0" w:right="0"/>
                    <w:jc w:val="center"/>
                    <w:rPr>
                      <w:color w:val="auto"/>
                      <w:highlight w:val="none"/>
                    </w:rPr>
                  </w:pPr>
                </w:p>
              </w:tc>
              <w:tc>
                <w:tcPr>
                  <w:tcW w:w="1824" w:type="pct"/>
                  <w:vAlign w:val="center"/>
                </w:tcPr>
                <w:p w14:paraId="5CCB3AEE">
                  <w:pPr>
                    <w:keepNext w:val="0"/>
                    <w:keepLines w:val="0"/>
                    <w:widowControl/>
                    <w:suppressLineNumbers w:val="0"/>
                    <w:spacing w:before="0" w:beforeAutospacing="0" w:after="0" w:afterAutospacing="0"/>
                    <w:ind w:left="0" w:right="0"/>
                    <w:jc w:val="left"/>
                    <w:rPr>
                      <w:rFonts w:hint="eastAsia" w:eastAsia="宋体"/>
                      <w:color w:val="auto"/>
                      <w:kern w:val="0"/>
                      <w:szCs w:val="21"/>
                      <w:highlight w:val="none"/>
                      <w:lang w:eastAsia="zh-CN"/>
                    </w:rPr>
                  </w:pPr>
                  <w:r>
                    <w:rPr>
                      <w:rFonts w:hint="eastAsia"/>
                      <w:color w:val="auto"/>
                      <w:kern w:val="0"/>
                      <w:szCs w:val="21"/>
                      <w:highlight w:val="none"/>
                    </w:rPr>
                    <w:t>按照报告书要求兰山工业园和海新工业园分别建设2500 立方米和2000 立方米有效容积的事故污水缓冲池，再生资源产业园建设1 座有效容积500 立方米的雨水收集池。建设完善的区域环境风险应急防控体系，编制区域突发环境事件应急预案，分解落实到责任人，并与园区现有企业突发环境事件应急预案等有效衔接。在事故状态下，按照环境应急预案做好环境应急风险控制、应急准备、应急处置和事后恢复等工作。建立环境应急队伍，配备相应环境应急装备，定期开展环境应急培训和演练。严格按照《中华人民共和国安全生产法》《建设工程安全生产管理条例》和《建设项目安全设施“三同时”监督管理办法》等安全生产相关法律法规和部门规章要求，健全企业污染防治设施稳定运行和管理责任制度，在环境保护设施设计、施工、验收、使用和拆除等过程中，认真落实安全生产主体责任，做好安全风险辨识</w:t>
                  </w:r>
                  <w:r>
                    <w:rPr>
                      <w:rFonts w:hint="eastAsia"/>
                      <w:color w:val="auto"/>
                      <w:kern w:val="0"/>
                      <w:szCs w:val="21"/>
                      <w:highlight w:val="none"/>
                      <w:lang w:eastAsia="zh-CN"/>
                    </w:rPr>
                    <w:t>。</w:t>
                  </w:r>
                </w:p>
              </w:tc>
              <w:tc>
                <w:tcPr>
                  <w:tcW w:w="1191" w:type="pct"/>
                  <w:vAlign w:val="center"/>
                </w:tcPr>
                <w:p w14:paraId="7CF12C2D">
                  <w:pPr>
                    <w:keepNext w:val="0"/>
                    <w:keepLines w:val="0"/>
                    <w:widowControl/>
                    <w:suppressLineNumbers w:val="0"/>
                    <w:spacing w:before="0" w:beforeAutospacing="0" w:after="0" w:afterAutospacing="0"/>
                    <w:ind w:left="0" w:right="0"/>
                    <w:jc w:val="left"/>
                    <w:rPr>
                      <w:rFonts w:hint="eastAsia"/>
                      <w:color w:val="auto"/>
                      <w:kern w:val="0"/>
                      <w:szCs w:val="21"/>
                      <w:highlight w:val="none"/>
                    </w:rPr>
                  </w:pPr>
                  <w:r>
                    <w:rPr>
                      <w:rFonts w:hint="eastAsia"/>
                      <w:color w:val="auto"/>
                      <w:kern w:val="0"/>
                      <w:szCs w:val="21"/>
                      <w:highlight w:val="none"/>
                    </w:rPr>
                    <w:t>本项目建成后，企业及时修订应急预案，并与园区应急预案联动</w:t>
                  </w:r>
                </w:p>
                <w:p w14:paraId="6D481755">
                  <w:pPr>
                    <w:keepNext w:val="0"/>
                    <w:keepLines w:val="0"/>
                    <w:widowControl/>
                    <w:suppressLineNumbers w:val="0"/>
                    <w:spacing w:before="0" w:beforeAutospacing="0" w:after="0" w:afterAutospacing="0"/>
                    <w:ind w:left="0" w:right="0"/>
                    <w:jc w:val="left"/>
                    <w:rPr>
                      <w:color w:val="auto"/>
                      <w:kern w:val="0"/>
                      <w:szCs w:val="21"/>
                      <w:highlight w:val="none"/>
                    </w:rPr>
                  </w:pPr>
                </w:p>
              </w:tc>
              <w:tc>
                <w:tcPr>
                  <w:tcW w:w="695" w:type="pct"/>
                  <w:shd w:val="clear" w:color="auto" w:fill="auto"/>
                  <w:vAlign w:val="center"/>
                </w:tcPr>
                <w:p w14:paraId="493337E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符合</w:t>
                  </w:r>
                </w:p>
              </w:tc>
            </w:tr>
            <w:tr w14:paraId="2309E8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shd w:val="clear" w:color="auto" w:fill="auto"/>
                  <w:vAlign w:val="center"/>
                </w:tcPr>
                <w:p w14:paraId="57583854">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7</w:t>
                  </w:r>
                </w:p>
              </w:tc>
              <w:tc>
                <w:tcPr>
                  <w:tcW w:w="864" w:type="pct"/>
                  <w:shd w:val="clear" w:color="auto" w:fill="auto"/>
                  <w:vAlign w:val="center"/>
                </w:tcPr>
                <w:p w14:paraId="0BB64476">
                  <w:pPr>
                    <w:keepNext w:val="0"/>
                    <w:keepLines w:val="0"/>
                    <w:widowControl/>
                    <w:suppressLineNumbers w:val="0"/>
                    <w:spacing w:before="0" w:beforeAutospacing="0" w:after="0" w:afterAutospacing="0"/>
                    <w:ind w:left="0" w:right="0"/>
                    <w:jc w:val="center"/>
                    <w:rPr>
                      <w:rFonts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（七）</w:t>
                  </w:r>
                </w:p>
              </w:tc>
              <w:tc>
                <w:tcPr>
                  <w:tcW w:w="1824" w:type="pct"/>
                  <w:shd w:val="clear" w:color="auto" w:fill="auto"/>
                  <w:vAlign w:val="center"/>
                </w:tcPr>
                <w:p w14:paraId="16B9BC1F">
                  <w:pPr>
                    <w:keepNext w:val="0"/>
                    <w:keepLines w:val="0"/>
                    <w:widowControl/>
                    <w:suppressLineNumbers w:val="0"/>
                    <w:spacing w:before="0" w:beforeAutospacing="0" w:after="0" w:afterAutospacing="0"/>
                    <w:ind w:left="0" w:right="0"/>
                    <w:jc w:val="left"/>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高新区应根据国家有关规定统筹考虑入驻项目各类污染物排放的累积影响，加强污染物排放总量监管，严格控制温室气体排放，积极做好碳达峰碳中和工作，确保区域环境质量满足环境功能区要求。</w:t>
                  </w:r>
                </w:p>
              </w:tc>
              <w:tc>
                <w:tcPr>
                  <w:tcW w:w="1191" w:type="pct"/>
                  <w:shd w:val="clear" w:color="auto" w:fill="auto"/>
                  <w:vAlign w:val="center"/>
                </w:tcPr>
                <w:p w14:paraId="15D27073">
                  <w:pPr>
                    <w:keepNext w:val="0"/>
                    <w:keepLines w:val="0"/>
                    <w:widowControl/>
                    <w:suppressLineNumbers w:val="0"/>
                    <w:spacing w:before="0" w:beforeAutospacing="0" w:after="0" w:afterAutospacing="0"/>
                    <w:ind w:left="0" w:right="0"/>
                    <w:jc w:val="left"/>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本项目在报批前申请污染物排放总量指标</w:t>
                  </w:r>
                </w:p>
              </w:tc>
              <w:tc>
                <w:tcPr>
                  <w:tcW w:w="695" w:type="pct"/>
                  <w:shd w:val="clear" w:color="auto" w:fill="auto"/>
                  <w:vAlign w:val="center"/>
                </w:tcPr>
                <w:p w14:paraId="027D09F8">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符合</w:t>
                  </w:r>
                </w:p>
              </w:tc>
            </w:tr>
            <w:tr w14:paraId="6DC98C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3" w:type="pct"/>
                  <w:shd w:val="clear" w:color="auto" w:fill="auto"/>
                  <w:vAlign w:val="center"/>
                </w:tcPr>
                <w:p w14:paraId="13F1C31C">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8</w:t>
                  </w:r>
                </w:p>
              </w:tc>
              <w:tc>
                <w:tcPr>
                  <w:tcW w:w="864" w:type="pct"/>
                  <w:shd w:val="clear" w:color="auto" w:fill="auto"/>
                  <w:vAlign w:val="center"/>
                </w:tcPr>
                <w:p w14:paraId="524492A2">
                  <w:pPr>
                    <w:keepNext w:val="0"/>
                    <w:keepLines w:val="0"/>
                    <w:widowControl/>
                    <w:suppressLineNumbers w:val="0"/>
                    <w:spacing w:before="0" w:beforeAutospacing="0" w:after="0" w:afterAutospacing="0"/>
                    <w:ind w:left="0" w:right="0"/>
                    <w:jc w:val="center"/>
                    <w:rPr>
                      <w:rFonts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（八）</w:t>
                  </w:r>
                </w:p>
              </w:tc>
              <w:tc>
                <w:tcPr>
                  <w:tcW w:w="1824" w:type="pct"/>
                  <w:shd w:val="clear" w:color="auto" w:fill="auto"/>
                  <w:vAlign w:val="center"/>
                </w:tcPr>
                <w:p w14:paraId="36F02A17">
                  <w:pPr>
                    <w:keepNext w:val="0"/>
                    <w:keepLines w:val="0"/>
                    <w:widowControl/>
                    <w:suppressLineNumbers w:val="0"/>
                    <w:spacing w:before="0" w:beforeAutospacing="0" w:after="0" w:afterAutospacing="0"/>
                    <w:ind w:left="0" w:right="0"/>
                    <w:jc w:val="left"/>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应按照报告书规定制定落实园区及重点企业污染监测和信息公开方案，定期监测并将监测数据及时上报地方生态环境部门。</w:t>
                  </w:r>
                </w:p>
              </w:tc>
              <w:tc>
                <w:tcPr>
                  <w:tcW w:w="1191" w:type="pct"/>
                  <w:shd w:val="clear" w:color="auto" w:fill="auto"/>
                  <w:vAlign w:val="center"/>
                </w:tcPr>
                <w:p w14:paraId="666A8A79">
                  <w:pPr>
                    <w:keepNext w:val="0"/>
                    <w:keepLines w:val="0"/>
                    <w:widowControl/>
                    <w:suppressLineNumbers w:val="0"/>
                    <w:spacing w:before="0" w:beforeAutospacing="0" w:after="0" w:afterAutospacing="0"/>
                    <w:ind w:left="0" w:right="0"/>
                    <w:jc w:val="left"/>
                    <w:rPr>
                      <w:rFonts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企业定期开展环境检测工作</w:t>
                  </w:r>
                </w:p>
              </w:tc>
              <w:tc>
                <w:tcPr>
                  <w:tcW w:w="695" w:type="pct"/>
                  <w:shd w:val="clear" w:color="auto" w:fill="auto"/>
                  <w:vAlign w:val="center"/>
                </w:tcPr>
                <w:p w14:paraId="1051473F">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符合</w:t>
                  </w:r>
                </w:p>
              </w:tc>
            </w:tr>
          </w:tbl>
          <w:p w14:paraId="63F92A7B">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综上所述，项目符合抚顺高新技术产业开发区国土空间规划、规划环评及其审查意见的相关要求。</w:t>
            </w:r>
          </w:p>
        </w:tc>
      </w:tr>
      <w:tr w14:paraId="0E3A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1" w:type="pct"/>
            <w:tcBorders>
              <w:tl2br w:val="nil"/>
              <w:tr2bl w:val="nil"/>
            </w:tcBorders>
            <w:vAlign w:val="center"/>
          </w:tcPr>
          <w:p w14:paraId="5722D639">
            <w:pPr>
              <w:keepNext w:val="0"/>
              <w:keepLines w:val="0"/>
              <w:suppressLineNumbers w:val="0"/>
              <w:autoSpaceDE w:val="0"/>
              <w:autoSpaceDN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其他符合性分析</w:t>
            </w:r>
          </w:p>
        </w:tc>
        <w:tc>
          <w:tcPr>
            <w:tcW w:w="3858" w:type="pct"/>
            <w:gridSpan w:val="3"/>
            <w:tcBorders>
              <w:tl2br w:val="nil"/>
              <w:tr2bl w:val="nil"/>
            </w:tcBorders>
            <w:vAlign w:val="center"/>
          </w:tcPr>
          <w:p w14:paraId="61B4EED7">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1、产业政策符合性</w:t>
            </w:r>
          </w:p>
          <w:p w14:paraId="512ED3A0">
            <w:pPr>
              <w:keepNext w:val="0"/>
              <w:keepLines w:val="0"/>
              <w:suppressLineNumbers w:val="0"/>
              <w:spacing w:before="0" w:beforeAutospacing="0" w:after="0" w:afterAutospacing="0" w:line="360" w:lineRule="auto"/>
              <w:ind w:left="0" w:right="0" w:firstLine="480" w:firstLineChars="200"/>
              <w:rPr>
                <w:rFonts w:hint="default"/>
                <w:color w:val="auto"/>
                <w:sz w:val="24"/>
                <w:highlight w:val="none"/>
                <w:lang w:val="en-US" w:eastAsia="zh-CN"/>
              </w:rPr>
            </w:pPr>
            <w:r>
              <w:rPr>
                <w:rFonts w:hint="eastAsia"/>
                <w:color w:val="auto"/>
                <w:sz w:val="24"/>
                <w:highlight w:val="none"/>
              </w:rPr>
              <w:t>本项目</w:t>
            </w:r>
            <w:r>
              <w:rPr>
                <w:rFonts w:hint="eastAsia"/>
                <w:color w:val="auto"/>
                <w:sz w:val="24"/>
                <w:highlight w:val="none"/>
                <w:lang w:val="en-US" w:eastAsia="zh-CN"/>
              </w:rPr>
              <w:t>新增23立方米不锈钢标准集装箱罐11个、10立方米调和罐4个及附属配套工艺管线和灌装设备等设备设施对汉圣化工年产10万t特种蜡项目（已开展环评、批复文号：辽环函[2013]155号，已通过环保竣工验收）原料进行预处理。</w:t>
            </w:r>
          </w:p>
          <w:p w14:paraId="19517211">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lang w:val="en-US" w:eastAsia="zh-CN"/>
              </w:rPr>
              <w:t>汉圣化工</w:t>
            </w:r>
            <w:r>
              <w:rPr>
                <w:rFonts w:hint="eastAsia"/>
                <w:color w:val="auto"/>
                <w:sz w:val="24"/>
                <w:highlight w:val="none"/>
              </w:rPr>
              <w:t>以全精炼蜡</w:t>
            </w:r>
            <w:r>
              <w:rPr>
                <w:rFonts w:hint="eastAsia"/>
                <w:color w:val="auto"/>
                <w:sz w:val="24"/>
                <w:highlight w:val="none"/>
                <w:lang w:eastAsia="zh-CN"/>
              </w:rPr>
              <w:t>、</w:t>
            </w:r>
            <w:r>
              <w:rPr>
                <w:rFonts w:hint="eastAsia"/>
                <w:color w:val="auto"/>
                <w:sz w:val="24"/>
                <w:highlight w:val="none"/>
                <w:lang w:val="en-US" w:eastAsia="zh-CN"/>
              </w:rPr>
              <w:t>微晶蜡及半微晶蜡</w:t>
            </w:r>
            <w:r>
              <w:rPr>
                <w:rFonts w:hint="eastAsia"/>
                <w:color w:val="auto"/>
                <w:sz w:val="24"/>
                <w:highlight w:val="none"/>
              </w:rPr>
              <w:t>为原材料生产橡胶防护蜡等产品，根据《国民经济行业分类》（GB/T4754 -2017）行业类别为C2511原油加工及石油制品制造，根据《产业结构调整指导目录（2024 年本）》项目不属于“鼓励类、限制类、禁止类”项目，为允许类项目；不属于《市场准入负面清单（2025 年版）》中的行业；本项目所涉及原辅材料、产品均不在《抚顺市禁止、限制和控制危险化学品目录（试行）》（抚政办发〔2020〕33 号）内，项目建设符合国家产业政策。</w:t>
            </w:r>
          </w:p>
          <w:p w14:paraId="6FE24F66">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2、选址合理性</w:t>
            </w:r>
          </w:p>
          <w:p w14:paraId="0041D366">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根据《抚顺高新技术产业开发区国土空间规划(2021 -2035)环境影响报告书》，企业占地范围属于三类工业用地，产业布局规划为化工及精细化工产业区。本项目不新增占地，在汉圣化工（抚顺）有限公司</w:t>
            </w:r>
            <w:r>
              <w:rPr>
                <w:rFonts w:hint="eastAsia"/>
                <w:color w:val="auto"/>
                <w:sz w:val="24"/>
                <w:highlight w:val="none"/>
                <w:lang w:val="en-US" w:eastAsia="zh-CN"/>
              </w:rPr>
              <w:t>现有占地范围内、不新增占地</w:t>
            </w:r>
            <w:r>
              <w:rPr>
                <w:rFonts w:hint="eastAsia"/>
                <w:color w:val="auto"/>
                <w:sz w:val="24"/>
                <w:highlight w:val="none"/>
              </w:rPr>
              <w:t>，属于化学产品制造行业，符合规划环评用地性质和产业布局的要求。</w:t>
            </w:r>
          </w:p>
          <w:p w14:paraId="736E8D38">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本项目位于辽宁抚顺高新技术产业开发区</w:t>
            </w:r>
            <w:r>
              <w:rPr>
                <w:rFonts w:hint="eastAsia"/>
                <w:color w:val="auto"/>
                <w:sz w:val="24"/>
                <w:highlight w:val="none"/>
                <w:lang w:val="en-US" w:eastAsia="zh-CN"/>
              </w:rPr>
              <w:t>张甸</w:t>
            </w:r>
            <w:r>
              <w:rPr>
                <w:rFonts w:hint="eastAsia"/>
                <w:color w:val="auto"/>
                <w:sz w:val="24"/>
                <w:highlight w:val="none"/>
              </w:rPr>
              <w:t>园，东洲河东岸，南外环路南侧。项目用地为5-B#块，西侧为经十街，南临纬六路等交通干线，西南隔路为抚顺石化公司腈纶部，东侧为空地，东北角为园区供水泵站，北侧为规划道路</w:t>
            </w:r>
            <w:r>
              <w:rPr>
                <w:rFonts w:hint="eastAsia"/>
                <w:color w:val="auto"/>
                <w:sz w:val="24"/>
                <w:highlight w:val="none"/>
                <w:lang w:eastAsia="zh-CN"/>
              </w:rPr>
              <w:t>、</w:t>
            </w:r>
            <w:r>
              <w:rPr>
                <w:rFonts w:hint="eastAsia"/>
                <w:color w:val="auto"/>
                <w:sz w:val="24"/>
                <w:highlight w:val="none"/>
                <w:lang w:val="en-US" w:eastAsia="zh-CN"/>
              </w:rPr>
              <w:t>道路北侧为辽宁抚顺同益特种石蜡制品有限公司</w:t>
            </w:r>
            <w:r>
              <w:rPr>
                <w:rFonts w:hint="eastAsia"/>
                <w:color w:val="auto"/>
                <w:sz w:val="24"/>
                <w:highlight w:val="none"/>
              </w:rPr>
              <w:t>，隔路东北角是辽宁凯迪化工有限公司</w:t>
            </w:r>
            <w:r>
              <w:rPr>
                <w:rFonts w:hint="eastAsia"/>
                <w:color w:val="auto"/>
                <w:sz w:val="24"/>
                <w:highlight w:val="none"/>
                <w:lang w:eastAsia="zh-CN"/>
              </w:rPr>
              <w:t>。</w:t>
            </w:r>
            <w:r>
              <w:rPr>
                <w:rFonts w:hint="eastAsia"/>
                <w:color w:val="auto"/>
                <w:sz w:val="24"/>
                <w:highlight w:val="none"/>
              </w:rPr>
              <w:t>项目位置不涉及区域生态保护红线规划范围，不涉及自然保护区、风景名胜区、饮用水源保护区和其他需要特殊保护的区域范围，因此，从环保角度分析，本项目选址可行。</w:t>
            </w:r>
          </w:p>
          <w:p w14:paraId="58439E59">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3、与</w:t>
            </w:r>
            <w:r>
              <w:rPr>
                <w:rFonts w:hint="eastAsia"/>
                <w:color w:val="auto"/>
                <w:sz w:val="24"/>
                <w:highlight w:val="none"/>
                <w:lang w:val="en-US" w:eastAsia="zh-CN"/>
              </w:rPr>
              <w:t>消防、安全等相关政策要求</w:t>
            </w:r>
            <w:r>
              <w:rPr>
                <w:rFonts w:hint="eastAsia"/>
                <w:color w:val="auto"/>
                <w:sz w:val="24"/>
                <w:highlight w:val="none"/>
              </w:rPr>
              <w:t>符合性分析</w:t>
            </w:r>
          </w:p>
          <w:p w14:paraId="6A5FBB36">
            <w:pPr>
              <w:keepNext w:val="0"/>
              <w:keepLines w:val="0"/>
              <w:suppressLineNumbers w:val="0"/>
              <w:spacing w:before="0" w:beforeAutospacing="0" w:after="0" w:afterAutospacing="0" w:line="360" w:lineRule="auto"/>
              <w:ind w:left="0" w:right="0" w:firstLine="480" w:firstLineChars="200"/>
              <w:rPr>
                <w:rFonts w:hint="default"/>
                <w:color w:val="auto"/>
                <w:sz w:val="24"/>
                <w:highlight w:val="none"/>
                <w:lang w:val="en-US" w:eastAsia="zh-CN"/>
              </w:rPr>
            </w:pPr>
            <w:r>
              <w:rPr>
                <w:rFonts w:hint="eastAsia"/>
                <w:color w:val="auto"/>
                <w:sz w:val="24"/>
                <w:highlight w:val="none"/>
                <w:lang w:val="en-US" w:eastAsia="zh-CN"/>
              </w:rPr>
              <w:t>①防火间距</w:t>
            </w:r>
          </w:p>
          <w:p w14:paraId="7F99D656">
            <w:pPr>
              <w:keepNext w:val="0"/>
              <w:keepLines w:val="0"/>
              <w:suppressLineNumbers w:val="0"/>
              <w:spacing w:before="0" w:beforeAutospacing="0" w:after="0" w:afterAutospacing="0" w:line="360" w:lineRule="auto"/>
              <w:ind w:left="0" w:right="0" w:firstLine="480" w:firstLineChars="200"/>
              <w:rPr>
                <w:rFonts w:hint="eastAsia" w:eastAsia="宋体"/>
                <w:color w:val="auto"/>
                <w:sz w:val="24"/>
                <w:highlight w:val="none"/>
                <w:lang w:val="en-US" w:eastAsia="zh-CN"/>
              </w:rPr>
            </w:pPr>
            <w:r>
              <w:rPr>
                <w:rFonts w:hint="eastAsia"/>
                <w:color w:val="auto"/>
                <w:sz w:val="24"/>
                <w:highlight w:val="none"/>
                <w:lang w:val="en-US" w:eastAsia="zh-CN"/>
              </w:rPr>
              <w:t>根据《汉圣化工（抚顺）有限公司原材料储存雨棚及原材料预处理项目安全设施设计（备案稿）》，厂区周围50m内无居民区和其它学校、医院、名胜古迹、文物保护区和自然保护区等重要区域。厂区周围配套设施齐备，满足《工业企业总平面设计规范》（GB50187-2012）第2.0.5条；厂址工程地质条件和水文地质条件满足工程建设需要，满足《工业企业总平面设计规范》（GB50187-2012）第2.0.7条。</w:t>
            </w:r>
          </w:p>
          <w:p w14:paraId="025461D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color w:val="auto"/>
                <w:sz w:val="24"/>
                <w:highlight w:val="none"/>
              </w:rPr>
            </w:pPr>
            <w:r>
              <w:rPr>
                <w:rFonts w:hint="eastAsia"/>
                <w:color w:val="auto"/>
                <w:sz w:val="24"/>
                <w:highlight w:val="none"/>
                <w:lang w:val="en-US" w:eastAsia="zh-CN"/>
              </w:rPr>
              <w:t>1-5  本</w:t>
            </w:r>
            <w:r>
              <w:rPr>
                <w:rFonts w:hint="eastAsia"/>
                <w:color w:val="auto"/>
                <w:sz w:val="24"/>
                <w:highlight w:val="none"/>
              </w:rPr>
              <w:t>项目与周边设施防火间距检查表</w:t>
            </w:r>
          </w:p>
          <w:tbl>
            <w:tblPr>
              <w:tblStyle w:val="27"/>
              <w:tblW w:w="4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94"/>
              <w:gridCol w:w="426"/>
              <w:gridCol w:w="1141"/>
              <w:gridCol w:w="800"/>
              <w:gridCol w:w="830"/>
              <w:gridCol w:w="1524"/>
              <w:gridCol w:w="499"/>
            </w:tblGrid>
            <w:tr w14:paraId="54E7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blHeader/>
                <w:jc w:val="center"/>
              </w:trPr>
              <w:tc>
                <w:tcPr>
                  <w:tcW w:w="325" w:type="pct"/>
                  <w:tcBorders>
                    <w:tl2br w:val="nil"/>
                    <w:tr2bl w:val="nil"/>
                  </w:tcBorders>
                  <w:shd w:val="clear" w:color="auto" w:fill="auto"/>
                  <w:vAlign w:val="center"/>
                </w:tcPr>
                <w:p w14:paraId="2A792F8F">
                  <w:pPr>
                    <w:keepNext w:val="0"/>
                    <w:keepLines w:val="0"/>
                    <w:suppressLineNumbers w:val="0"/>
                    <w:adjustRightInd w:val="0"/>
                    <w:snapToGrid w:val="0"/>
                    <w:spacing w:before="0" w:beforeAutospacing="0" w:after="0" w:afterAutospacing="0" w:line="240" w:lineRule="auto"/>
                    <w:ind w:left="0" w:right="0" w:firstLine="0" w:firstLineChars="0"/>
                    <w:jc w:val="center"/>
                    <w:rPr>
                      <w:rFonts w:ascii="Times New Roman" w:hAnsi="Times New Roman"/>
                      <w:b w:val="0"/>
                      <w:bCs/>
                      <w:color w:val="auto"/>
                      <w:sz w:val="21"/>
                      <w:szCs w:val="21"/>
                    </w:rPr>
                  </w:pPr>
                  <w:r>
                    <w:rPr>
                      <w:rFonts w:hint="eastAsia" w:ascii="Times New Roman" w:hAnsi="Times New Roman"/>
                      <w:b w:val="0"/>
                      <w:bCs/>
                      <w:color w:val="auto"/>
                      <w:sz w:val="21"/>
                      <w:szCs w:val="21"/>
                    </w:rPr>
                    <w:t>序号</w:t>
                  </w:r>
                </w:p>
              </w:tc>
              <w:tc>
                <w:tcPr>
                  <w:tcW w:w="684" w:type="pct"/>
                  <w:tcBorders>
                    <w:tl2br w:val="nil"/>
                    <w:tr2bl w:val="nil"/>
                  </w:tcBorders>
                  <w:shd w:val="clear" w:color="auto" w:fill="auto"/>
                  <w:vAlign w:val="center"/>
                </w:tcPr>
                <w:p w14:paraId="06224849">
                  <w:pPr>
                    <w:keepNext w:val="0"/>
                    <w:keepLines w:val="0"/>
                    <w:suppressLineNumbers w:val="0"/>
                    <w:adjustRightInd w:val="0"/>
                    <w:snapToGrid w:val="0"/>
                    <w:spacing w:before="0" w:beforeAutospacing="0" w:after="0" w:afterAutospacing="0" w:line="240" w:lineRule="auto"/>
                    <w:ind w:left="0" w:right="0" w:firstLine="0" w:firstLineChars="0"/>
                    <w:jc w:val="center"/>
                    <w:rPr>
                      <w:rFonts w:ascii="Times New Roman" w:hAnsi="Times New Roman"/>
                      <w:b w:val="0"/>
                      <w:bCs/>
                      <w:color w:val="auto"/>
                      <w:sz w:val="21"/>
                      <w:szCs w:val="21"/>
                    </w:rPr>
                  </w:pPr>
                  <w:r>
                    <w:rPr>
                      <w:rFonts w:hint="eastAsia" w:ascii="Times New Roman" w:hAnsi="Times New Roman"/>
                      <w:b w:val="0"/>
                      <w:bCs/>
                      <w:color w:val="auto"/>
                      <w:sz w:val="21"/>
                      <w:szCs w:val="21"/>
                    </w:rPr>
                    <w:t>该项目建（构）筑物</w:t>
                  </w:r>
                </w:p>
              </w:tc>
              <w:tc>
                <w:tcPr>
                  <w:tcW w:w="325" w:type="pct"/>
                  <w:tcBorders>
                    <w:tl2br w:val="nil"/>
                    <w:tr2bl w:val="nil"/>
                  </w:tcBorders>
                  <w:shd w:val="clear" w:color="auto" w:fill="auto"/>
                  <w:vAlign w:val="center"/>
                </w:tcPr>
                <w:p w14:paraId="6C3BC8FF">
                  <w:pPr>
                    <w:keepNext w:val="0"/>
                    <w:keepLines w:val="0"/>
                    <w:suppressLineNumbers w:val="0"/>
                    <w:adjustRightInd w:val="0"/>
                    <w:snapToGrid w:val="0"/>
                    <w:spacing w:before="0" w:beforeAutospacing="0" w:after="0" w:afterAutospacing="0" w:line="240" w:lineRule="auto"/>
                    <w:ind w:left="0" w:right="0" w:firstLine="0" w:firstLineChars="0"/>
                    <w:jc w:val="center"/>
                    <w:rPr>
                      <w:rFonts w:ascii="Times New Roman" w:hAnsi="Times New Roman"/>
                      <w:b w:val="0"/>
                      <w:bCs/>
                      <w:color w:val="auto"/>
                      <w:sz w:val="21"/>
                      <w:szCs w:val="21"/>
                    </w:rPr>
                  </w:pPr>
                  <w:r>
                    <w:rPr>
                      <w:rFonts w:hint="eastAsia" w:ascii="Times New Roman" w:hAnsi="Times New Roman"/>
                      <w:b w:val="0"/>
                      <w:bCs/>
                      <w:color w:val="auto"/>
                      <w:sz w:val="21"/>
                      <w:szCs w:val="21"/>
                    </w:rPr>
                    <w:t>方位</w:t>
                  </w:r>
                </w:p>
              </w:tc>
              <w:tc>
                <w:tcPr>
                  <w:tcW w:w="872" w:type="pct"/>
                  <w:tcBorders>
                    <w:tl2br w:val="nil"/>
                    <w:tr2bl w:val="nil"/>
                  </w:tcBorders>
                  <w:shd w:val="clear" w:color="auto" w:fill="auto"/>
                  <w:vAlign w:val="center"/>
                </w:tcPr>
                <w:p w14:paraId="4C9ACC7B">
                  <w:pPr>
                    <w:keepNext w:val="0"/>
                    <w:keepLines w:val="0"/>
                    <w:suppressLineNumbers w:val="0"/>
                    <w:adjustRightInd w:val="0"/>
                    <w:snapToGrid w:val="0"/>
                    <w:spacing w:before="0" w:beforeAutospacing="0" w:after="0" w:afterAutospacing="0" w:line="240" w:lineRule="auto"/>
                    <w:ind w:left="0" w:right="0" w:firstLine="0" w:firstLineChars="0"/>
                    <w:jc w:val="center"/>
                    <w:rPr>
                      <w:rFonts w:ascii="Times New Roman" w:hAnsi="Times New Roman"/>
                      <w:b w:val="0"/>
                      <w:bCs/>
                      <w:color w:val="auto"/>
                      <w:sz w:val="21"/>
                      <w:szCs w:val="21"/>
                    </w:rPr>
                  </w:pPr>
                  <w:r>
                    <w:rPr>
                      <w:rFonts w:hint="eastAsia" w:ascii="Times New Roman" w:hAnsi="Times New Roman"/>
                      <w:b w:val="0"/>
                      <w:bCs/>
                      <w:color w:val="auto"/>
                      <w:sz w:val="21"/>
                      <w:szCs w:val="21"/>
                    </w:rPr>
                    <w:t>周边单位名称</w:t>
                  </w:r>
                </w:p>
              </w:tc>
              <w:tc>
                <w:tcPr>
                  <w:tcW w:w="611" w:type="pct"/>
                  <w:tcBorders>
                    <w:tl2br w:val="nil"/>
                    <w:tr2bl w:val="nil"/>
                  </w:tcBorders>
                  <w:shd w:val="clear" w:color="auto" w:fill="auto"/>
                  <w:vAlign w:val="center"/>
                </w:tcPr>
                <w:p w14:paraId="69A36F9C">
                  <w:pPr>
                    <w:keepNext w:val="0"/>
                    <w:keepLines w:val="0"/>
                    <w:suppressLineNumbers w:val="0"/>
                    <w:adjustRightInd w:val="0"/>
                    <w:snapToGrid w:val="0"/>
                    <w:spacing w:before="0" w:beforeAutospacing="0" w:after="0" w:afterAutospacing="0" w:line="240" w:lineRule="auto"/>
                    <w:ind w:left="0" w:right="0" w:firstLine="0" w:firstLineChars="0"/>
                    <w:jc w:val="center"/>
                    <w:rPr>
                      <w:rFonts w:ascii="Times New Roman" w:hAnsi="Times New Roman"/>
                      <w:b w:val="0"/>
                      <w:bCs/>
                      <w:color w:val="auto"/>
                      <w:sz w:val="21"/>
                      <w:szCs w:val="21"/>
                    </w:rPr>
                  </w:pPr>
                  <w:r>
                    <w:rPr>
                      <w:rFonts w:hint="eastAsia" w:ascii="Times New Roman" w:hAnsi="Times New Roman"/>
                      <w:b w:val="0"/>
                      <w:bCs/>
                      <w:color w:val="auto"/>
                      <w:sz w:val="21"/>
                      <w:szCs w:val="21"/>
                    </w:rPr>
                    <w:t>规范要求（</w:t>
                  </w:r>
                  <w:r>
                    <w:rPr>
                      <w:rFonts w:ascii="Times New Roman" w:hAnsi="Times New Roman"/>
                      <w:b w:val="0"/>
                      <w:bCs/>
                      <w:color w:val="auto"/>
                      <w:sz w:val="21"/>
                      <w:szCs w:val="21"/>
                    </w:rPr>
                    <w:t>m</w:t>
                  </w:r>
                  <w:r>
                    <w:rPr>
                      <w:rFonts w:hint="eastAsia" w:ascii="Times New Roman" w:hAnsi="Times New Roman"/>
                      <w:b w:val="0"/>
                      <w:bCs/>
                      <w:color w:val="auto"/>
                      <w:sz w:val="21"/>
                      <w:szCs w:val="21"/>
                    </w:rPr>
                    <w:t>）</w:t>
                  </w:r>
                </w:p>
              </w:tc>
              <w:tc>
                <w:tcPr>
                  <w:tcW w:w="634" w:type="pct"/>
                  <w:tcBorders>
                    <w:tl2br w:val="nil"/>
                    <w:tr2bl w:val="nil"/>
                  </w:tcBorders>
                  <w:shd w:val="clear" w:color="auto" w:fill="auto"/>
                  <w:vAlign w:val="center"/>
                </w:tcPr>
                <w:p w14:paraId="3DFDA736">
                  <w:pPr>
                    <w:keepNext w:val="0"/>
                    <w:keepLines w:val="0"/>
                    <w:suppressLineNumbers w:val="0"/>
                    <w:adjustRightInd w:val="0"/>
                    <w:snapToGrid w:val="0"/>
                    <w:spacing w:before="0" w:beforeAutospacing="0" w:after="0" w:afterAutospacing="0" w:line="240" w:lineRule="auto"/>
                    <w:ind w:left="0" w:right="0" w:firstLine="0" w:firstLineChars="0"/>
                    <w:jc w:val="center"/>
                    <w:rPr>
                      <w:rFonts w:ascii="Times New Roman" w:hAnsi="Times New Roman"/>
                      <w:b w:val="0"/>
                      <w:bCs/>
                      <w:color w:val="auto"/>
                      <w:sz w:val="21"/>
                      <w:szCs w:val="21"/>
                    </w:rPr>
                  </w:pPr>
                  <w:r>
                    <w:rPr>
                      <w:rFonts w:hint="eastAsia" w:ascii="Times New Roman" w:hAnsi="Times New Roman"/>
                      <w:b w:val="0"/>
                      <w:bCs/>
                      <w:color w:val="auto"/>
                      <w:sz w:val="21"/>
                      <w:szCs w:val="21"/>
                    </w:rPr>
                    <w:t>实际距离（</w:t>
                  </w:r>
                  <w:r>
                    <w:rPr>
                      <w:rFonts w:ascii="Times New Roman" w:hAnsi="Times New Roman"/>
                      <w:b w:val="0"/>
                      <w:bCs/>
                      <w:color w:val="auto"/>
                      <w:sz w:val="21"/>
                      <w:szCs w:val="21"/>
                    </w:rPr>
                    <w:t>m</w:t>
                  </w:r>
                  <w:r>
                    <w:rPr>
                      <w:rFonts w:hint="eastAsia" w:ascii="Times New Roman" w:hAnsi="Times New Roman"/>
                      <w:b w:val="0"/>
                      <w:bCs/>
                      <w:color w:val="auto"/>
                      <w:sz w:val="21"/>
                      <w:szCs w:val="21"/>
                    </w:rPr>
                    <w:t>）</w:t>
                  </w:r>
                </w:p>
              </w:tc>
              <w:tc>
                <w:tcPr>
                  <w:tcW w:w="1164" w:type="pct"/>
                  <w:tcBorders>
                    <w:tl2br w:val="nil"/>
                    <w:tr2bl w:val="nil"/>
                  </w:tcBorders>
                  <w:shd w:val="clear" w:color="auto" w:fill="auto"/>
                  <w:vAlign w:val="center"/>
                </w:tcPr>
                <w:p w14:paraId="47049FE7">
                  <w:pPr>
                    <w:keepNext w:val="0"/>
                    <w:keepLines w:val="0"/>
                    <w:suppressLineNumbers w:val="0"/>
                    <w:adjustRightInd w:val="0"/>
                    <w:snapToGrid w:val="0"/>
                    <w:spacing w:before="0" w:beforeAutospacing="0" w:after="0" w:afterAutospacing="0" w:line="240" w:lineRule="auto"/>
                    <w:ind w:left="0" w:right="0" w:firstLine="0" w:firstLineChars="0"/>
                    <w:jc w:val="center"/>
                    <w:rPr>
                      <w:rFonts w:ascii="Times New Roman" w:hAnsi="Times New Roman"/>
                      <w:b w:val="0"/>
                      <w:bCs/>
                      <w:color w:val="auto"/>
                      <w:sz w:val="21"/>
                      <w:szCs w:val="21"/>
                    </w:rPr>
                  </w:pPr>
                  <w:r>
                    <w:rPr>
                      <w:rFonts w:hint="eastAsia" w:ascii="Times New Roman" w:hAnsi="Times New Roman"/>
                      <w:b w:val="0"/>
                      <w:bCs/>
                      <w:color w:val="auto"/>
                      <w:sz w:val="21"/>
                      <w:szCs w:val="21"/>
                    </w:rPr>
                    <w:t>依据</w:t>
                  </w:r>
                </w:p>
              </w:tc>
              <w:tc>
                <w:tcPr>
                  <w:tcW w:w="381" w:type="pct"/>
                  <w:tcBorders>
                    <w:tl2br w:val="nil"/>
                    <w:tr2bl w:val="nil"/>
                  </w:tcBorders>
                  <w:shd w:val="clear" w:color="auto" w:fill="auto"/>
                  <w:vAlign w:val="center"/>
                </w:tcPr>
                <w:p w14:paraId="1777403B">
                  <w:pPr>
                    <w:keepNext w:val="0"/>
                    <w:keepLines w:val="0"/>
                    <w:suppressLineNumbers w:val="0"/>
                    <w:adjustRightInd w:val="0"/>
                    <w:snapToGrid w:val="0"/>
                    <w:spacing w:before="0" w:beforeAutospacing="0" w:after="0" w:afterAutospacing="0" w:line="240" w:lineRule="auto"/>
                    <w:ind w:left="0" w:right="0" w:firstLine="0" w:firstLineChars="0"/>
                    <w:jc w:val="center"/>
                    <w:rPr>
                      <w:rFonts w:ascii="Times New Roman" w:hAnsi="Times New Roman"/>
                      <w:b w:val="0"/>
                      <w:bCs/>
                      <w:color w:val="auto"/>
                      <w:sz w:val="21"/>
                      <w:szCs w:val="21"/>
                    </w:rPr>
                  </w:pPr>
                  <w:r>
                    <w:rPr>
                      <w:rFonts w:hint="eastAsia" w:ascii="Times New Roman" w:hAnsi="Times New Roman"/>
                      <w:b w:val="0"/>
                      <w:bCs/>
                      <w:color w:val="auto"/>
                      <w:sz w:val="21"/>
                      <w:szCs w:val="21"/>
                    </w:rPr>
                    <w:t>结论</w:t>
                  </w:r>
                </w:p>
              </w:tc>
            </w:tr>
            <w:tr w14:paraId="6EC3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325" w:type="pct"/>
                  <w:vMerge w:val="restart"/>
                  <w:tcBorders>
                    <w:tl2br w:val="nil"/>
                    <w:tr2bl w:val="nil"/>
                  </w:tcBorders>
                  <w:shd w:val="clear" w:color="auto" w:fill="auto"/>
                  <w:vAlign w:val="center"/>
                </w:tcPr>
                <w:p w14:paraId="72DD408C">
                  <w:pPr>
                    <w:keepNext w:val="0"/>
                    <w:keepLines w:val="0"/>
                    <w:numPr>
                      <w:ilvl w:val="0"/>
                      <w:numId w:val="1"/>
                    </w:numPr>
                    <w:suppressLineNumbers w:val="0"/>
                    <w:adjustRightInd w:val="0"/>
                    <w:snapToGrid w:val="0"/>
                    <w:spacing w:before="0" w:beforeAutospacing="0" w:after="0" w:afterAutospacing="0" w:line="240" w:lineRule="atLeast"/>
                    <w:ind w:right="0" w:firstLineChars="0"/>
                    <w:rPr>
                      <w:color w:val="auto"/>
                      <w:sz w:val="21"/>
                      <w:szCs w:val="21"/>
                    </w:rPr>
                  </w:pPr>
                </w:p>
              </w:tc>
              <w:tc>
                <w:tcPr>
                  <w:tcW w:w="684" w:type="pct"/>
                  <w:vMerge w:val="restart"/>
                  <w:tcBorders>
                    <w:tl2br w:val="nil"/>
                    <w:tr2bl w:val="nil"/>
                  </w:tcBorders>
                  <w:shd w:val="clear" w:color="auto" w:fill="auto"/>
                  <w:vAlign w:val="center"/>
                </w:tcPr>
                <w:p w14:paraId="6811D030">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本项目</w:t>
                  </w:r>
                </w:p>
              </w:tc>
              <w:tc>
                <w:tcPr>
                  <w:tcW w:w="325" w:type="pct"/>
                  <w:tcBorders>
                    <w:tl2br w:val="nil"/>
                    <w:tr2bl w:val="nil"/>
                  </w:tcBorders>
                  <w:shd w:val="clear" w:color="auto" w:fill="auto"/>
                  <w:vAlign w:val="center"/>
                </w:tcPr>
                <w:p w14:paraId="0E6CBF05">
                  <w:pPr>
                    <w:pStyle w:val="93"/>
                    <w:keepNext w:val="0"/>
                    <w:keepLines w:val="0"/>
                    <w:widowControl/>
                    <w:suppressLineNumbers w:val="0"/>
                    <w:spacing w:before="57" w:beforeLines="15" w:beforeAutospacing="0" w:after="57" w:afterLines="15" w:afterAutospacing="0"/>
                    <w:ind w:left="0" w:right="0"/>
                    <w:jc w:val="center"/>
                    <w:rPr>
                      <w:color w:val="auto"/>
                      <w:kern w:val="0"/>
                      <w:szCs w:val="21"/>
                    </w:rPr>
                  </w:pPr>
                  <w:r>
                    <w:rPr>
                      <w:rFonts w:hint="eastAsia" w:ascii="宋体" w:hAnsi="宋体" w:cs="Times New Roman"/>
                      <w:color w:val="auto"/>
                      <w:szCs w:val="21"/>
                    </w:rPr>
                    <w:t>东</w:t>
                  </w:r>
                </w:p>
              </w:tc>
              <w:tc>
                <w:tcPr>
                  <w:tcW w:w="872" w:type="pct"/>
                  <w:tcBorders>
                    <w:tl2br w:val="nil"/>
                    <w:tr2bl w:val="nil"/>
                  </w:tcBorders>
                  <w:shd w:val="clear" w:color="auto" w:fill="auto"/>
                  <w:vAlign w:val="center"/>
                </w:tcPr>
                <w:p w14:paraId="7CE8E6C6">
                  <w:pPr>
                    <w:pStyle w:val="93"/>
                    <w:keepNext w:val="0"/>
                    <w:keepLines w:val="0"/>
                    <w:widowControl/>
                    <w:suppressLineNumbers w:val="0"/>
                    <w:spacing w:before="57" w:beforeLines="15" w:beforeAutospacing="0" w:after="57" w:afterLines="15" w:afterAutospacing="0"/>
                    <w:ind w:left="0" w:right="0"/>
                    <w:jc w:val="center"/>
                    <w:rPr>
                      <w:rFonts w:ascii="Cambria" w:hAnsi="Cambria" w:cs="Times New Roman"/>
                      <w:color w:val="auto"/>
                      <w:szCs w:val="21"/>
                    </w:rPr>
                  </w:pPr>
                  <w:r>
                    <w:rPr>
                      <w:rFonts w:hint="eastAsia" w:ascii="Cambria" w:hAnsi="Cambria" w:cs="Times New Roman"/>
                      <w:color w:val="auto"/>
                      <w:szCs w:val="21"/>
                    </w:rPr>
                    <w:t>宏冠公司用地边界</w:t>
                  </w:r>
                </w:p>
              </w:tc>
              <w:tc>
                <w:tcPr>
                  <w:tcW w:w="611" w:type="pct"/>
                  <w:tcBorders>
                    <w:tl2br w:val="nil"/>
                    <w:tr2bl w:val="nil"/>
                  </w:tcBorders>
                  <w:shd w:val="clear" w:color="auto" w:fill="auto"/>
                  <w:vAlign w:val="center"/>
                </w:tcPr>
                <w:p w14:paraId="0DEA3078">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52.5</w:t>
                  </w:r>
                </w:p>
              </w:tc>
              <w:tc>
                <w:tcPr>
                  <w:tcW w:w="634" w:type="pct"/>
                  <w:tcBorders>
                    <w:tl2br w:val="nil"/>
                    <w:tr2bl w:val="nil"/>
                  </w:tcBorders>
                  <w:shd w:val="clear" w:color="auto" w:fill="auto"/>
                  <w:vAlign w:val="center"/>
                </w:tcPr>
                <w:p w14:paraId="6C522CDB">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107</w:t>
                  </w:r>
                </w:p>
              </w:tc>
              <w:tc>
                <w:tcPr>
                  <w:tcW w:w="1164" w:type="pct"/>
                  <w:vMerge w:val="restart"/>
                  <w:tcBorders>
                    <w:tl2br w:val="nil"/>
                    <w:tr2bl w:val="nil"/>
                  </w:tcBorders>
                  <w:shd w:val="clear" w:color="auto" w:fill="auto"/>
                  <w:vAlign w:val="center"/>
                </w:tcPr>
                <w:p w14:paraId="278FAF6B">
                  <w:pPr>
                    <w:keepNext w:val="0"/>
                    <w:keepLines w:val="0"/>
                    <w:suppressLineNumbers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GB50016-2025《建筑设计防火法律规范》第3.4.1条、第4.5.1条。</w:t>
                  </w:r>
                </w:p>
              </w:tc>
              <w:tc>
                <w:tcPr>
                  <w:tcW w:w="381" w:type="pct"/>
                  <w:tcBorders>
                    <w:tl2br w:val="nil"/>
                    <w:tr2bl w:val="nil"/>
                  </w:tcBorders>
                  <w:shd w:val="clear" w:color="auto" w:fill="auto"/>
                  <w:vAlign w:val="center"/>
                </w:tcPr>
                <w:p w14:paraId="4E49580A">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符合</w:t>
                  </w:r>
                </w:p>
              </w:tc>
            </w:tr>
            <w:tr w14:paraId="631F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 w:type="pct"/>
                  <w:vMerge w:val="continue"/>
                  <w:tcBorders>
                    <w:tl2br w:val="nil"/>
                    <w:tr2bl w:val="nil"/>
                  </w:tcBorders>
                  <w:shd w:val="clear" w:color="auto" w:fill="auto"/>
                  <w:vAlign w:val="center"/>
                </w:tcPr>
                <w:p w14:paraId="55478A12">
                  <w:pPr>
                    <w:keepNext w:val="0"/>
                    <w:keepLines w:val="0"/>
                    <w:widowControl/>
                    <w:suppressLineNumbers w:val="0"/>
                    <w:spacing w:before="0" w:beforeAutospacing="0" w:after="0" w:afterAutospacing="0"/>
                    <w:ind w:left="0" w:right="0" w:firstLine="420"/>
                    <w:jc w:val="left"/>
                    <w:rPr>
                      <w:color w:val="auto"/>
                      <w:sz w:val="21"/>
                      <w:szCs w:val="21"/>
                    </w:rPr>
                  </w:pPr>
                </w:p>
              </w:tc>
              <w:tc>
                <w:tcPr>
                  <w:tcW w:w="0" w:type="auto"/>
                  <w:vMerge w:val="continue"/>
                  <w:tcBorders>
                    <w:tl2br w:val="nil"/>
                    <w:tr2bl w:val="nil"/>
                  </w:tcBorders>
                  <w:shd w:val="clear" w:color="auto" w:fill="auto"/>
                  <w:vAlign w:val="center"/>
                </w:tcPr>
                <w:p w14:paraId="3488A7EF">
                  <w:pPr>
                    <w:keepNext w:val="0"/>
                    <w:keepLines w:val="0"/>
                    <w:widowControl/>
                    <w:suppressLineNumbers w:val="0"/>
                    <w:spacing w:before="0" w:beforeAutospacing="0" w:after="0" w:afterAutospacing="0"/>
                    <w:ind w:left="0" w:right="0" w:firstLine="420"/>
                    <w:jc w:val="left"/>
                    <w:rPr>
                      <w:color w:val="auto"/>
                      <w:sz w:val="21"/>
                      <w:szCs w:val="21"/>
                    </w:rPr>
                  </w:pPr>
                </w:p>
              </w:tc>
              <w:tc>
                <w:tcPr>
                  <w:tcW w:w="325" w:type="pct"/>
                  <w:tcBorders>
                    <w:tl2br w:val="nil"/>
                    <w:tr2bl w:val="nil"/>
                  </w:tcBorders>
                  <w:shd w:val="clear" w:color="auto" w:fill="auto"/>
                  <w:vAlign w:val="center"/>
                </w:tcPr>
                <w:p w14:paraId="799F5C07">
                  <w:pPr>
                    <w:pStyle w:val="93"/>
                    <w:keepNext w:val="0"/>
                    <w:keepLines w:val="0"/>
                    <w:suppressLineNumbers w:val="0"/>
                    <w:spacing w:before="57" w:beforeLines="15" w:beforeAutospacing="0" w:after="57" w:afterLines="15" w:afterAutospacing="0"/>
                    <w:ind w:left="0" w:right="0"/>
                    <w:jc w:val="center"/>
                    <w:rPr>
                      <w:color w:val="auto"/>
                      <w:kern w:val="0"/>
                      <w:szCs w:val="21"/>
                    </w:rPr>
                  </w:pPr>
                  <w:r>
                    <w:rPr>
                      <w:rFonts w:hint="eastAsia" w:ascii="宋体" w:hAnsi="宋体" w:cs="Times New Roman"/>
                      <w:color w:val="auto"/>
                      <w:szCs w:val="21"/>
                    </w:rPr>
                    <w:t>东偏北</w:t>
                  </w:r>
                </w:p>
              </w:tc>
              <w:tc>
                <w:tcPr>
                  <w:tcW w:w="872" w:type="pct"/>
                  <w:tcBorders>
                    <w:tl2br w:val="nil"/>
                    <w:tr2bl w:val="nil"/>
                  </w:tcBorders>
                  <w:shd w:val="clear" w:color="auto" w:fill="auto"/>
                  <w:vAlign w:val="center"/>
                </w:tcPr>
                <w:p w14:paraId="719A816F">
                  <w:pPr>
                    <w:pStyle w:val="93"/>
                    <w:keepNext w:val="0"/>
                    <w:keepLines w:val="0"/>
                    <w:suppressLineNumbers w:val="0"/>
                    <w:spacing w:before="57" w:beforeLines="15" w:beforeAutospacing="0" w:after="57" w:afterLines="15" w:afterAutospacing="0"/>
                    <w:ind w:left="0" w:right="0"/>
                    <w:jc w:val="center"/>
                    <w:rPr>
                      <w:rFonts w:ascii="Cambria" w:hAnsi="Cambria" w:cs="Times New Roman"/>
                      <w:color w:val="auto"/>
                      <w:szCs w:val="21"/>
                    </w:rPr>
                  </w:pPr>
                  <w:r>
                    <w:rPr>
                      <w:rFonts w:hint="eastAsia" w:ascii="Cambria" w:hAnsi="Cambria" w:cs="Times New Roman"/>
                      <w:color w:val="auto"/>
                      <w:szCs w:val="21"/>
                    </w:rPr>
                    <w:t>园区供水站边界</w:t>
                  </w:r>
                </w:p>
              </w:tc>
              <w:tc>
                <w:tcPr>
                  <w:tcW w:w="611" w:type="pct"/>
                  <w:tcBorders>
                    <w:tl2br w:val="nil"/>
                    <w:tr2bl w:val="nil"/>
                  </w:tcBorders>
                  <w:shd w:val="clear" w:color="auto" w:fill="auto"/>
                  <w:vAlign w:val="center"/>
                </w:tcPr>
                <w:p w14:paraId="4F647A22">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52.5</w:t>
                  </w:r>
                </w:p>
              </w:tc>
              <w:tc>
                <w:tcPr>
                  <w:tcW w:w="634" w:type="pct"/>
                  <w:tcBorders>
                    <w:tl2br w:val="nil"/>
                    <w:tr2bl w:val="nil"/>
                  </w:tcBorders>
                  <w:shd w:val="clear" w:color="auto" w:fill="auto"/>
                  <w:vAlign w:val="center"/>
                </w:tcPr>
                <w:p w14:paraId="5CAE391A">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52.5</w:t>
                  </w:r>
                </w:p>
              </w:tc>
              <w:tc>
                <w:tcPr>
                  <w:tcW w:w="1164" w:type="pct"/>
                  <w:vMerge w:val="continue"/>
                  <w:tcBorders>
                    <w:tl2br w:val="nil"/>
                    <w:tr2bl w:val="nil"/>
                  </w:tcBorders>
                  <w:shd w:val="clear" w:color="auto" w:fill="auto"/>
                  <w:vAlign w:val="center"/>
                </w:tcPr>
                <w:p w14:paraId="22D1709D">
                  <w:pPr>
                    <w:keepNext w:val="0"/>
                    <w:keepLines w:val="0"/>
                    <w:widowControl/>
                    <w:suppressLineNumbers w:val="0"/>
                    <w:spacing w:before="0" w:beforeAutospacing="0" w:after="0" w:afterAutospacing="0"/>
                    <w:ind w:left="0" w:right="0" w:firstLine="420"/>
                    <w:jc w:val="left"/>
                    <w:rPr>
                      <w:color w:val="auto"/>
                      <w:sz w:val="21"/>
                      <w:szCs w:val="21"/>
                    </w:rPr>
                  </w:pPr>
                </w:p>
              </w:tc>
              <w:tc>
                <w:tcPr>
                  <w:tcW w:w="381" w:type="pct"/>
                  <w:tcBorders>
                    <w:tl2br w:val="nil"/>
                    <w:tr2bl w:val="nil"/>
                  </w:tcBorders>
                  <w:shd w:val="clear" w:color="auto" w:fill="auto"/>
                  <w:vAlign w:val="center"/>
                </w:tcPr>
                <w:p w14:paraId="57DA0C87">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符合</w:t>
                  </w:r>
                </w:p>
              </w:tc>
            </w:tr>
            <w:tr w14:paraId="2676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25" w:type="pct"/>
                  <w:vMerge w:val="continue"/>
                  <w:tcBorders>
                    <w:tl2br w:val="nil"/>
                    <w:tr2bl w:val="nil"/>
                  </w:tcBorders>
                  <w:shd w:val="clear" w:color="auto" w:fill="auto"/>
                  <w:vAlign w:val="center"/>
                </w:tcPr>
                <w:p w14:paraId="49AD2F17">
                  <w:pPr>
                    <w:keepNext w:val="0"/>
                    <w:keepLines w:val="0"/>
                    <w:widowControl/>
                    <w:suppressLineNumbers w:val="0"/>
                    <w:spacing w:before="0" w:beforeAutospacing="0" w:after="0" w:afterAutospacing="0"/>
                    <w:ind w:left="0" w:right="0" w:firstLine="420"/>
                    <w:jc w:val="left"/>
                    <w:rPr>
                      <w:color w:val="auto"/>
                      <w:sz w:val="21"/>
                      <w:szCs w:val="21"/>
                    </w:rPr>
                  </w:pPr>
                </w:p>
              </w:tc>
              <w:tc>
                <w:tcPr>
                  <w:tcW w:w="0" w:type="auto"/>
                  <w:vMerge w:val="continue"/>
                  <w:tcBorders>
                    <w:tl2br w:val="nil"/>
                    <w:tr2bl w:val="nil"/>
                  </w:tcBorders>
                  <w:shd w:val="clear" w:color="auto" w:fill="auto"/>
                  <w:vAlign w:val="center"/>
                </w:tcPr>
                <w:p w14:paraId="13F46438">
                  <w:pPr>
                    <w:keepNext w:val="0"/>
                    <w:keepLines w:val="0"/>
                    <w:widowControl/>
                    <w:suppressLineNumbers w:val="0"/>
                    <w:spacing w:before="0" w:beforeAutospacing="0" w:after="0" w:afterAutospacing="0"/>
                    <w:ind w:left="0" w:right="0" w:firstLine="420"/>
                    <w:jc w:val="left"/>
                    <w:rPr>
                      <w:color w:val="auto"/>
                      <w:sz w:val="21"/>
                      <w:szCs w:val="21"/>
                    </w:rPr>
                  </w:pPr>
                </w:p>
              </w:tc>
              <w:tc>
                <w:tcPr>
                  <w:tcW w:w="325" w:type="pct"/>
                  <w:tcBorders>
                    <w:tl2br w:val="nil"/>
                    <w:tr2bl w:val="nil"/>
                  </w:tcBorders>
                  <w:shd w:val="clear" w:color="auto" w:fill="auto"/>
                  <w:vAlign w:val="center"/>
                </w:tcPr>
                <w:p w14:paraId="21B56A2C">
                  <w:pPr>
                    <w:pStyle w:val="93"/>
                    <w:keepNext w:val="0"/>
                    <w:keepLines w:val="0"/>
                    <w:widowControl/>
                    <w:suppressLineNumbers w:val="0"/>
                    <w:spacing w:before="57" w:beforeLines="15" w:beforeAutospacing="0" w:after="57" w:afterLines="15" w:afterAutospacing="0"/>
                    <w:ind w:left="0" w:right="0"/>
                    <w:jc w:val="center"/>
                    <w:rPr>
                      <w:color w:val="auto"/>
                      <w:kern w:val="0"/>
                      <w:szCs w:val="21"/>
                    </w:rPr>
                  </w:pPr>
                  <w:r>
                    <w:rPr>
                      <w:rFonts w:hint="eastAsia" w:ascii="宋体" w:hAnsi="宋体" w:cs="Times New Roman"/>
                      <w:color w:val="auto"/>
                      <w:szCs w:val="21"/>
                    </w:rPr>
                    <w:t>东北</w:t>
                  </w:r>
                </w:p>
              </w:tc>
              <w:tc>
                <w:tcPr>
                  <w:tcW w:w="872" w:type="pct"/>
                  <w:tcBorders>
                    <w:tl2br w:val="nil"/>
                    <w:tr2bl w:val="nil"/>
                  </w:tcBorders>
                  <w:shd w:val="clear" w:color="auto" w:fill="auto"/>
                  <w:vAlign w:val="center"/>
                </w:tcPr>
                <w:p w14:paraId="47B6EBCE">
                  <w:pPr>
                    <w:pStyle w:val="93"/>
                    <w:keepNext w:val="0"/>
                    <w:keepLines w:val="0"/>
                    <w:widowControl/>
                    <w:suppressLineNumbers w:val="0"/>
                    <w:spacing w:before="57" w:beforeLines="15" w:beforeAutospacing="0" w:after="57" w:afterLines="15" w:afterAutospacing="0"/>
                    <w:ind w:left="0" w:right="0"/>
                    <w:jc w:val="center"/>
                    <w:rPr>
                      <w:rFonts w:ascii="Cambria" w:hAnsi="Cambria" w:cs="Times New Roman"/>
                      <w:color w:val="auto"/>
                      <w:szCs w:val="21"/>
                    </w:rPr>
                  </w:pPr>
                  <w:r>
                    <w:rPr>
                      <w:rFonts w:hint="eastAsia" w:ascii="Cambria" w:hAnsi="Cambria" w:cs="Times New Roman"/>
                      <w:color w:val="auto"/>
                      <w:szCs w:val="21"/>
                    </w:rPr>
                    <w:t>辽宁凯迪化工有限公司（规划建筑）</w:t>
                  </w:r>
                </w:p>
              </w:tc>
              <w:tc>
                <w:tcPr>
                  <w:tcW w:w="611" w:type="pct"/>
                  <w:tcBorders>
                    <w:tl2br w:val="nil"/>
                    <w:tr2bl w:val="nil"/>
                  </w:tcBorders>
                  <w:shd w:val="clear" w:color="auto" w:fill="auto"/>
                  <w:vAlign w:val="center"/>
                </w:tcPr>
                <w:p w14:paraId="4F812529">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50</w:t>
                  </w:r>
                </w:p>
              </w:tc>
              <w:tc>
                <w:tcPr>
                  <w:tcW w:w="634" w:type="pct"/>
                  <w:tcBorders>
                    <w:tl2br w:val="nil"/>
                    <w:tr2bl w:val="nil"/>
                  </w:tcBorders>
                  <w:shd w:val="clear" w:color="auto" w:fill="auto"/>
                  <w:vAlign w:val="center"/>
                </w:tcPr>
                <w:p w14:paraId="287B823E">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59.5</w:t>
                  </w:r>
                </w:p>
              </w:tc>
              <w:tc>
                <w:tcPr>
                  <w:tcW w:w="1164" w:type="pct"/>
                  <w:vMerge w:val="continue"/>
                  <w:tcBorders>
                    <w:tl2br w:val="nil"/>
                    <w:tr2bl w:val="nil"/>
                  </w:tcBorders>
                  <w:shd w:val="clear" w:color="auto" w:fill="auto"/>
                  <w:vAlign w:val="center"/>
                </w:tcPr>
                <w:p w14:paraId="25405107">
                  <w:pPr>
                    <w:keepNext w:val="0"/>
                    <w:keepLines w:val="0"/>
                    <w:widowControl/>
                    <w:suppressLineNumbers w:val="0"/>
                    <w:spacing w:before="0" w:beforeAutospacing="0" w:after="0" w:afterAutospacing="0"/>
                    <w:ind w:left="0" w:right="0" w:firstLine="420"/>
                    <w:jc w:val="left"/>
                    <w:rPr>
                      <w:color w:val="auto"/>
                      <w:sz w:val="21"/>
                      <w:szCs w:val="21"/>
                    </w:rPr>
                  </w:pPr>
                </w:p>
              </w:tc>
              <w:tc>
                <w:tcPr>
                  <w:tcW w:w="381" w:type="pct"/>
                  <w:tcBorders>
                    <w:tl2br w:val="nil"/>
                    <w:tr2bl w:val="nil"/>
                  </w:tcBorders>
                  <w:shd w:val="clear" w:color="auto" w:fill="auto"/>
                  <w:vAlign w:val="center"/>
                </w:tcPr>
                <w:p w14:paraId="2F713E7A">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符合</w:t>
                  </w:r>
                </w:p>
              </w:tc>
            </w:tr>
            <w:tr w14:paraId="3B7E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325" w:type="pct"/>
                  <w:vMerge w:val="continue"/>
                  <w:tcBorders>
                    <w:tl2br w:val="nil"/>
                    <w:tr2bl w:val="nil"/>
                  </w:tcBorders>
                  <w:shd w:val="clear" w:color="auto" w:fill="auto"/>
                  <w:vAlign w:val="center"/>
                </w:tcPr>
                <w:p w14:paraId="31BEF753">
                  <w:pPr>
                    <w:keepNext w:val="0"/>
                    <w:keepLines w:val="0"/>
                    <w:widowControl/>
                    <w:suppressLineNumbers w:val="0"/>
                    <w:spacing w:before="0" w:beforeAutospacing="0" w:after="0" w:afterAutospacing="0"/>
                    <w:ind w:left="0" w:right="0" w:firstLine="420"/>
                    <w:jc w:val="left"/>
                    <w:rPr>
                      <w:color w:val="auto"/>
                      <w:sz w:val="21"/>
                      <w:szCs w:val="21"/>
                    </w:rPr>
                  </w:pPr>
                </w:p>
              </w:tc>
              <w:tc>
                <w:tcPr>
                  <w:tcW w:w="0" w:type="auto"/>
                  <w:vMerge w:val="continue"/>
                  <w:tcBorders>
                    <w:tl2br w:val="nil"/>
                    <w:tr2bl w:val="nil"/>
                  </w:tcBorders>
                  <w:shd w:val="clear" w:color="auto" w:fill="auto"/>
                  <w:vAlign w:val="center"/>
                </w:tcPr>
                <w:p w14:paraId="062303F2">
                  <w:pPr>
                    <w:keepNext w:val="0"/>
                    <w:keepLines w:val="0"/>
                    <w:widowControl/>
                    <w:suppressLineNumbers w:val="0"/>
                    <w:spacing w:before="0" w:beforeAutospacing="0" w:after="0" w:afterAutospacing="0"/>
                    <w:ind w:left="0" w:right="0" w:firstLine="420"/>
                    <w:jc w:val="left"/>
                    <w:rPr>
                      <w:color w:val="auto"/>
                      <w:sz w:val="21"/>
                      <w:szCs w:val="21"/>
                    </w:rPr>
                  </w:pPr>
                </w:p>
              </w:tc>
              <w:tc>
                <w:tcPr>
                  <w:tcW w:w="325" w:type="pct"/>
                  <w:tcBorders>
                    <w:tl2br w:val="nil"/>
                    <w:tr2bl w:val="nil"/>
                  </w:tcBorders>
                  <w:shd w:val="clear" w:color="auto" w:fill="auto"/>
                  <w:vAlign w:val="center"/>
                </w:tcPr>
                <w:p w14:paraId="085B17C2">
                  <w:pPr>
                    <w:pStyle w:val="93"/>
                    <w:keepNext w:val="0"/>
                    <w:keepLines w:val="0"/>
                    <w:suppressLineNumbers w:val="0"/>
                    <w:spacing w:before="57" w:beforeLines="15" w:beforeAutospacing="0" w:after="57" w:afterLines="15" w:afterAutospacing="0"/>
                    <w:ind w:left="0" w:right="0"/>
                    <w:jc w:val="center"/>
                    <w:rPr>
                      <w:color w:val="auto"/>
                      <w:kern w:val="0"/>
                      <w:szCs w:val="21"/>
                    </w:rPr>
                  </w:pPr>
                  <w:r>
                    <w:rPr>
                      <w:rFonts w:hint="eastAsia" w:ascii="宋体" w:hAnsi="宋体" w:cs="Times New Roman"/>
                      <w:color w:val="auto"/>
                      <w:szCs w:val="21"/>
                    </w:rPr>
                    <w:t>北</w:t>
                  </w:r>
                </w:p>
              </w:tc>
              <w:tc>
                <w:tcPr>
                  <w:tcW w:w="872" w:type="pct"/>
                  <w:tcBorders>
                    <w:tl2br w:val="nil"/>
                    <w:tr2bl w:val="nil"/>
                  </w:tcBorders>
                  <w:shd w:val="clear" w:color="auto" w:fill="auto"/>
                  <w:vAlign w:val="center"/>
                </w:tcPr>
                <w:p w14:paraId="29AB33D6">
                  <w:pPr>
                    <w:pStyle w:val="93"/>
                    <w:keepNext w:val="0"/>
                    <w:keepLines w:val="0"/>
                    <w:suppressLineNumbers w:val="0"/>
                    <w:spacing w:before="57" w:beforeLines="15" w:beforeAutospacing="0" w:after="57" w:afterLines="15" w:afterAutospacing="0"/>
                    <w:ind w:left="0" w:right="0"/>
                    <w:jc w:val="center"/>
                    <w:rPr>
                      <w:rFonts w:ascii="Cambria" w:hAnsi="Cambria" w:cs="Times New Roman"/>
                      <w:color w:val="auto"/>
                      <w:szCs w:val="21"/>
                    </w:rPr>
                  </w:pPr>
                  <w:r>
                    <w:rPr>
                      <w:rFonts w:hint="eastAsia" w:ascii="Cambria" w:hAnsi="Cambria" w:cs="Times New Roman"/>
                      <w:color w:val="auto"/>
                      <w:szCs w:val="21"/>
                    </w:rPr>
                    <w:t>同益石蜡（规划丙类储罐）</w:t>
                  </w:r>
                </w:p>
              </w:tc>
              <w:tc>
                <w:tcPr>
                  <w:tcW w:w="611" w:type="pct"/>
                  <w:tcBorders>
                    <w:tl2br w:val="nil"/>
                    <w:tr2bl w:val="nil"/>
                  </w:tcBorders>
                  <w:shd w:val="clear" w:color="auto" w:fill="auto"/>
                  <w:vAlign w:val="center"/>
                </w:tcPr>
                <w:p w14:paraId="27F061B9">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30</w:t>
                  </w:r>
                </w:p>
              </w:tc>
              <w:tc>
                <w:tcPr>
                  <w:tcW w:w="634" w:type="pct"/>
                  <w:tcBorders>
                    <w:tl2br w:val="nil"/>
                    <w:tr2bl w:val="nil"/>
                  </w:tcBorders>
                  <w:shd w:val="clear" w:color="auto" w:fill="auto"/>
                  <w:vAlign w:val="center"/>
                </w:tcPr>
                <w:p w14:paraId="4BE1CCE6">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62.5</w:t>
                  </w:r>
                </w:p>
              </w:tc>
              <w:tc>
                <w:tcPr>
                  <w:tcW w:w="1164" w:type="pct"/>
                  <w:vMerge w:val="continue"/>
                  <w:tcBorders>
                    <w:tl2br w:val="nil"/>
                    <w:tr2bl w:val="nil"/>
                  </w:tcBorders>
                  <w:shd w:val="clear" w:color="auto" w:fill="auto"/>
                  <w:vAlign w:val="center"/>
                </w:tcPr>
                <w:p w14:paraId="307E7377">
                  <w:pPr>
                    <w:keepNext w:val="0"/>
                    <w:keepLines w:val="0"/>
                    <w:widowControl/>
                    <w:suppressLineNumbers w:val="0"/>
                    <w:spacing w:before="0" w:beforeAutospacing="0" w:after="0" w:afterAutospacing="0"/>
                    <w:ind w:left="0" w:right="0" w:firstLine="420"/>
                    <w:jc w:val="left"/>
                    <w:rPr>
                      <w:color w:val="auto"/>
                      <w:sz w:val="21"/>
                      <w:szCs w:val="21"/>
                    </w:rPr>
                  </w:pPr>
                </w:p>
              </w:tc>
              <w:tc>
                <w:tcPr>
                  <w:tcW w:w="381" w:type="pct"/>
                  <w:tcBorders>
                    <w:tl2br w:val="nil"/>
                    <w:tr2bl w:val="nil"/>
                  </w:tcBorders>
                  <w:shd w:val="clear" w:color="auto" w:fill="auto"/>
                  <w:vAlign w:val="center"/>
                </w:tcPr>
                <w:p w14:paraId="7E2062E2">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符合</w:t>
                  </w:r>
                </w:p>
              </w:tc>
            </w:tr>
            <w:tr w14:paraId="5441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5" w:type="pct"/>
                  <w:vMerge w:val="continue"/>
                  <w:tcBorders>
                    <w:tl2br w:val="nil"/>
                    <w:tr2bl w:val="nil"/>
                  </w:tcBorders>
                  <w:shd w:val="clear" w:color="auto" w:fill="auto"/>
                  <w:vAlign w:val="center"/>
                </w:tcPr>
                <w:p w14:paraId="7F80A725">
                  <w:pPr>
                    <w:keepNext w:val="0"/>
                    <w:keepLines w:val="0"/>
                    <w:widowControl/>
                    <w:suppressLineNumbers w:val="0"/>
                    <w:spacing w:before="0" w:beforeAutospacing="0" w:after="0" w:afterAutospacing="0"/>
                    <w:ind w:left="0" w:right="0" w:firstLine="420"/>
                    <w:jc w:val="left"/>
                    <w:rPr>
                      <w:color w:val="auto"/>
                      <w:sz w:val="21"/>
                      <w:szCs w:val="21"/>
                    </w:rPr>
                  </w:pPr>
                </w:p>
              </w:tc>
              <w:tc>
                <w:tcPr>
                  <w:tcW w:w="0" w:type="auto"/>
                  <w:vMerge w:val="continue"/>
                  <w:tcBorders>
                    <w:tl2br w:val="nil"/>
                    <w:tr2bl w:val="nil"/>
                  </w:tcBorders>
                  <w:shd w:val="clear" w:color="auto" w:fill="auto"/>
                  <w:vAlign w:val="center"/>
                </w:tcPr>
                <w:p w14:paraId="059925CA">
                  <w:pPr>
                    <w:keepNext w:val="0"/>
                    <w:keepLines w:val="0"/>
                    <w:widowControl/>
                    <w:suppressLineNumbers w:val="0"/>
                    <w:spacing w:before="0" w:beforeAutospacing="0" w:after="0" w:afterAutospacing="0"/>
                    <w:ind w:left="0" w:right="0" w:firstLine="420"/>
                    <w:jc w:val="left"/>
                    <w:rPr>
                      <w:color w:val="auto"/>
                      <w:sz w:val="21"/>
                      <w:szCs w:val="21"/>
                    </w:rPr>
                  </w:pPr>
                </w:p>
              </w:tc>
              <w:tc>
                <w:tcPr>
                  <w:tcW w:w="325" w:type="pct"/>
                  <w:tcBorders>
                    <w:tl2br w:val="nil"/>
                    <w:tr2bl w:val="nil"/>
                  </w:tcBorders>
                  <w:shd w:val="clear" w:color="auto" w:fill="auto"/>
                  <w:vAlign w:val="center"/>
                </w:tcPr>
                <w:p w14:paraId="5F4B66DC">
                  <w:pPr>
                    <w:pStyle w:val="93"/>
                    <w:keepNext w:val="0"/>
                    <w:keepLines w:val="0"/>
                    <w:widowControl/>
                    <w:suppressLineNumbers w:val="0"/>
                    <w:spacing w:before="57" w:beforeLines="15" w:beforeAutospacing="0" w:after="57" w:afterLines="15" w:afterAutospacing="0"/>
                    <w:ind w:left="0" w:right="0"/>
                    <w:jc w:val="center"/>
                    <w:rPr>
                      <w:color w:val="auto"/>
                      <w:kern w:val="0"/>
                      <w:szCs w:val="21"/>
                    </w:rPr>
                  </w:pPr>
                  <w:r>
                    <w:rPr>
                      <w:rFonts w:hint="eastAsia" w:ascii="宋体" w:hAnsi="宋体" w:cs="Times New Roman"/>
                      <w:color w:val="auto"/>
                      <w:szCs w:val="21"/>
                    </w:rPr>
                    <w:t>西</w:t>
                  </w:r>
                </w:p>
              </w:tc>
              <w:tc>
                <w:tcPr>
                  <w:tcW w:w="872" w:type="pct"/>
                  <w:tcBorders>
                    <w:tl2br w:val="nil"/>
                    <w:tr2bl w:val="nil"/>
                  </w:tcBorders>
                  <w:shd w:val="clear" w:color="auto" w:fill="auto"/>
                  <w:vAlign w:val="center"/>
                </w:tcPr>
                <w:p w14:paraId="6AB5F3C4">
                  <w:pPr>
                    <w:pStyle w:val="93"/>
                    <w:keepNext w:val="0"/>
                    <w:keepLines w:val="0"/>
                    <w:widowControl/>
                    <w:suppressLineNumbers w:val="0"/>
                    <w:spacing w:before="57" w:beforeLines="15" w:beforeAutospacing="0" w:after="57" w:afterLines="15" w:afterAutospacing="0"/>
                    <w:ind w:left="0" w:right="0"/>
                    <w:jc w:val="center"/>
                    <w:rPr>
                      <w:rFonts w:ascii="Cambria" w:hAnsi="Cambria" w:cs="Times New Roman"/>
                      <w:color w:val="auto"/>
                      <w:szCs w:val="21"/>
                    </w:rPr>
                  </w:pPr>
                  <w:r>
                    <w:rPr>
                      <w:rFonts w:hint="eastAsia" w:ascii="Cambria" w:hAnsi="Cambria" w:cs="Times New Roman"/>
                      <w:color w:val="auto"/>
                      <w:szCs w:val="21"/>
                    </w:rPr>
                    <w:t>龙祥路</w:t>
                  </w:r>
                </w:p>
              </w:tc>
              <w:tc>
                <w:tcPr>
                  <w:tcW w:w="611" w:type="pct"/>
                  <w:tcBorders>
                    <w:tl2br w:val="nil"/>
                    <w:tr2bl w:val="nil"/>
                  </w:tcBorders>
                  <w:shd w:val="clear" w:color="auto" w:fill="auto"/>
                  <w:vAlign w:val="center"/>
                </w:tcPr>
                <w:p w14:paraId="61558AFB">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20</w:t>
                  </w:r>
                </w:p>
              </w:tc>
              <w:tc>
                <w:tcPr>
                  <w:tcW w:w="634" w:type="pct"/>
                  <w:tcBorders>
                    <w:tl2br w:val="nil"/>
                    <w:tr2bl w:val="nil"/>
                  </w:tcBorders>
                  <w:shd w:val="clear" w:color="auto" w:fill="auto"/>
                  <w:vAlign w:val="center"/>
                </w:tcPr>
                <w:p w14:paraId="29C1A4CA">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27</w:t>
                  </w:r>
                </w:p>
              </w:tc>
              <w:tc>
                <w:tcPr>
                  <w:tcW w:w="1164" w:type="pct"/>
                  <w:vMerge w:val="continue"/>
                  <w:tcBorders>
                    <w:tl2br w:val="nil"/>
                    <w:tr2bl w:val="nil"/>
                  </w:tcBorders>
                  <w:shd w:val="clear" w:color="auto" w:fill="auto"/>
                  <w:vAlign w:val="center"/>
                </w:tcPr>
                <w:p w14:paraId="04DB988D">
                  <w:pPr>
                    <w:keepNext w:val="0"/>
                    <w:keepLines w:val="0"/>
                    <w:widowControl/>
                    <w:suppressLineNumbers w:val="0"/>
                    <w:spacing w:before="0" w:beforeAutospacing="0" w:after="0" w:afterAutospacing="0"/>
                    <w:ind w:left="0" w:right="0" w:firstLine="420"/>
                    <w:jc w:val="left"/>
                    <w:rPr>
                      <w:color w:val="auto"/>
                      <w:sz w:val="21"/>
                      <w:szCs w:val="21"/>
                    </w:rPr>
                  </w:pPr>
                </w:p>
              </w:tc>
              <w:tc>
                <w:tcPr>
                  <w:tcW w:w="381" w:type="pct"/>
                  <w:tcBorders>
                    <w:tl2br w:val="nil"/>
                    <w:tr2bl w:val="nil"/>
                  </w:tcBorders>
                  <w:shd w:val="clear" w:color="auto" w:fill="auto"/>
                  <w:vAlign w:val="center"/>
                </w:tcPr>
                <w:p w14:paraId="7778116A">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符合</w:t>
                  </w:r>
                </w:p>
              </w:tc>
            </w:tr>
            <w:tr w14:paraId="0E39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25" w:type="pct"/>
                  <w:vMerge w:val="continue"/>
                  <w:tcBorders>
                    <w:tl2br w:val="nil"/>
                    <w:tr2bl w:val="nil"/>
                  </w:tcBorders>
                  <w:shd w:val="clear" w:color="auto" w:fill="auto"/>
                  <w:vAlign w:val="center"/>
                </w:tcPr>
                <w:p w14:paraId="6057BB9A">
                  <w:pPr>
                    <w:keepNext w:val="0"/>
                    <w:keepLines w:val="0"/>
                    <w:widowControl/>
                    <w:suppressLineNumbers w:val="0"/>
                    <w:spacing w:before="0" w:beforeAutospacing="0" w:after="0" w:afterAutospacing="0"/>
                    <w:ind w:left="0" w:right="0" w:firstLine="420"/>
                    <w:jc w:val="left"/>
                    <w:rPr>
                      <w:color w:val="auto"/>
                      <w:sz w:val="21"/>
                      <w:szCs w:val="21"/>
                    </w:rPr>
                  </w:pPr>
                </w:p>
              </w:tc>
              <w:tc>
                <w:tcPr>
                  <w:tcW w:w="0" w:type="auto"/>
                  <w:vMerge w:val="continue"/>
                  <w:tcBorders>
                    <w:tl2br w:val="nil"/>
                    <w:tr2bl w:val="nil"/>
                  </w:tcBorders>
                  <w:shd w:val="clear" w:color="auto" w:fill="auto"/>
                  <w:vAlign w:val="center"/>
                </w:tcPr>
                <w:p w14:paraId="20C4EFBE">
                  <w:pPr>
                    <w:keepNext w:val="0"/>
                    <w:keepLines w:val="0"/>
                    <w:widowControl/>
                    <w:suppressLineNumbers w:val="0"/>
                    <w:spacing w:before="0" w:beforeAutospacing="0" w:after="0" w:afterAutospacing="0"/>
                    <w:ind w:left="0" w:right="0" w:firstLine="420"/>
                    <w:jc w:val="left"/>
                    <w:rPr>
                      <w:color w:val="auto"/>
                      <w:sz w:val="21"/>
                      <w:szCs w:val="21"/>
                    </w:rPr>
                  </w:pPr>
                </w:p>
              </w:tc>
              <w:tc>
                <w:tcPr>
                  <w:tcW w:w="325" w:type="pct"/>
                  <w:tcBorders>
                    <w:tl2br w:val="nil"/>
                    <w:tr2bl w:val="nil"/>
                  </w:tcBorders>
                  <w:shd w:val="clear" w:color="auto" w:fill="auto"/>
                  <w:vAlign w:val="center"/>
                </w:tcPr>
                <w:p w14:paraId="3E2E1BF9">
                  <w:pPr>
                    <w:pStyle w:val="93"/>
                    <w:keepNext w:val="0"/>
                    <w:keepLines w:val="0"/>
                    <w:widowControl/>
                    <w:suppressLineNumbers w:val="0"/>
                    <w:spacing w:before="57" w:beforeLines="15" w:beforeAutospacing="0" w:after="57" w:afterLines="15" w:afterAutospacing="0"/>
                    <w:ind w:left="0" w:right="0"/>
                    <w:jc w:val="center"/>
                    <w:rPr>
                      <w:color w:val="auto"/>
                      <w:kern w:val="0"/>
                      <w:szCs w:val="21"/>
                    </w:rPr>
                  </w:pPr>
                  <w:r>
                    <w:rPr>
                      <w:rFonts w:hint="eastAsia" w:ascii="宋体" w:hAnsi="宋体" w:cs="Times New Roman"/>
                      <w:color w:val="auto"/>
                      <w:szCs w:val="21"/>
                    </w:rPr>
                    <w:t>南</w:t>
                  </w:r>
                </w:p>
              </w:tc>
              <w:tc>
                <w:tcPr>
                  <w:tcW w:w="872" w:type="pct"/>
                  <w:tcBorders>
                    <w:tl2br w:val="nil"/>
                    <w:tr2bl w:val="nil"/>
                  </w:tcBorders>
                  <w:shd w:val="clear" w:color="auto" w:fill="auto"/>
                  <w:vAlign w:val="center"/>
                </w:tcPr>
                <w:p w14:paraId="09F3F208">
                  <w:pPr>
                    <w:pStyle w:val="93"/>
                    <w:keepNext w:val="0"/>
                    <w:keepLines w:val="0"/>
                    <w:widowControl/>
                    <w:suppressLineNumbers w:val="0"/>
                    <w:spacing w:before="57" w:beforeLines="15" w:beforeAutospacing="0" w:after="57" w:afterLines="15" w:afterAutospacing="0"/>
                    <w:ind w:left="0" w:right="0"/>
                    <w:jc w:val="center"/>
                    <w:rPr>
                      <w:rFonts w:ascii="Cambria" w:hAnsi="Cambria" w:cs="Times New Roman"/>
                      <w:color w:val="auto"/>
                      <w:szCs w:val="21"/>
                    </w:rPr>
                  </w:pPr>
                  <w:r>
                    <w:rPr>
                      <w:rFonts w:hint="eastAsia" w:ascii="Cambria" w:hAnsi="Cambria" w:cs="Times New Roman"/>
                      <w:color w:val="auto"/>
                      <w:szCs w:val="21"/>
                    </w:rPr>
                    <w:t>辽宁隆益科技发展有限公司</w:t>
                  </w:r>
                </w:p>
              </w:tc>
              <w:tc>
                <w:tcPr>
                  <w:tcW w:w="611" w:type="pct"/>
                  <w:tcBorders>
                    <w:tl2br w:val="nil"/>
                    <w:tr2bl w:val="nil"/>
                  </w:tcBorders>
                  <w:shd w:val="clear" w:color="auto" w:fill="auto"/>
                  <w:vAlign w:val="center"/>
                </w:tcPr>
                <w:p w14:paraId="6E98D6D3">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40</w:t>
                  </w:r>
                </w:p>
              </w:tc>
              <w:tc>
                <w:tcPr>
                  <w:tcW w:w="634" w:type="pct"/>
                  <w:tcBorders>
                    <w:tl2br w:val="nil"/>
                    <w:tr2bl w:val="nil"/>
                  </w:tcBorders>
                  <w:shd w:val="clear" w:color="auto" w:fill="auto"/>
                  <w:vAlign w:val="center"/>
                </w:tcPr>
                <w:p w14:paraId="78764626">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300</w:t>
                  </w:r>
                </w:p>
              </w:tc>
              <w:tc>
                <w:tcPr>
                  <w:tcW w:w="1164" w:type="pct"/>
                  <w:vMerge w:val="continue"/>
                  <w:tcBorders>
                    <w:tl2br w:val="nil"/>
                    <w:tr2bl w:val="nil"/>
                  </w:tcBorders>
                  <w:shd w:val="clear" w:color="auto" w:fill="auto"/>
                  <w:vAlign w:val="center"/>
                </w:tcPr>
                <w:p w14:paraId="6C6E166A">
                  <w:pPr>
                    <w:keepNext w:val="0"/>
                    <w:keepLines w:val="0"/>
                    <w:widowControl/>
                    <w:suppressLineNumbers w:val="0"/>
                    <w:spacing w:before="0" w:beforeAutospacing="0" w:after="0" w:afterAutospacing="0"/>
                    <w:ind w:left="0" w:right="0" w:firstLine="420"/>
                    <w:jc w:val="left"/>
                    <w:rPr>
                      <w:color w:val="auto"/>
                      <w:sz w:val="21"/>
                      <w:szCs w:val="21"/>
                    </w:rPr>
                  </w:pPr>
                </w:p>
              </w:tc>
              <w:tc>
                <w:tcPr>
                  <w:tcW w:w="381" w:type="pct"/>
                  <w:tcBorders>
                    <w:tl2br w:val="nil"/>
                    <w:tr2bl w:val="nil"/>
                  </w:tcBorders>
                  <w:shd w:val="clear" w:color="auto" w:fill="auto"/>
                  <w:vAlign w:val="center"/>
                </w:tcPr>
                <w:p w14:paraId="565ECF07">
                  <w:pPr>
                    <w:keepNext w:val="0"/>
                    <w:keepLines w:val="0"/>
                    <w:suppressLineNumbers w:val="0"/>
                    <w:adjustRightInd w:val="0"/>
                    <w:snapToGrid w:val="0"/>
                    <w:spacing w:before="0" w:beforeAutospacing="0" w:after="0" w:afterAutospacing="0" w:line="240" w:lineRule="atLeast"/>
                    <w:ind w:left="0" w:right="0" w:firstLine="0" w:firstLineChars="0"/>
                    <w:jc w:val="center"/>
                    <w:rPr>
                      <w:color w:val="auto"/>
                      <w:sz w:val="21"/>
                      <w:szCs w:val="21"/>
                    </w:rPr>
                  </w:pPr>
                  <w:r>
                    <w:rPr>
                      <w:rFonts w:hint="eastAsia"/>
                      <w:color w:val="auto"/>
                      <w:sz w:val="21"/>
                      <w:szCs w:val="21"/>
                    </w:rPr>
                    <w:t>符合</w:t>
                  </w:r>
                </w:p>
              </w:tc>
            </w:tr>
          </w:tbl>
          <w:p w14:paraId="0DB1AAF1">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lang w:val="en-US" w:eastAsia="zh-CN"/>
              </w:rPr>
              <w:t>②堆垛限制</w:t>
            </w:r>
            <w:r>
              <w:rPr>
                <w:rFonts w:hint="eastAsia"/>
                <w:color w:val="auto"/>
                <w:sz w:val="24"/>
                <w:highlight w:val="none"/>
              </w:rPr>
              <w:t>‌</w:t>
            </w:r>
          </w:p>
          <w:p w14:paraId="4B951982">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堆垛高度一般不超过2.5米，严禁超高引发倒塌风险。‌</w:t>
            </w:r>
          </w:p>
          <w:p w14:paraId="2A93092B">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堆垛总重量不得超过地面额定承载值。</w:t>
            </w:r>
          </w:p>
          <w:p w14:paraId="7E236851">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严格执行“五距”标准：顶距≥0.5米、灯距≥0.5米、墙距≥0.3-0.5米、柱距≥0.2-0.3米、堆距≥1米，保障通风、消防与应急操作空间。</w:t>
            </w:r>
          </w:p>
          <w:p w14:paraId="2A750BE6">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遵循“上轻下重”原则，每层货物边缘对齐，缝隙≤5cm，破损、潮湿包装严禁堆垛，。</w:t>
            </w:r>
          </w:p>
          <w:p w14:paraId="33CDAD6B">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不同化学性质的货物严禁混放，易燃易爆品需单独隔离存放，堆垛作业不得占用消防通道、堵塞消防设备前方1-1.5米的预留空间。</w:t>
            </w:r>
          </w:p>
          <w:p w14:paraId="452DBB64">
            <w:pPr>
              <w:keepNext w:val="0"/>
              <w:keepLines w:val="0"/>
              <w:suppressLineNumbers w:val="0"/>
              <w:spacing w:before="0" w:beforeAutospacing="0" w:after="0" w:afterAutospacing="0" w:line="360" w:lineRule="auto"/>
              <w:ind w:left="0" w:right="0" w:firstLine="480" w:firstLineChars="200"/>
              <w:rPr>
                <w:rFonts w:hint="default" w:eastAsia="宋体"/>
                <w:color w:val="auto"/>
                <w:sz w:val="24"/>
                <w:highlight w:val="none"/>
                <w:lang w:val="en-US" w:eastAsia="zh-CN"/>
              </w:rPr>
            </w:pPr>
            <w:r>
              <w:rPr>
                <w:rFonts w:hint="eastAsia"/>
                <w:color w:val="auto"/>
                <w:sz w:val="24"/>
                <w:highlight w:val="none"/>
                <w:lang w:val="en-US" w:eastAsia="zh-CN"/>
              </w:rPr>
              <w:t>③防雨、防晒及消防配置</w:t>
            </w:r>
          </w:p>
          <w:p w14:paraId="6AFDCEEE">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原材料储存雨棚配置40具MF/ABC8手提式磷酸铵盐干粉灭火器，均匀布置于约20个设置点（每个设置点2具），确保任意位置距灭火器不超过9m。</w:t>
            </w:r>
          </w:p>
          <w:p w14:paraId="3D2B5304">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中转罐区增设8m³泡沫储罐（6%抗溶泡沫液）， 3套移动式比例混合装置（每组1套）分别存放于罐组1、2、3专用消防箱（带防雨防晒措施，箱内配压力表和混合器校验工具），每个中转罐组配2具MF/ABC8手提式磷酸铵盐干粉灭火器。</w:t>
            </w:r>
          </w:p>
          <w:p w14:paraId="37C69DED">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lang w:val="en-US" w:eastAsia="zh-CN"/>
              </w:rPr>
              <w:t>4</w:t>
            </w:r>
            <w:r>
              <w:rPr>
                <w:rFonts w:hint="eastAsia"/>
                <w:color w:val="auto"/>
                <w:sz w:val="24"/>
                <w:highlight w:val="none"/>
              </w:rPr>
              <w:t>、与生态分区管控符合性分析</w:t>
            </w:r>
          </w:p>
          <w:p w14:paraId="6F4566E3">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根据《关于发布抚顺市生态环境分区管控动态更新成果的通知》</w:t>
            </w:r>
            <w:r>
              <w:rPr>
                <w:rFonts w:hint="eastAsia"/>
                <w:color w:val="auto"/>
                <w:sz w:val="24"/>
                <w:highlight w:val="none"/>
                <w:lang w:eastAsia="zh-CN"/>
              </w:rPr>
              <w:t>（</w:t>
            </w:r>
            <w:r>
              <w:rPr>
                <w:rFonts w:hint="eastAsia"/>
                <w:color w:val="auto"/>
                <w:sz w:val="24"/>
                <w:highlight w:val="none"/>
              </w:rPr>
              <w:t>抚环发〔2024〕144 号</w:t>
            </w:r>
            <w:r>
              <w:rPr>
                <w:rFonts w:hint="eastAsia"/>
                <w:color w:val="auto"/>
                <w:sz w:val="24"/>
                <w:highlight w:val="none"/>
                <w:lang w:eastAsia="zh-CN"/>
              </w:rPr>
              <w:t>）</w:t>
            </w:r>
            <w:r>
              <w:rPr>
                <w:rFonts w:hint="eastAsia"/>
                <w:color w:val="auto"/>
                <w:sz w:val="24"/>
                <w:highlight w:val="none"/>
              </w:rPr>
              <w:t>，本项目位于汉圣化工（抚顺）有限公司</w:t>
            </w:r>
            <w:r>
              <w:rPr>
                <w:rFonts w:hint="eastAsia"/>
                <w:color w:val="auto"/>
                <w:sz w:val="24"/>
                <w:highlight w:val="none"/>
                <w:lang w:val="en-US" w:eastAsia="zh-CN"/>
              </w:rPr>
              <w:t>现有占地范围内</w:t>
            </w:r>
            <w:r>
              <w:rPr>
                <w:rFonts w:hint="eastAsia"/>
                <w:color w:val="auto"/>
                <w:sz w:val="24"/>
                <w:highlight w:val="none"/>
              </w:rPr>
              <w:t>，属于“ZH21040320001 抚顺高新技术产业开发区”，与生态环境准入清单相符性分析见下表。</w:t>
            </w:r>
          </w:p>
          <w:p w14:paraId="23C03A43">
            <w:pPr>
              <w:pStyle w:val="8"/>
              <w:keepNext w:val="0"/>
              <w:keepLines w:val="0"/>
              <w:suppressLineNumbers w:val="0"/>
              <w:spacing w:before="0" w:beforeAutospacing="0" w:after="0" w:afterAutospacing="0"/>
              <w:ind w:left="0" w:right="0" w:firstLine="0" w:firstLineChars="0"/>
              <w:jc w:val="center"/>
              <w:rPr>
                <w:color w:val="auto"/>
                <w:highlight w:val="none"/>
              </w:rPr>
            </w:pPr>
            <w:r>
              <w:rPr>
                <w:rFonts w:hint="eastAsia"/>
                <w:color w:val="auto"/>
                <w:sz w:val="24"/>
                <w:highlight w:val="none"/>
              </w:rPr>
              <w:t>表1-</w:t>
            </w:r>
            <w:r>
              <w:rPr>
                <w:rFonts w:hint="eastAsia"/>
                <w:color w:val="auto"/>
                <w:sz w:val="24"/>
                <w:highlight w:val="none"/>
                <w:lang w:val="en-US" w:eastAsia="zh-CN"/>
              </w:rPr>
              <w:t>6</w:t>
            </w:r>
            <w:r>
              <w:rPr>
                <w:rFonts w:hint="eastAsia"/>
                <w:color w:val="auto"/>
                <w:highlight w:val="none"/>
              </w:rPr>
              <w:t xml:space="preserve">  </w:t>
            </w:r>
            <w:r>
              <w:rPr>
                <w:rFonts w:hint="eastAsia"/>
                <w:color w:val="auto"/>
                <w:sz w:val="24"/>
                <w:highlight w:val="none"/>
              </w:rPr>
              <w:t>与ZH21040320001 环境管控单元准入清单符合性分析一览表</w:t>
            </w:r>
          </w:p>
          <w:tbl>
            <w:tblPr>
              <w:tblStyle w:val="2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22"/>
              <w:gridCol w:w="2893"/>
              <w:gridCol w:w="1500"/>
              <w:gridCol w:w="995"/>
            </w:tblGrid>
            <w:tr w14:paraId="2D41B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223" w:type="dxa"/>
                  <w:vAlign w:val="center"/>
                </w:tcPr>
                <w:p w14:paraId="7C27F1D7">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管控维度</w:t>
                  </w:r>
                </w:p>
              </w:tc>
              <w:tc>
                <w:tcPr>
                  <w:tcW w:w="2895" w:type="dxa"/>
                  <w:vAlign w:val="center"/>
                </w:tcPr>
                <w:p w14:paraId="61C0BB1D">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政策要求</w:t>
                  </w:r>
                </w:p>
              </w:tc>
              <w:tc>
                <w:tcPr>
                  <w:tcW w:w="1500" w:type="dxa"/>
                  <w:vAlign w:val="center"/>
                </w:tcPr>
                <w:p w14:paraId="4599DF9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本项目</w:t>
                  </w:r>
                </w:p>
              </w:tc>
              <w:tc>
                <w:tcPr>
                  <w:tcW w:w="995" w:type="dxa"/>
                  <w:vAlign w:val="center"/>
                </w:tcPr>
                <w:p w14:paraId="42F69597">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符合性</w:t>
                  </w:r>
                </w:p>
              </w:tc>
            </w:tr>
            <w:tr w14:paraId="099BAA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223" w:type="dxa"/>
                  <w:vAlign w:val="center"/>
                </w:tcPr>
                <w:p w14:paraId="7AD9D2A0">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空间布局</w:t>
                  </w:r>
                </w:p>
                <w:p w14:paraId="3188E0A8">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约束</w:t>
                  </w:r>
                </w:p>
              </w:tc>
              <w:tc>
                <w:tcPr>
                  <w:tcW w:w="2895" w:type="dxa"/>
                  <w:vAlign w:val="center"/>
                </w:tcPr>
                <w:p w14:paraId="4B270840">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1.核心区：以三类工业为主，并强调产业集群的建设。</w:t>
                  </w:r>
                </w:p>
                <w:p w14:paraId="272431A4">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2.海新工业园区：主要发展装备制造及橡、塑、蜡深加工产业。</w:t>
                  </w:r>
                </w:p>
                <w:p w14:paraId="770066BA">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3.青草沟工业园区：主要发展装备制造产业。</w:t>
                  </w:r>
                </w:p>
                <w:p w14:paraId="357565EC">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4.兰山工业园区：主要发展精细化工产业，配套行政管理、科研基地等管理服务设施。符合高新技术产业开发区发展布局规划；严格按规划确定的园区功能定位和产业定位要求，把好产业准入关；严格按照《关于加强高耗能、高排放建设项目生态环境源头防控的指导意见》（环环评〔2021〕</w:t>
                  </w:r>
                </w:p>
                <w:p w14:paraId="4392CC9C">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45 号）的要求进行“两高”项目准入。</w:t>
                  </w:r>
                </w:p>
              </w:tc>
              <w:tc>
                <w:tcPr>
                  <w:tcW w:w="1500" w:type="dxa"/>
                  <w:vAlign w:val="center"/>
                </w:tcPr>
                <w:p w14:paraId="2D9F9CEC">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本项目属C2511原油加工及石油制品制造，符合</w:t>
                  </w:r>
                </w:p>
                <w:p w14:paraId="7E9389DC">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《抚顺高新技术产业园区及</w:t>
                  </w:r>
                </w:p>
                <w:p w14:paraId="69D12A87">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周边总体规划（2018～2030）环境影响报告书》及其审查意见（辽环函[2021]103号）核心区相关要求</w:t>
                  </w:r>
                </w:p>
                <w:p w14:paraId="1D608343">
                  <w:pPr>
                    <w:keepNext w:val="0"/>
                    <w:keepLines w:val="0"/>
                    <w:suppressLineNumbers w:val="0"/>
                    <w:spacing w:before="0" w:beforeAutospacing="0" w:after="0" w:afterAutospacing="0"/>
                    <w:ind w:left="0" w:right="0"/>
                    <w:rPr>
                      <w:color w:val="auto"/>
                      <w:szCs w:val="21"/>
                      <w:highlight w:val="none"/>
                    </w:rPr>
                  </w:pPr>
                </w:p>
              </w:tc>
              <w:tc>
                <w:tcPr>
                  <w:tcW w:w="995" w:type="dxa"/>
                  <w:vAlign w:val="center"/>
                </w:tcPr>
                <w:p w14:paraId="726EBC19">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0F231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223" w:type="dxa"/>
                  <w:vAlign w:val="center"/>
                </w:tcPr>
                <w:p w14:paraId="12DEA5EF">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污染物排</w:t>
                  </w:r>
                </w:p>
                <w:p w14:paraId="1CD35DAA">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放管控</w:t>
                  </w:r>
                </w:p>
              </w:tc>
              <w:tc>
                <w:tcPr>
                  <w:tcW w:w="2895" w:type="dxa"/>
                  <w:vAlign w:val="center"/>
                </w:tcPr>
                <w:p w14:paraId="3CE6D1E4">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1.工业废水经过各自企业预处理达标后，尤其是第一类污染物要在车间达标后再统一排入污水处理厂处理。</w:t>
                  </w:r>
                </w:p>
                <w:p w14:paraId="1FE36CE0">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2.企业废水污染物排放浓度必须满足污水处理厂的进水水质要求，不符合污水处理厂进水要求的应进行源内预处理。</w:t>
                  </w:r>
                </w:p>
                <w:p w14:paraId="0DDE1A63">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3.园区应督促各企业对厂区内的初期雨水进行收集处理，企业的装置区、化工品储罐区、油品装卸区等生产区域的初期雨水均应收集后进入污水处理厂。</w:t>
                  </w:r>
                </w:p>
                <w:p w14:paraId="4FF0A766">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4.优化排水系统设计，工艺废水、地面冲洗废水、初期雨水等在各项目厂界内收集并经过预处理后通过管线送至污水处理厂处理。</w:t>
                  </w:r>
                </w:p>
              </w:tc>
              <w:tc>
                <w:tcPr>
                  <w:tcW w:w="1500" w:type="dxa"/>
                  <w:vAlign w:val="center"/>
                </w:tcPr>
                <w:p w14:paraId="5EA8B1BB">
                  <w:pPr>
                    <w:keepNext w:val="0"/>
                    <w:keepLines w:val="0"/>
                    <w:suppressLineNumbers w:val="0"/>
                    <w:spacing w:before="0" w:beforeAutospacing="0" w:after="0" w:afterAutospacing="0"/>
                    <w:ind w:left="0" w:right="0"/>
                    <w:rPr>
                      <w:rFonts w:hint="eastAsia"/>
                      <w:color w:val="auto"/>
                      <w:szCs w:val="21"/>
                      <w:highlight w:val="none"/>
                      <w:lang w:eastAsia="zh-CN"/>
                    </w:rPr>
                  </w:pPr>
                  <w:r>
                    <w:rPr>
                      <w:rFonts w:hint="eastAsia"/>
                      <w:color w:val="auto"/>
                      <w:szCs w:val="21"/>
                      <w:highlight w:val="none"/>
                    </w:rPr>
                    <w:t>1.本项目</w:t>
                  </w:r>
                  <w:r>
                    <w:rPr>
                      <w:rFonts w:hint="eastAsia" w:ascii="Times New Roman"/>
                      <w:color w:val="auto"/>
                      <w:highlight w:val="none"/>
                      <w:lang w:val="en-US" w:eastAsia="zh-CN"/>
                    </w:rPr>
                    <w:t>蒸汽凝结水回用于地面冲洗，地面冲洗废水经污水管网排入东泽污水处理厂</w:t>
                  </w:r>
                  <w:r>
                    <w:rPr>
                      <w:rFonts w:hint="eastAsia"/>
                      <w:color w:val="auto"/>
                      <w:szCs w:val="21"/>
                      <w:highlight w:val="none"/>
                      <w:lang w:eastAsia="zh-CN"/>
                    </w:rPr>
                    <w:t>；</w:t>
                  </w:r>
                </w:p>
                <w:p w14:paraId="6EF346F3">
                  <w:pPr>
                    <w:keepNext w:val="0"/>
                    <w:keepLines w:val="0"/>
                    <w:suppressLineNumbers w:val="0"/>
                    <w:spacing w:before="0" w:beforeAutospacing="0" w:after="0" w:afterAutospacing="0"/>
                    <w:ind w:left="0" w:right="0"/>
                    <w:rPr>
                      <w:rFonts w:hint="eastAsia" w:eastAsia="宋体"/>
                      <w:color w:val="auto"/>
                      <w:szCs w:val="21"/>
                      <w:highlight w:val="none"/>
                      <w:lang w:eastAsia="zh-CN"/>
                    </w:rPr>
                  </w:pPr>
                  <w:r>
                    <w:rPr>
                      <w:rFonts w:hint="eastAsia"/>
                      <w:color w:val="auto"/>
                      <w:szCs w:val="21"/>
                      <w:highlight w:val="none"/>
                    </w:rPr>
                    <w:t>2.企业污水</w:t>
                  </w:r>
                  <w:r>
                    <w:rPr>
                      <w:rFonts w:hint="eastAsia"/>
                      <w:color w:val="auto"/>
                      <w:szCs w:val="21"/>
                      <w:highlight w:val="none"/>
                      <w:lang w:val="en-US" w:eastAsia="zh-CN"/>
                    </w:rPr>
                    <w:t>总排口水质</w:t>
                  </w:r>
                  <w:r>
                    <w:rPr>
                      <w:rFonts w:hint="eastAsia"/>
                      <w:color w:val="auto"/>
                      <w:szCs w:val="21"/>
                      <w:highlight w:val="none"/>
                    </w:rPr>
                    <w:t>满足污水处理厂的进水水质要求</w:t>
                  </w:r>
                  <w:r>
                    <w:rPr>
                      <w:rFonts w:hint="eastAsia"/>
                      <w:color w:val="auto"/>
                      <w:szCs w:val="21"/>
                      <w:highlight w:val="none"/>
                      <w:lang w:eastAsia="zh-CN"/>
                    </w:rPr>
                    <w:t>；</w:t>
                  </w:r>
                </w:p>
                <w:p w14:paraId="5C853444">
                  <w:pPr>
                    <w:keepNext w:val="0"/>
                    <w:keepLines w:val="0"/>
                    <w:suppressLineNumbers w:val="0"/>
                    <w:spacing w:before="0" w:beforeAutospacing="0" w:after="0" w:afterAutospacing="0"/>
                    <w:ind w:left="0" w:right="0"/>
                    <w:rPr>
                      <w:rFonts w:hint="eastAsia" w:eastAsia="宋体"/>
                      <w:color w:val="auto"/>
                      <w:szCs w:val="21"/>
                      <w:highlight w:val="none"/>
                      <w:lang w:eastAsia="zh-CN"/>
                    </w:rPr>
                  </w:pPr>
                  <w:r>
                    <w:rPr>
                      <w:rFonts w:hint="eastAsia"/>
                      <w:color w:val="auto"/>
                      <w:szCs w:val="21"/>
                      <w:highlight w:val="none"/>
                    </w:rPr>
                    <w:t>3.厂区雨水</w:t>
                  </w:r>
                  <w:r>
                    <w:rPr>
                      <w:rFonts w:hint="eastAsia"/>
                      <w:color w:val="auto"/>
                      <w:szCs w:val="21"/>
                      <w:highlight w:val="none"/>
                      <w:lang w:val="en-US" w:eastAsia="zh-CN"/>
                    </w:rPr>
                    <w:t>经园区雨水管网进入园区污水处理厂</w:t>
                  </w:r>
                  <w:r>
                    <w:rPr>
                      <w:rFonts w:hint="eastAsia"/>
                      <w:color w:val="auto"/>
                      <w:szCs w:val="21"/>
                      <w:highlight w:val="none"/>
                      <w:lang w:eastAsia="zh-CN"/>
                    </w:rPr>
                    <w:t>；</w:t>
                  </w:r>
                </w:p>
                <w:p w14:paraId="76DB5AEE">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4.厂区实行雨污分流管网，雨水进入园区雨水管网。</w:t>
                  </w:r>
                </w:p>
                <w:p w14:paraId="76E26005">
                  <w:pPr>
                    <w:keepNext w:val="0"/>
                    <w:keepLines w:val="0"/>
                    <w:suppressLineNumbers w:val="0"/>
                    <w:spacing w:before="0" w:beforeAutospacing="0" w:after="0" w:afterAutospacing="0"/>
                    <w:ind w:left="0" w:right="0"/>
                    <w:rPr>
                      <w:rFonts w:hint="eastAsia"/>
                      <w:color w:val="auto"/>
                      <w:szCs w:val="21"/>
                      <w:highlight w:val="none"/>
                    </w:rPr>
                  </w:pPr>
                </w:p>
                <w:p w14:paraId="544BC91D">
                  <w:pPr>
                    <w:keepNext w:val="0"/>
                    <w:keepLines w:val="0"/>
                    <w:suppressLineNumbers w:val="0"/>
                    <w:spacing w:before="0" w:beforeAutospacing="0" w:after="0" w:afterAutospacing="0"/>
                    <w:ind w:left="0" w:right="0"/>
                    <w:rPr>
                      <w:color w:val="auto"/>
                      <w:szCs w:val="21"/>
                      <w:highlight w:val="none"/>
                    </w:rPr>
                  </w:pPr>
                </w:p>
              </w:tc>
              <w:tc>
                <w:tcPr>
                  <w:tcW w:w="995" w:type="dxa"/>
                  <w:vAlign w:val="center"/>
                </w:tcPr>
                <w:p w14:paraId="6DA97E7F">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07BA1A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223" w:type="dxa"/>
                  <w:vAlign w:val="center"/>
                </w:tcPr>
                <w:p w14:paraId="2C939314">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环境风险</w:t>
                  </w:r>
                </w:p>
                <w:p w14:paraId="1DD2CC50">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防控</w:t>
                  </w:r>
                </w:p>
              </w:tc>
              <w:tc>
                <w:tcPr>
                  <w:tcW w:w="2895" w:type="dxa"/>
                  <w:vAlign w:val="center"/>
                </w:tcPr>
                <w:p w14:paraId="53E1D7EB">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1.精细化工、石化企业和储罐区应自行建设初期雨水收集系统，初期雨水由污水处理厂处理达标后排放，避免雨水淋溶地面的污染物污染地表水</w:t>
                  </w:r>
                </w:p>
                <w:p w14:paraId="5C6E49A8">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体。</w:t>
                  </w:r>
                </w:p>
                <w:p w14:paraId="635096B7">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2.建立完善有效的环境风险防控设施和有效的拦截、降污、导流等措施。</w:t>
                  </w:r>
                </w:p>
                <w:p w14:paraId="4676552C">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3.园区内企业应制定环境应急预案，明确环境风险防范措施。园区管理机构应根据园区自身特点，制定园区级综合环境应急预案。</w:t>
                  </w:r>
                </w:p>
                <w:p w14:paraId="5531B82F">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4.园区地下水污染防治措施按照“源头控制、分区防治、污染监控、应急响应”相结合的原则，从污染物的产生、入渗、扩散、应急响应全方位进行</w:t>
                  </w:r>
                </w:p>
                <w:p w14:paraId="6A62B3D5">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控制。</w:t>
                  </w:r>
                </w:p>
                <w:p w14:paraId="2B6981DB">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5.在对原材料、工艺进行控制的基础上，对园区可能泄漏污染物的地面进行防渗处理，可有效防止污染物渗入地下，并及时地将泄漏、渗漏的污染</w:t>
                  </w:r>
                </w:p>
                <w:p w14:paraId="0A8F4F1C">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物收集并进行集中处理。</w:t>
                  </w:r>
                </w:p>
                <w:p w14:paraId="030117E9">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6.根据园区各生产功能单元可能泄漏至地面区域的污染物性质和生产单元的构筑方式，参照石油化工防渗工程技术规范中关于污染防治分区划分方法，将园区划分为重点污染防治区、一般污染防治区和非污染防治区。</w:t>
                  </w:r>
                </w:p>
              </w:tc>
              <w:tc>
                <w:tcPr>
                  <w:tcW w:w="1500" w:type="dxa"/>
                  <w:vAlign w:val="center"/>
                </w:tcPr>
                <w:p w14:paraId="0A968290">
                  <w:pPr>
                    <w:keepNext w:val="0"/>
                    <w:keepLines w:val="0"/>
                    <w:suppressLineNumbers w:val="0"/>
                    <w:spacing w:before="0" w:beforeAutospacing="0" w:after="0" w:afterAutospacing="0"/>
                    <w:ind w:left="0" w:right="0"/>
                    <w:rPr>
                      <w:rFonts w:hint="default" w:eastAsia="宋体"/>
                      <w:color w:val="auto"/>
                      <w:szCs w:val="21"/>
                      <w:highlight w:val="none"/>
                      <w:lang w:val="en-US" w:eastAsia="zh-CN"/>
                    </w:rPr>
                  </w:pPr>
                  <w:r>
                    <w:rPr>
                      <w:rFonts w:hint="eastAsia"/>
                      <w:color w:val="auto"/>
                      <w:szCs w:val="21"/>
                      <w:highlight w:val="none"/>
                    </w:rPr>
                    <w:t>1、厂区初期雨水</w:t>
                  </w:r>
                  <w:r>
                    <w:rPr>
                      <w:rFonts w:hint="eastAsia"/>
                      <w:color w:val="auto"/>
                      <w:szCs w:val="21"/>
                      <w:highlight w:val="none"/>
                      <w:lang w:val="en-US" w:eastAsia="zh-CN"/>
                    </w:rPr>
                    <w:t>经园区雨水管网进入园区配套污水处理厂</w:t>
                  </w:r>
                </w:p>
                <w:p w14:paraId="218FC86D">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2、企业建立三级防控体系，</w:t>
                  </w:r>
                </w:p>
                <w:p w14:paraId="172BE20B">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有效拦截事故污水</w:t>
                  </w:r>
                </w:p>
                <w:p w14:paraId="48082BFA">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3、本项目建成后，建议企业</w:t>
                  </w:r>
                </w:p>
                <w:p w14:paraId="2E0EB497">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及时修订应急预案并备案</w:t>
                  </w:r>
                </w:p>
                <w:p w14:paraId="4DAB80CF">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4、本项目按照“源头控制、分区防治、污染监控、应急响应”的原则，全方位控制污染物对周边环境影响</w:t>
                  </w:r>
                </w:p>
                <w:p w14:paraId="1D334A1E">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5、本项目所在车间进行分区</w:t>
                  </w:r>
                </w:p>
                <w:p w14:paraId="402F9604">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防渗</w:t>
                  </w:r>
                </w:p>
                <w:p w14:paraId="6E5DF193">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6、不涉及</w:t>
                  </w:r>
                </w:p>
                <w:p w14:paraId="5E161057">
                  <w:pPr>
                    <w:keepNext w:val="0"/>
                    <w:keepLines w:val="0"/>
                    <w:suppressLineNumbers w:val="0"/>
                    <w:spacing w:before="0" w:beforeAutospacing="0" w:after="0" w:afterAutospacing="0"/>
                    <w:ind w:left="0" w:right="0"/>
                    <w:rPr>
                      <w:color w:val="auto"/>
                      <w:szCs w:val="21"/>
                      <w:highlight w:val="none"/>
                    </w:rPr>
                  </w:pPr>
                </w:p>
              </w:tc>
              <w:tc>
                <w:tcPr>
                  <w:tcW w:w="995" w:type="dxa"/>
                  <w:vAlign w:val="center"/>
                </w:tcPr>
                <w:p w14:paraId="7A8BEB98">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1CC509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223" w:type="dxa"/>
                  <w:vAlign w:val="center"/>
                </w:tcPr>
                <w:p w14:paraId="70635499">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资源开发</w:t>
                  </w:r>
                </w:p>
                <w:p w14:paraId="472A58B7">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效率</w:t>
                  </w:r>
                </w:p>
              </w:tc>
              <w:tc>
                <w:tcPr>
                  <w:tcW w:w="2895" w:type="dxa"/>
                  <w:vAlign w:val="center"/>
                </w:tcPr>
                <w:p w14:paraId="25AD252C">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1.严禁以任何名义、任何方式核准或备案产能过剩行业的新增产能项目；</w:t>
                  </w:r>
                </w:p>
                <w:p w14:paraId="0DC415BE">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继续淘汰落后产能，严格执行相关法律法规和强制性标准，对环保、能耗、安全等不达标或生产、使用淘汰类产品的企业和产能，要依法依规有序退</w:t>
                  </w:r>
                </w:p>
                <w:p w14:paraId="7185876E">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出。</w:t>
                  </w:r>
                </w:p>
                <w:p w14:paraId="293C57E6">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2.贯彻落实国家节能节水政策，拒绝高污染、高耗能项目，大力提倡清洁生产和综合治理，实现绿色发展。提高水重复利用率，降低新鲜水用量及</w:t>
                  </w:r>
                </w:p>
                <w:p w14:paraId="043E988C">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废水排放量。</w:t>
                  </w:r>
                </w:p>
              </w:tc>
              <w:tc>
                <w:tcPr>
                  <w:tcW w:w="1500" w:type="dxa"/>
                  <w:vAlign w:val="center"/>
                </w:tcPr>
                <w:p w14:paraId="0ED767C7">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1.本项目不属于产能过剩行</w:t>
                  </w:r>
                </w:p>
                <w:p w14:paraId="18FEE968">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业新增产能项目，不属于落</w:t>
                  </w:r>
                </w:p>
                <w:p w14:paraId="011F5EF6">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后产能项目，环保、能耗、</w:t>
                  </w:r>
                </w:p>
                <w:p w14:paraId="4D5986DE">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安全等达标，满足清洁生产</w:t>
                  </w:r>
                </w:p>
                <w:p w14:paraId="5BC4E634">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要求。</w:t>
                  </w:r>
                </w:p>
                <w:p w14:paraId="0BAB75C3">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2.本项目不属于高污染、高耗能项目</w:t>
                  </w:r>
                </w:p>
                <w:p w14:paraId="5E42C216">
                  <w:pPr>
                    <w:keepNext w:val="0"/>
                    <w:keepLines w:val="0"/>
                    <w:suppressLineNumbers w:val="0"/>
                    <w:spacing w:before="0" w:beforeAutospacing="0" w:after="0" w:afterAutospacing="0"/>
                    <w:ind w:left="0" w:right="0"/>
                    <w:rPr>
                      <w:color w:val="auto"/>
                      <w:szCs w:val="21"/>
                      <w:highlight w:val="none"/>
                    </w:rPr>
                  </w:pPr>
                </w:p>
              </w:tc>
              <w:tc>
                <w:tcPr>
                  <w:tcW w:w="995" w:type="dxa"/>
                  <w:vAlign w:val="center"/>
                </w:tcPr>
                <w:p w14:paraId="61D4C99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bl>
          <w:p w14:paraId="3086A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lang w:val="en-US" w:eastAsia="zh-CN"/>
              </w:rPr>
              <w:t>5</w:t>
            </w:r>
            <w:r>
              <w:rPr>
                <w:rFonts w:hint="eastAsia"/>
                <w:color w:val="auto"/>
                <w:sz w:val="24"/>
                <w:highlight w:val="none"/>
              </w:rPr>
              <w:t>、</w:t>
            </w:r>
            <w:r>
              <w:rPr>
                <w:rFonts w:hint="eastAsia"/>
                <w:color w:val="auto"/>
                <w:sz w:val="24"/>
                <w:highlight w:val="none"/>
                <w:lang w:val="en-US" w:eastAsia="zh-CN"/>
              </w:rPr>
              <w:t>环境管理政策</w:t>
            </w:r>
            <w:r>
              <w:rPr>
                <w:rFonts w:hint="eastAsia"/>
                <w:color w:val="auto"/>
                <w:sz w:val="24"/>
                <w:highlight w:val="none"/>
              </w:rPr>
              <w:t>相符性分析</w:t>
            </w:r>
          </w:p>
          <w:p w14:paraId="3FA524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（1）《辽宁省深入打好污染防治攻坚战实施方案》</w:t>
            </w:r>
          </w:p>
          <w:p w14:paraId="140789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color w:val="auto"/>
                <w:sz w:val="24"/>
                <w:highlight w:val="none"/>
              </w:rPr>
            </w:pPr>
            <w:r>
              <w:rPr>
                <w:rFonts w:hint="eastAsia"/>
                <w:color w:val="auto"/>
                <w:sz w:val="24"/>
                <w:highlight w:val="none"/>
              </w:rPr>
              <w:t>表1-</w:t>
            </w:r>
            <w:r>
              <w:rPr>
                <w:rFonts w:hint="eastAsia"/>
                <w:color w:val="auto"/>
                <w:sz w:val="24"/>
                <w:highlight w:val="none"/>
                <w:lang w:val="en-US" w:eastAsia="zh-CN"/>
              </w:rPr>
              <w:t>7</w:t>
            </w:r>
            <w:r>
              <w:rPr>
                <w:rFonts w:hint="eastAsia"/>
                <w:color w:val="auto"/>
                <w:sz w:val="24"/>
                <w:highlight w:val="none"/>
              </w:rPr>
              <w:t xml:space="preserve">  与“</w:t>
            </w:r>
            <w:r>
              <w:rPr>
                <w:rFonts w:hint="eastAsia"/>
                <w:color w:val="auto"/>
                <w:sz w:val="24"/>
                <w:highlight w:val="none"/>
                <w:lang w:val="en-US" w:eastAsia="zh-CN"/>
              </w:rPr>
              <w:t>方案</w:t>
            </w:r>
            <w:r>
              <w:rPr>
                <w:rFonts w:hint="eastAsia"/>
                <w:color w:val="auto"/>
                <w:sz w:val="24"/>
                <w:highlight w:val="none"/>
              </w:rPr>
              <w:t>”符合性分析</w:t>
            </w:r>
          </w:p>
          <w:tbl>
            <w:tblPr>
              <w:tblStyle w:val="2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684"/>
              <w:gridCol w:w="1984"/>
              <w:gridCol w:w="942"/>
            </w:tblGrid>
            <w:tr w14:paraId="48269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687" w:type="dxa"/>
                  <w:vAlign w:val="center"/>
                </w:tcPr>
                <w:p w14:paraId="06F0F8A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lang w:val="en-US" w:eastAsia="zh-CN"/>
                    </w:rPr>
                    <w:t>政策</w:t>
                  </w:r>
                  <w:r>
                    <w:rPr>
                      <w:rFonts w:hint="eastAsia"/>
                      <w:color w:val="auto"/>
                      <w:szCs w:val="21"/>
                      <w:highlight w:val="none"/>
                    </w:rPr>
                    <w:t>要求</w:t>
                  </w:r>
                </w:p>
              </w:tc>
              <w:tc>
                <w:tcPr>
                  <w:tcW w:w="1985" w:type="dxa"/>
                  <w:vAlign w:val="center"/>
                </w:tcPr>
                <w:p w14:paraId="04718F1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本项目</w:t>
                  </w:r>
                </w:p>
              </w:tc>
              <w:tc>
                <w:tcPr>
                  <w:tcW w:w="942" w:type="dxa"/>
                  <w:vAlign w:val="center"/>
                </w:tcPr>
                <w:p w14:paraId="15DFB648">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符合性</w:t>
                  </w:r>
                </w:p>
              </w:tc>
            </w:tr>
            <w:tr w14:paraId="11CFE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687" w:type="dxa"/>
                  <w:vAlign w:val="center"/>
                </w:tcPr>
                <w:p w14:paraId="50FE7765">
                  <w:pPr>
                    <w:keepNext w:val="0"/>
                    <w:keepLines w:val="0"/>
                    <w:suppressLineNumbers w:val="0"/>
                    <w:spacing w:before="0" w:beforeAutospacing="0" w:after="0" w:afterAutospacing="0"/>
                    <w:ind w:left="0" w:right="0"/>
                    <w:jc w:val="left"/>
                    <w:rPr>
                      <w:rFonts w:hint="eastAsia"/>
                      <w:color w:val="auto"/>
                      <w:szCs w:val="21"/>
                      <w:highlight w:val="none"/>
                    </w:rPr>
                  </w:pPr>
                  <w:r>
                    <w:rPr>
                      <w:rFonts w:hint="eastAsia"/>
                      <w:color w:val="auto"/>
                      <w:szCs w:val="21"/>
                      <w:highlight w:val="none"/>
                    </w:rPr>
                    <w:t>（一）加快推动绿色低碳发展</w:t>
                  </w:r>
                </w:p>
                <w:p w14:paraId="3CE55F36">
                  <w:pPr>
                    <w:keepNext w:val="0"/>
                    <w:keepLines w:val="0"/>
                    <w:suppressLineNumbers w:val="0"/>
                    <w:spacing w:before="0" w:beforeAutospacing="0" w:after="0" w:afterAutospacing="0"/>
                    <w:ind w:left="0" w:right="0"/>
                    <w:jc w:val="left"/>
                    <w:rPr>
                      <w:rFonts w:hint="eastAsia"/>
                      <w:color w:val="auto"/>
                      <w:szCs w:val="21"/>
                      <w:highlight w:val="none"/>
                    </w:rPr>
                  </w:pPr>
                  <w:r>
                    <w:rPr>
                      <w:rFonts w:hint="eastAsia"/>
                      <w:color w:val="auto"/>
                      <w:szCs w:val="21"/>
                      <w:highlight w:val="none"/>
                    </w:rPr>
                    <w:t>3、坚决遏制高耗能高排放项目盲目发展。对“两高”项目实行清单管理、分类处置、动态监控。严格把好新建、扩建钢铁、水泥熟料、平板玻璃、电解铝等高耗能高排放项目准入关。支持符合规定特别是生产国内短缺重要产品、有利于碳达峰碳中和目标实现的项目发展。稳妥做好存量“两高”项目管理，合理设置政策过渡期，积极推进有节能减排潜力的项目改造升级。强化常态化监管，坚决停批停建不符合规定的“两高”项目。</w:t>
                  </w:r>
                </w:p>
                <w:p w14:paraId="4B3CBD4F">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5、加强生态环境分区管控。围绕构建“一圈一带两区”区域发展格局，衔接国土空间规划分区和用途管制要求，推进城市化地区高效集聚发展，促进农产品主产区规模化发展，推动重点生态功能区转型发展，形成主体功能明显、优势互补、高质量发展的国土空间开发保护新格局。严格落实“三线一单”生态环境分区管控要求，优化区域生产力布局。健全以环评制度为主体的源头预防体系，严格规划环评审查和项目环评准入。开展重大经济技术政策的生态环境影响分析和重大生态环境政策的社会经济影响评估。</w:t>
                  </w:r>
                </w:p>
              </w:tc>
              <w:tc>
                <w:tcPr>
                  <w:tcW w:w="1985" w:type="dxa"/>
                  <w:vAlign w:val="center"/>
                </w:tcPr>
                <w:p w14:paraId="1EFDDE49">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本项目不属于两高</w:t>
                  </w:r>
                </w:p>
                <w:p w14:paraId="30DB5672">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项目，项目建设符</w:t>
                  </w:r>
                </w:p>
                <w:p w14:paraId="0D22A51B">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合抚顺市东洲区</w:t>
                  </w:r>
                </w:p>
                <w:p w14:paraId="66C95FC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 xml:space="preserve"> “三线一单”要求</w:t>
                  </w:r>
                </w:p>
              </w:tc>
              <w:tc>
                <w:tcPr>
                  <w:tcW w:w="942" w:type="dxa"/>
                  <w:vAlign w:val="center"/>
                </w:tcPr>
                <w:p w14:paraId="2A1E5C78">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符合</w:t>
                  </w:r>
                </w:p>
              </w:tc>
            </w:tr>
            <w:tr w14:paraId="2C859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3687" w:type="dxa"/>
                  <w:vAlign w:val="center"/>
                </w:tcPr>
                <w:p w14:paraId="730FE2A1">
                  <w:pPr>
                    <w:keepNext w:val="0"/>
                    <w:keepLines w:val="0"/>
                    <w:suppressLineNumbers w:val="0"/>
                    <w:spacing w:before="0" w:beforeAutospacing="0" w:after="0" w:afterAutospacing="0"/>
                    <w:ind w:left="0" w:right="0"/>
                    <w:jc w:val="left"/>
                    <w:rPr>
                      <w:rFonts w:hint="eastAsia"/>
                      <w:color w:val="auto"/>
                      <w:szCs w:val="21"/>
                      <w:highlight w:val="none"/>
                    </w:rPr>
                  </w:pPr>
                  <w:r>
                    <w:rPr>
                      <w:rFonts w:hint="eastAsia"/>
                      <w:color w:val="auto"/>
                      <w:szCs w:val="21"/>
                      <w:highlight w:val="none"/>
                    </w:rPr>
                    <w:t>（六）提高生态环境治理现代化水平</w:t>
                  </w:r>
                </w:p>
                <w:p w14:paraId="50DD475E">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4、加大生态环境监管执法力度。完善以排污许可制为核心的固定污染源监管体系，保持严厉打击违法犯罪行为的高压态势。强化企业自律，推动从“要我守法”向“我要守法”转变。综合运用环境信用评价、生态环境损害赔偿等手段实施联合惩戒，研究制定环境处罚、生态环境损害赔偿资金使用管理办法。落实监督执法正面清单制度，实施差异化监管。建立健全以污染源自动监控为主的非现场监管执法体系，强化关键工况参数和用水用电等控制参数自动监测。推进生态环境监管执法信息平台建设。统一全省环境行政处罚自由裁量权。开展执法机构规范化建设，落实执法人员保险等保障措施，实现全省统一证件、车辆（装备）标识、制式服装。落实“双随机、一公开”制度，不断深化练兵比武，规范执法行为。（省生态环境厅、省交通运输厅、省公安厅、省法院、省检察院、辽宁海事局等按职责分工负责）</w:t>
                  </w:r>
                </w:p>
              </w:tc>
              <w:tc>
                <w:tcPr>
                  <w:tcW w:w="1985" w:type="dxa"/>
                  <w:vAlign w:val="center"/>
                </w:tcPr>
                <w:p w14:paraId="288781A9">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本次环评要求企业</w:t>
                  </w:r>
                </w:p>
                <w:p w14:paraId="5288226E">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取得环境影响评价</w:t>
                  </w:r>
                </w:p>
                <w:p w14:paraId="0FF31D4B">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批复后根据行业要</w:t>
                  </w:r>
                </w:p>
                <w:p w14:paraId="03FDABDC">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求开展排污许可填</w:t>
                  </w:r>
                </w:p>
                <w:p w14:paraId="41060464">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报工作。</w:t>
                  </w:r>
                </w:p>
                <w:p w14:paraId="6F184F81">
                  <w:pPr>
                    <w:keepNext w:val="0"/>
                    <w:keepLines w:val="0"/>
                    <w:suppressLineNumbers w:val="0"/>
                    <w:spacing w:before="0" w:beforeAutospacing="0" w:after="0" w:afterAutospacing="0"/>
                    <w:ind w:left="0" w:right="0"/>
                    <w:jc w:val="center"/>
                    <w:rPr>
                      <w:color w:val="auto"/>
                      <w:szCs w:val="21"/>
                      <w:highlight w:val="none"/>
                    </w:rPr>
                  </w:pPr>
                </w:p>
              </w:tc>
              <w:tc>
                <w:tcPr>
                  <w:tcW w:w="942" w:type="dxa"/>
                  <w:vAlign w:val="center"/>
                </w:tcPr>
                <w:p w14:paraId="143A26C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bl>
          <w:p w14:paraId="131F4E3E">
            <w:pPr>
              <w:keepNext w:val="0"/>
              <w:keepLines w:val="0"/>
              <w:numPr>
                <w:ilvl w:val="0"/>
                <w:numId w:val="0"/>
              </w:numPr>
              <w:suppressLineNumbers w:val="0"/>
              <w:spacing w:before="0" w:beforeAutospacing="0" w:after="0" w:afterAutospacing="0" w:line="360" w:lineRule="auto"/>
              <w:ind w:left="0" w:right="0" w:firstLine="480" w:firstLineChars="200"/>
              <w:rPr>
                <w:rFonts w:hint="eastAsia" w:eastAsia="宋体"/>
                <w:color w:val="auto"/>
                <w:sz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（2）</w:t>
            </w:r>
            <w:r>
              <w:rPr>
                <w:rFonts w:hint="eastAsia"/>
                <w:color w:val="auto"/>
                <w:sz w:val="24"/>
                <w:highlight w:val="none"/>
              </w:rPr>
              <w:t>《辽宁省人民政府关于印发&lt;辽宁省空气质量持续改善行动实施方案&gt;的通知》（辽政发〔2024〕11 号）</w:t>
            </w:r>
          </w:p>
          <w:p w14:paraId="54CEB8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4"/>
                <w:highlight w:val="none"/>
              </w:rPr>
            </w:pPr>
            <w:r>
              <w:rPr>
                <w:rFonts w:hint="eastAsia"/>
                <w:color w:val="auto"/>
                <w:sz w:val="24"/>
                <w:highlight w:val="none"/>
              </w:rPr>
              <w:t>表1-</w:t>
            </w:r>
            <w:r>
              <w:rPr>
                <w:rFonts w:hint="eastAsia"/>
                <w:color w:val="auto"/>
                <w:sz w:val="24"/>
                <w:highlight w:val="none"/>
                <w:lang w:val="en-US" w:eastAsia="zh-CN"/>
              </w:rPr>
              <w:t>8</w:t>
            </w:r>
            <w:r>
              <w:rPr>
                <w:rFonts w:hint="eastAsia"/>
                <w:color w:val="auto"/>
                <w:sz w:val="24"/>
                <w:highlight w:val="none"/>
              </w:rPr>
              <w:t xml:space="preserve">  与</w:t>
            </w:r>
            <w:r>
              <w:rPr>
                <w:rFonts w:hint="eastAsia"/>
                <w:color w:val="auto"/>
                <w:sz w:val="24"/>
                <w:highlight w:val="none"/>
                <w:lang w:eastAsia="zh-CN"/>
              </w:rPr>
              <w:t>“</w:t>
            </w:r>
            <w:r>
              <w:rPr>
                <w:rFonts w:hint="eastAsia"/>
                <w:color w:val="auto"/>
                <w:sz w:val="24"/>
                <w:highlight w:val="none"/>
                <w:lang w:val="en-US" w:eastAsia="zh-CN"/>
              </w:rPr>
              <w:t>实施方案</w:t>
            </w:r>
            <w:r>
              <w:rPr>
                <w:rFonts w:hint="eastAsia"/>
                <w:color w:val="auto"/>
                <w:sz w:val="24"/>
                <w:highlight w:val="none"/>
                <w:lang w:eastAsia="zh-CN"/>
              </w:rPr>
              <w:t>”</w:t>
            </w:r>
            <w:r>
              <w:rPr>
                <w:rFonts w:hint="eastAsia"/>
                <w:color w:val="auto"/>
                <w:sz w:val="24"/>
                <w:highlight w:val="none"/>
              </w:rPr>
              <w:t>符合性分析</w:t>
            </w:r>
          </w:p>
          <w:tbl>
            <w:tblPr>
              <w:tblStyle w:val="2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680"/>
              <w:gridCol w:w="1964"/>
              <w:gridCol w:w="966"/>
            </w:tblGrid>
            <w:tr w14:paraId="41579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683" w:type="dxa"/>
                  <w:vAlign w:val="center"/>
                </w:tcPr>
                <w:p w14:paraId="1C711BCF">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标准要求</w:t>
                  </w:r>
                </w:p>
              </w:tc>
              <w:tc>
                <w:tcPr>
                  <w:tcW w:w="1965" w:type="dxa"/>
                  <w:vAlign w:val="center"/>
                </w:tcPr>
                <w:p w14:paraId="645FAF7F">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本项目</w:t>
                  </w:r>
                </w:p>
              </w:tc>
              <w:tc>
                <w:tcPr>
                  <w:tcW w:w="966" w:type="dxa"/>
                  <w:vAlign w:val="center"/>
                </w:tcPr>
                <w:p w14:paraId="5901922F">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符合性</w:t>
                  </w:r>
                </w:p>
              </w:tc>
            </w:tr>
            <w:tr w14:paraId="48C6FC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683" w:type="dxa"/>
                  <w:vAlign w:val="center"/>
                </w:tcPr>
                <w:p w14:paraId="1FCBA126">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（四）大力发展新能源和清洁能源。原则上不再新增自备燃煤机组，支持自备燃煤机组实施清洁能源替代。到2025 年，非化石能源消费比重达到13.7%左右，电能占终端能源消费比重达到15%左右。实施工业炉窑清洁能源替代，有序推进以电代煤，积极稳妥推进以气代煤。</w:t>
                  </w:r>
                </w:p>
              </w:tc>
              <w:tc>
                <w:tcPr>
                  <w:tcW w:w="1965" w:type="dxa"/>
                  <w:vAlign w:val="center"/>
                </w:tcPr>
                <w:p w14:paraId="0C9EEE34">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本项目</w:t>
                  </w:r>
                  <w:r>
                    <w:rPr>
                      <w:rFonts w:hint="eastAsia"/>
                      <w:color w:val="auto"/>
                      <w:szCs w:val="21"/>
                      <w:highlight w:val="none"/>
                      <w:lang w:val="en-US" w:eastAsia="zh-CN"/>
                    </w:rPr>
                    <w:t>蒸汽依托抚顺石化热电，符合要求</w:t>
                  </w:r>
                </w:p>
              </w:tc>
              <w:tc>
                <w:tcPr>
                  <w:tcW w:w="966" w:type="dxa"/>
                  <w:vAlign w:val="center"/>
                </w:tcPr>
                <w:p w14:paraId="70511752">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70FEE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683" w:type="dxa"/>
                  <w:vAlign w:val="center"/>
                </w:tcPr>
                <w:p w14:paraId="1E46CBEE">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（七）持续优化调整货物运输结构。推动公铁、铁水等多式联运，推进大宗货物“散改集”。到2025 年，集装箱海铁联运量占港口集装箱吞吐量比重保持在10%以上，沿海主</w:t>
                  </w:r>
                </w:p>
                <w:p w14:paraId="03ADCD61">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要港口利用集疏港铁路、水路、封闭式皮带廊道、新能源车船等运输大宗货物比例力争达到80%；铁路货运量比2020 年增长10%左右，铁路货运量占比达到15%左右；沿海港口重要港区铁路进港率达到70%以上。</w:t>
                  </w:r>
                </w:p>
              </w:tc>
              <w:tc>
                <w:tcPr>
                  <w:tcW w:w="1965" w:type="dxa"/>
                  <w:vAlign w:val="center"/>
                </w:tcPr>
                <w:p w14:paraId="795BA7B7">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本项目原辅料、产品运输采用公路运输，昼间运输，可有效降低对周围环境的影响。</w:t>
                  </w:r>
                </w:p>
                <w:p w14:paraId="6BE8EFC5">
                  <w:pPr>
                    <w:keepNext w:val="0"/>
                    <w:keepLines w:val="0"/>
                    <w:suppressLineNumbers w:val="0"/>
                    <w:spacing w:before="0" w:beforeAutospacing="0" w:after="0" w:afterAutospacing="0"/>
                    <w:ind w:left="0" w:right="0"/>
                    <w:rPr>
                      <w:color w:val="auto"/>
                      <w:szCs w:val="21"/>
                      <w:highlight w:val="none"/>
                    </w:rPr>
                  </w:pPr>
                </w:p>
              </w:tc>
              <w:tc>
                <w:tcPr>
                  <w:tcW w:w="966" w:type="dxa"/>
                  <w:vAlign w:val="center"/>
                </w:tcPr>
                <w:p w14:paraId="7D934B78">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符合</w:t>
                  </w:r>
                </w:p>
              </w:tc>
            </w:tr>
            <w:tr w14:paraId="26D5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3683" w:type="dxa"/>
                  <w:vAlign w:val="center"/>
                </w:tcPr>
                <w:p w14:paraId="1BC944E2">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（十一）加强工地和道路扬尘污染治理。持续强化施工场地、工业企业堆场料场和城市道路、裸地扬尘污染治理。将扬尘污染防治费用纳入工程造价。持续推进装配式建筑发展，到2025 年，装配式建筑占新建建筑面积比例达到30%。地级及以上城市建成区道路机械化清扫率达到80%左右，县城达到70%左右。</w:t>
                  </w:r>
                </w:p>
              </w:tc>
              <w:tc>
                <w:tcPr>
                  <w:tcW w:w="1965" w:type="dxa"/>
                  <w:vAlign w:val="center"/>
                </w:tcPr>
                <w:p w14:paraId="23FD8DF9">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项目施工期主要是设备安装，主要是噪声影响，采用相应降噪措施后对环境影响较小。</w:t>
                  </w:r>
                </w:p>
              </w:tc>
              <w:tc>
                <w:tcPr>
                  <w:tcW w:w="966" w:type="dxa"/>
                  <w:vAlign w:val="center"/>
                </w:tcPr>
                <w:p w14:paraId="6D8397CD">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符合</w:t>
                  </w:r>
                </w:p>
              </w:tc>
            </w:tr>
          </w:tbl>
          <w:p w14:paraId="0CA36C9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highlight w:val="none"/>
                <w:lang w:eastAsia="zh-CN"/>
              </w:rPr>
            </w:pPr>
            <w:r>
              <w:rPr>
                <w:rFonts w:hint="eastAsia"/>
                <w:color w:val="auto"/>
                <w:sz w:val="24"/>
                <w:highlight w:val="none"/>
                <w:lang w:eastAsia="zh-CN"/>
              </w:rPr>
              <w:t>（</w:t>
            </w:r>
            <w:r>
              <w:rPr>
                <w:rFonts w:hint="eastAsia"/>
                <w:color w:val="auto"/>
                <w:sz w:val="24"/>
                <w:highlight w:val="none"/>
                <w:lang w:val="en-US" w:eastAsia="zh-CN"/>
              </w:rPr>
              <w:t>3</w:t>
            </w:r>
            <w:r>
              <w:rPr>
                <w:rFonts w:hint="eastAsia"/>
                <w:color w:val="auto"/>
                <w:sz w:val="24"/>
                <w:highlight w:val="none"/>
                <w:lang w:eastAsia="zh-CN"/>
              </w:rPr>
              <w:t>）《抚顺市深入打好污染防治攻坚战实施方案》（抚委发[2023]1 号）</w:t>
            </w:r>
          </w:p>
          <w:p w14:paraId="50B4C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4"/>
                <w:highlight w:val="none"/>
              </w:rPr>
            </w:pPr>
            <w:r>
              <w:rPr>
                <w:rFonts w:hint="eastAsia"/>
                <w:color w:val="auto"/>
                <w:sz w:val="24"/>
                <w:highlight w:val="none"/>
              </w:rPr>
              <w:t>表1-</w:t>
            </w:r>
            <w:r>
              <w:rPr>
                <w:rFonts w:hint="eastAsia"/>
                <w:color w:val="auto"/>
                <w:sz w:val="24"/>
                <w:highlight w:val="none"/>
                <w:lang w:val="en-US" w:eastAsia="zh-CN"/>
              </w:rPr>
              <w:t xml:space="preserve">9  </w:t>
            </w:r>
            <w:r>
              <w:rPr>
                <w:rFonts w:hint="eastAsia"/>
                <w:color w:val="auto"/>
                <w:sz w:val="24"/>
                <w:highlight w:val="none"/>
              </w:rPr>
              <w:t>与“实施方案”的符合性分析</w:t>
            </w:r>
          </w:p>
          <w:tbl>
            <w:tblPr>
              <w:tblStyle w:val="28"/>
              <w:tblW w:w="4995"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3694"/>
              <w:gridCol w:w="1977"/>
              <w:gridCol w:w="932"/>
            </w:tblGrid>
            <w:tr w14:paraId="4B501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97" w:type="pct"/>
                  <w:vAlign w:val="center"/>
                </w:tcPr>
                <w:p w14:paraId="2BDACB6E">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文件要求</w:t>
                  </w:r>
                </w:p>
              </w:tc>
              <w:tc>
                <w:tcPr>
                  <w:tcW w:w="1497" w:type="pct"/>
                  <w:vAlign w:val="center"/>
                </w:tcPr>
                <w:p w14:paraId="5A3163FD">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本项目</w:t>
                  </w:r>
                </w:p>
              </w:tc>
              <w:tc>
                <w:tcPr>
                  <w:tcW w:w="705" w:type="pct"/>
                  <w:vAlign w:val="center"/>
                </w:tcPr>
                <w:p w14:paraId="70FD991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符合性</w:t>
                  </w:r>
                </w:p>
              </w:tc>
            </w:tr>
            <w:tr w14:paraId="7F9AA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97" w:type="pct"/>
                  <w:vAlign w:val="center"/>
                </w:tcPr>
                <w:p w14:paraId="5CD33535">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坚决遏制高耗能高排放项目盲目发展。严格把好新建、扩建钢铁、水泥熟料、平板玻璃、电解铝等高耗能高排放项目准入关。加强节能监察力度。支持符合规定特别是生产国内短缺重要产品、有利于碳达峰碳中和目标实现的项目发展。稳妥做好存量“两高”项目管理，合理设置政策过渡期，积极推进有节能减排潜力的项目改造升级。强化常态化监管，坚决停批停建不符合规定的“两高”项目。</w:t>
                  </w:r>
                </w:p>
              </w:tc>
              <w:tc>
                <w:tcPr>
                  <w:tcW w:w="1497" w:type="pct"/>
                  <w:vAlign w:val="center"/>
                </w:tcPr>
                <w:p w14:paraId="7E34CA99">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本项目不属于新建、扩建钢铁、水</w:t>
                  </w:r>
                </w:p>
                <w:p w14:paraId="75D0F9D1">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泥熟料、平板玻璃、</w:t>
                  </w:r>
                </w:p>
                <w:p w14:paraId="6E0A7026">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电解铝高耗能高排</w:t>
                  </w:r>
                </w:p>
                <w:p w14:paraId="350723C2">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放项目。</w:t>
                  </w:r>
                </w:p>
                <w:p w14:paraId="712D70A9">
                  <w:pPr>
                    <w:keepNext w:val="0"/>
                    <w:keepLines w:val="0"/>
                    <w:suppressLineNumbers w:val="0"/>
                    <w:spacing w:before="0" w:beforeAutospacing="0" w:after="0" w:afterAutospacing="0"/>
                    <w:ind w:left="0" w:right="0"/>
                    <w:rPr>
                      <w:color w:val="auto"/>
                      <w:szCs w:val="21"/>
                      <w:highlight w:val="none"/>
                    </w:rPr>
                  </w:pPr>
                </w:p>
              </w:tc>
              <w:tc>
                <w:tcPr>
                  <w:tcW w:w="705" w:type="pct"/>
                  <w:vAlign w:val="center"/>
                </w:tcPr>
                <w:p w14:paraId="5966975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符合</w:t>
                  </w:r>
                </w:p>
              </w:tc>
            </w:tr>
            <w:tr w14:paraId="6F0CE2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97" w:type="pct"/>
                  <w:vAlign w:val="center"/>
                </w:tcPr>
                <w:p w14:paraId="60C4490F">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加强生态环境分区管控。围绕构建“一圈一带两区”区域发展格局，衔接国土空间规划分区和用途管制要求，推进城市化地区高效集聚发展，促进农产品主产区规模化发展，推动重点生态功能区转型发展，形成主体功能明显、优势互补、高质量发展的国土空间开发保护新格局。加强生态环境分区管控。严格落实“三线一单”生态环境分区管控要求，</w:t>
                  </w:r>
                </w:p>
                <w:p w14:paraId="080C8254">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优化区域生产力布局，开展常态化“三线一单”业务查询服务。严格规划环评审查和项目环评准入。</w:t>
                  </w:r>
                </w:p>
              </w:tc>
              <w:tc>
                <w:tcPr>
                  <w:tcW w:w="1497" w:type="pct"/>
                  <w:vAlign w:val="center"/>
                </w:tcPr>
                <w:p w14:paraId="4A1CA994">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本项目符合抚顺市</w:t>
                  </w:r>
                </w:p>
                <w:p w14:paraId="405AD63C">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 xml:space="preserve"> “三线一单”要求。</w:t>
                  </w:r>
                </w:p>
              </w:tc>
              <w:tc>
                <w:tcPr>
                  <w:tcW w:w="705" w:type="pct"/>
                  <w:vAlign w:val="center"/>
                </w:tcPr>
                <w:p w14:paraId="12A3C14B">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符合</w:t>
                  </w:r>
                </w:p>
              </w:tc>
            </w:tr>
            <w:tr w14:paraId="19793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97" w:type="pct"/>
                  <w:vAlign w:val="center"/>
                </w:tcPr>
                <w:p w14:paraId="7BE51CC4">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实施挥发性有机物污染治理达标行动。以石化、化工、涂装、油品储运销等行业领域为重点，强化VOCs 全流程、全环节综合治理。清单化推进VOCs 排放重点企业综合整治，从源头减少VOCs 排放。</w:t>
                  </w:r>
                </w:p>
              </w:tc>
              <w:tc>
                <w:tcPr>
                  <w:tcW w:w="1497" w:type="pct"/>
                  <w:vAlign w:val="center"/>
                </w:tcPr>
                <w:p w14:paraId="267170AB">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本项目建成后废气产生量极小，严格按照《挥发性有机物无组织排放控制标准》（GB37822-2019）要求采取抑制VOCs产生措施，废气可达标排放，周围环境空气不受影响</w:t>
                  </w:r>
                </w:p>
              </w:tc>
              <w:tc>
                <w:tcPr>
                  <w:tcW w:w="705" w:type="pct"/>
                  <w:vAlign w:val="center"/>
                </w:tcPr>
                <w:p w14:paraId="0A6684E2">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符合</w:t>
                  </w:r>
                </w:p>
              </w:tc>
            </w:tr>
            <w:tr w14:paraId="3F06C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97" w:type="pct"/>
                  <w:vAlign w:val="center"/>
                </w:tcPr>
                <w:p w14:paraId="1864B0A8">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实施噪声污染防治行动。加快解决群众关心的突出噪声问题，推进声环境质量标准适用区划工作，完善噪声污染管控机制，提升噪声污染监管能力，到2025 年，实现功能区声环境质量自动监测。</w:t>
                  </w:r>
                </w:p>
              </w:tc>
              <w:tc>
                <w:tcPr>
                  <w:tcW w:w="1497" w:type="pct"/>
                  <w:vAlign w:val="center"/>
                </w:tcPr>
                <w:p w14:paraId="4462B6A2">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本项目采用低噪声</w:t>
                  </w:r>
                </w:p>
                <w:p w14:paraId="33781313">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设备，采取基础减</w:t>
                  </w:r>
                </w:p>
                <w:p w14:paraId="48EB6176">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振等措施。</w:t>
                  </w:r>
                </w:p>
              </w:tc>
              <w:tc>
                <w:tcPr>
                  <w:tcW w:w="705" w:type="pct"/>
                  <w:vAlign w:val="center"/>
                </w:tcPr>
                <w:p w14:paraId="736883DF">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符合</w:t>
                  </w:r>
                </w:p>
              </w:tc>
            </w:tr>
            <w:tr w14:paraId="1AEF64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97" w:type="pct"/>
                  <w:vAlign w:val="center"/>
                </w:tcPr>
                <w:p w14:paraId="7C6DB4C3">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深入开展地下水污染协同防治。强化地表水与地下水污染、土壤与地下水污染、区域与场地地下水污染协同防治。划定地下水污染防治重点区，强化污染风险管控。以省级化工园区、垃圾填埋场、危险废物处置场为重点，持续开展地下水环境状况调查评估。按照省级有关部门部署，分级分类开展地下水环境监测评价。</w:t>
                  </w:r>
                </w:p>
              </w:tc>
              <w:tc>
                <w:tcPr>
                  <w:tcW w:w="1497" w:type="pct"/>
                  <w:vAlign w:val="center"/>
                </w:tcPr>
                <w:p w14:paraId="138C8B4D">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本项目按照相关要</w:t>
                  </w:r>
                </w:p>
                <w:p w14:paraId="38213D7E">
                  <w:pPr>
                    <w:keepNext w:val="0"/>
                    <w:keepLines w:val="0"/>
                    <w:suppressLineNumbers w:val="0"/>
                    <w:spacing w:before="0" w:beforeAutospacing="0" w:after="0" w:afterAutospacing="0"/>
                    <w:ind w:left="0" w:right="0"/>
                    <w:rPr>
                      <w:rFonts w:hint="eastAsia"/>
                      <w:color w:val="auto"/>
                      <w:szCs w:val="21"/>
                      <w:highlight w:val="none"/>
                    </w:rPr>
                  </w:pPr>
                  <w:r>
                    <w:rPr>
                      <w:rFonts w:hint="eastAsia"/>
                      <w:color w:val="auto"/>
                      <w:szCs w:val="21"/>
                      <w:highlight w:val="none"/>
                    </w:rPr>
                    <w:t>求，完善环境管理体系以及相关环境</w:t>
                  </w:r>
                </w:p>
                <w:p w14:paraId="04E8D4C8">
                  <w:pPr>
                    <w:keepNext w:val="0"/>
                    <w:keepLines w:val="0"/>
                    <w:suppressLineNumbers w:val="0"/>
                    <w:spacing w:before="0" w:beforeAutospacing="0" w:after="0" w:afterAutospacing="0"/>
                    <w:ind w:left="0" w:right="0"/>
                    <w:rPr>
                      <w:color w:val="auto"/>
                      <w:szCs w:val="21"/>
                      <w:highlight w:val="none"/>
                    </w:rPr>
                  </w:pPr>
                  <w:r>
                    <w:rPr>
                      <w:rFonts w:hint="eastAsia"/>
                      <w:color w:val="auto"/>
                      <w:szCs w:val="21"/>
                      <w:highlight w:val="none"/>
                    </w:rPr>
                    <w:t>监测计划。</w:t>
                  </w:r>
                </w:p>
              </w:tc>
              <w:tc>
                <w:tcPr>
                  <w:tcW w:w="705" w:type="pct"/>
                  <w:vAlign w:val="center"/>
                </w:tcPr>
                <w:p w14:paraId="2514A5E7">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符合</w:t>
                  </w:r>
                </w:p>
              </w:tc>
            </w:tr>
          </w:tbl>
          <w:p w14:paraId="4764EA37">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4</w:t>
            </w:r>
            <w:r>
              <w:rPr>
                <w:rFonts w:hint="eastAsia" w:ascii="Times New Roman" w:hAnsi="Times New Roman" w:eastAsia="宋体" w:cs="Times New Roman"/>
                <w:color w:val="auto"/>
                <w:sz w:val="24"/>
                <w:highlight w:val="none"/>
                <w:lang w:eastAsia="zh-CN"/>
              </w:rPr>
              <w:t>）《加快解决当前挥发性有机物治理突出问题的通知》（环大气[2021]65号）</w:t>
            </w:r>
          </w:p>
          <w:p w14:paraId="057A2DE7">
            <w:pPr>
              <w:pStyle w:val="83"/>
              <w:keepNext w:val="0"/>
              <w:keepLines w:val="0"/>
              <w:suppressLineNumbers w:val="0"/>
              <w:adjustRightInd w:val="0"/>
              <w:snapToGrid w:val="0"/>
              <w:spacing w:before="0" w:beforeAutospacing="0" w:after="0" w:afterAutospacing="0"/>
              <w:ind w:left="0" w:right="0"/>
              <w:rPr>
                <w:rFonts w:ascii="Times New Roman" w:hAnsi="Times New Roman" w:eastAsiaTheme="minorEastAsia"/>
                <w:color w:val="auto"/>
                <w:highlight w:val="none"/>
              </w:rPr>
            </w:pPr>
            <w:r>
              <w:rPr>
                <w:rFonts w:ascii="Times New Roman" w:hAnsi="Times New Roman" w:eastAsiaTheme="minorEastAsia"/>
                <w:color w:val="auto"/>
                <w:highlight w:val="none"/>
              </w:rPr>
              <w:t>本项目与《加快解决当前挥发性有机物治理突出问题的通知》（环大气[2021]65号）相符性分析见下表。</w:t>
            </w:r>
          </w:p>
          <w:p w14:paraId="3B3FB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表1-</w:t>
            </w:r>
            <w:r>
              <w:rPr>
                <w:rFonts w:hint="eastAsia" w:cs="Times New Roman"/>
                <w:color w:val="auto"/>
                <w:sz w:val="24"/>
                <w:highlight w:val="none"/>
                <w:lang w:val="en-US" w:eastAsia="zh-CN"/>
              </w:rPr>
              <w:t xml:space="preserve">10 </w:t>
            </w:r>
            <w:r>
              <w:rPr>
                <w:rFonts w:hint="eastAsia" w:ascii="Times New Roman" w:hAnsi="Times New Roman" w:eastAsia="宋体" w:cs="Times New Roman"/>
                <w:color w:val="auto"/>
                <w:sz w:val="24"/>
                <w:highlight w:val="none"/>
              </w:rPr>
              <w:t xml:space="preserve"> 与</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通知</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rPr>
              <w:t>相符性分析</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9"/>
              <w:gridCol w:w="2782"/>
              <w:gridCol w:w="913"/>
            </w:tblGrid>
            <w:tr w14:paraId="4426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06" w:type="pct"/>
                  <w:tcBorders>
                    <w:tl2br w:val="nil"/>
                    <w:tr2bl w:val="nil"/>
                  </w:tcBorders>
                  <w:vAlign w:val="center"/>
                </w:tcPr>
                <w:p w14:paraId="1727B775">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文件要求</w:t>
                  </w:r>
                </w:p>
              </w:tc>
              <w:tc>
                <w:tcPr>
                  <w:tcW w:w="2102" w:type="pct"/>
                  <w:tcBorders>
                    <w:tl2br w:val="nil"/>
                    <w:tr2bl w:val="nil"/>
                  </w:tcBorders>
                  <w:vAlign w:val="center"/>
                </w:tcPr>
                <w:p w14:paraId="69B5C30A">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项目情况</w:t>
                  </w:r>
                </w:p>
              </w:tc>
              <w:tc>
                <w:tcPr>
                  <w:tcW w:w="690" w:type="pct"/>
                  <w:tcBorders>
                    <w:tl2br w:val="nil"/>
                    <w:tr2bl w:val="nil"/>
                  </w:tcBorders>
                  <w:vAlign w:val="center"/>
                </w:tcPr>
                <w:p w14:paraId="7D085808">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符合性</w:t>
                  </w:r>
                </w:p>
              </w:tc>
            </w:tr>
            <w:tr w14:paraId="0BED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06" w:type="pct"/>
                  <w:tcBorders>
                    <w:tl2br w:val="nil"/>
                    <w:tr2bl w:val="nil"/>
                  </w:tcBorders>
                  <w:vAlign w:val="center"/>
                </w:tcPr>
                <w:p w14:paraId="058D574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各地要以石油炼制、石油化工、合成树脂等石化行业，有机化工、煤化工、焦化（含兰炭）、制药、农药、涂料、油墨、胶粘剂等化工行业，涉及工业涂装的汽车、家具、零部件、钢结构、彩涂板等行业，包装印刷行业以及油品储运销为重点，并结合本地特色产业，组织企业针对挥发性有机液体储罐、装卸、敞开液面、泄漏检测与修复（LDAR）、废气收集、废气旁路、治理设施、加油站、非正常工况、产品VOCs含量等10个关键环节，认真对照大气污染防治法、排污许可证、相关排放标准和产品VOCs含量限值标准等开展排查整治。</w:t>
                  </w:r>
                </w:p>
              </w:tc>
              <w:tc>
                <w:tcPr>
                  <w:tcW w:w="2102" w:type="pct"/>
                  <w:tcBorders>
                    <w:tl2br w:val="nil"/>
                    <w:tr2bl w:val="nil"/>
                  </w:tcBorders>
                  <w:vAlign w:val="center"/>
                </w:tcPr>
                <w:p w14:paraId="41C11348">
                  <w:pPr>
                    <w:keepNext w:val="0"/>
                    <w:keepLines w:val="0"/>
                    <w:suppressLineNumbers w:val="0"/>
                    <w:spacing w:before="0" w:beforeAutospacing="0" w:after="0" w:afterAutospacing="0"/>
                    <w:ind w:left="0" w:right="0"/>
                    <w:rPr>
                      <w:rFonts w:hint="eastAsia"/>
                      <w:snapToGrid w:val="0"/>
                      <w:color w:val="auto"/>
                      <w:szCs w:val="21"/>
                      <w:highlight w:val="none"/>
                      <w:lang w:eastAsia="zh-CN"/>
                    </w:rPr>
                  </w:pPr>
                  <w:r>
                    <w:rPr>
                      <w:color w:val="auto"/>
                      <w:szCs w:val="21"/>
                      <w:highlight w:val="none"/>
                    </w:rPr>
                    <w:t>本项目</w:t>
                  </w:r>
                  <w:r>
                    <w:rPr>
                      <w:rFonts w:hint="eastAsia"/>
                      <w:color w:val="auto"/>
                      <w:szCs w:val="21"/>
                      <w:highlight w:val="none"/>
                    </w:rPr>
                    <w:t>属于C2511原油加工及石油制品制造</w:t>
                  </w:r>
                  <w:r>
                    <w:rPr>
                      <w:rFonts w:hint="eastAsia"/>
                      <w:snapToGrid w:val="0"/>
                      <w:color w:val="auto"/>
                      <w:szCs w:val="21"/>
                      <w:highlight w:val="none"/>
                    </w:rPr>
                    <w:t>，本项目</w:t>
                  </w:r>
                  <w:r>
                    <w:rPr>
                      <w:rFonts w:hint="eastAsia"/>
                      <w:snapToGrid w:val="0"/>
                      <w:color w:val="auto"/>
                      <w:szCs w:val="21"/>
                      <w:highlight w:val="none"/>
                      <w:lang w:val="en-US" w:eastAsia="zh-CN"/>
                    </w:rPr>
                    <w:t>微晶蜡</w:t>
                  </w:r>
                  <w:r>
                    <w:rPr>
                      <w:rFonts w:hint="eastAsia"/>
                      <w:snapToGrid w:val="0"/>
                      <w:color w:val="auto"/>
                      <w:szCs w:val="21"/>
                      <w:highlight w:val="none"/>
                    </w:rPr>
                    <w:t>液体储罐采用密闭措施</w:t>
                  </w:r>
                  <w:r>
                    <w:rPr>
                      <w:rFonts w:hint="eastAsia"/>
                      <w:snapToGrid w:val="0"/>
                      <w:color w:val="auto"/>
                      <w:szCs w:val="21"/>
                      <w:highlight w:val="none"/>
                      <w:lang w:eastAsia="zh-CN"/>
                    </w:rPr>
                    <w:t>；</w:t>
                  </w:r>
                </w:p>
                <w:p w14:paraId="2B6D9718">
                  <w:pPr>
                    <w:keepNext w:val="0"/>
                    <w:keepLines w:val="0"/>
                    <w:suppressLineNumbers w:val="0"/>
                    <w:spacing w:before="0" w:beforeAutospacing="0" w:after="0" w:afterAutospacing="0"/>
                    <w:ind w:left="0" w:right="0"/>
                    <w:rPr>
                      <w:color w:val="auto"/>
                      <w:szCs w:val="21"/>
                      <w:highlight w:val="none"/>
                    </w:rPr>
                  </w:pPr>
                  <w:r>
                    <w:rPr>
                      <w:rFonts w:hint="eastAsia"/>
                      <w:snapToGrid w:val="0"/>
                      <w:color w:val="auto"/>
                      <w:szCs w:val="21"/>
                      <w:highlight w:val="none"/>
                      <w:lang w:eastAsia="zh-CN"/>
                    </w:rPr>
                    <w:t>本项目建成后废气产生量极小，严格按照《挥发性有机物无组织排放控制标准》（GB37822-2019）要求采取抑制VOCs产生措施，废气可达标排放，周围环境空气不受影响。</w:t>
                  </w:r>
                </w:p>
              </w:tc>
              <w:tc>
                <w:tcPr>
                  <w:tcW w:w="690" w:type="pct"/>
                  <w:tcBorders>
                    <w:tl2br w:val="nil"/>
                    <w:tr2bl w:val="nil"/>
                  </w:tcBorders>
                  <w:vAlign w:val="center"/>
                </w:tcPr>
                <w:p w14:paraId="264A5008">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符合</w:t>
                  </w:r>
                </w:p>
              </w:tc>
            </w:tr>
            <w:tr w14:paraId="3C7B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06" w:type="pct"/>
                  <w:tcBorders>
                    <w:tl2br w:val="nil"/>
                    <w:tr2bl w:val="nil"/>
                  </w:tcBorders>
                  <w:vAlign w:val="center"/>
                </w:tcPr>
                <w:p w14:paraId="2132AB8C">
                  <w:pPr>
                    <w:keepNext w:val="0"/>
                    <w:keepLines w:val="0"/>
                    <w:widowControl/>
                    <w:suppressLineNumbers w:val="0"/>
                    <w:spacing w:before="0" w:beforeAutospacing="0" w:after="0" w:afterAutospacing="0"/>
                    <w:ind w:left="0" w:right="0"/>
                    <w:jc w:val="left"/>
                    <w:rPr>
                      <w:color w:val="auto"/>
                      <w:szCs w:val="21"/>
                      <w:highlight w:val="none"/>
                    </w:rPr>
                  </w:pPr>
                  <w:r>
                    <w:rPr>
                      <w:color w:val="auto"/>
                      <w:kern w:val="0"/>
                      <w:szCs w:val="21"/>
                      <w:highlight w:val="none"/>
                      <w:lang w:bidi="ar"/>
                    </w:rPr>
                    <w:t>加强对企业自行监测的监督管理，提高企业自行监测数据质量。</w:t>
                  </w:r>
                </w:p>
              </w:tc>
              <w:tc>
                <w:tcPr>
                  <w:tcW w:w="2102" w:type="pct"/>
                  <w:tcBorders>
                    <w:tl2br w:val="nil"/>
                    <w:tr2bl w:val="nil"/>
                  </w:tcBorders>
                  <w:vAlign w:val="center"/>
                </w:tcPr>
                <w:p w14:paraId="2FEBCE16">
                  <w:pPr>
                    <w:keepNext w:val="0"/>
                    <w:keepLines w:val="0"/>
                    <w:widowControl/>
                    <w:suppressLineNumbers w:val="0"/>
                    <w:spacing w:before="0" w:beforeAutospacing="0" w:after="0" w:afterAutospacing="0"/>
                    <w:ind w:left="0" w:right="0"/>
                    <w:jc w:val="left"/>
                    <w:rPr>
                      <w:color w:val="auto"/>
                      <w:szCs w:val="21"/>
                      <w:highlight w:val="none"/>
                    </w:rPr>
                  </w:pPr>
                  <w:r>
                    <w:rPr>
                      <w:color w:val="auto"/>
                      <w:kern w:val="0"/>
                      <w:szCs w:val="21"/>
                      <w:highlight w:val="none"/>
                      <w:lang w:bidi="ar"/>
                    </w:rPr>
                    <w:t>本项目制定监测计划，建设单位按计划对废气、废水、噪声等进行监测。</w:t>
                  </w:r>
                </w:p>
              </w:tc>
              <w:tc>
                <w:tcPr>
                  <w:tcW w:w="690" w:type="pct"/>
                  <w:tcBorders>
                    <w:tl2br w:val="nil"/>
                    <w:tr2bl w:val="nil"/>
                  </w:tcBorders>
                  <w:vAlign w:val="center"/>
                </w:tcPr>
                <w:p w14:paraId="044DECA0">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符合</w:t>
                  </w:r>
                </w:p>
              </w:tc>
            </w:tr>
            <w:tr w14:paraId="752D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06" w:type="pct"/>
                  <w:tcBorders>
                    <w:tl2br w:val="nil"/>
                    <w:tr2bl w:val="nil"/>
                  </w:tcBorders>
                  <w:vAlign w:val="center"/>
                </w:tcPr>
                <w:p w14:paraId="6510904E">
                  <w:pPr>
                    <w:keepNext w:val="0"/>
                    <w:keepLines w:val="0"/>
                    <w:widowControl/>
                    <w:suppressLineNumbers w:val="0"/>
                    <w:spacing w:before="0" w:beforeAutospacing="0" w:after="0" w:afterAutospacing="0"/>
                    <w:ind w:left="0" w:right="0"/>
                    <w:jc w:val="left"/>
                    <w:rPr>
                      <w:color w:val="auto"/>
                      <w:szCs w:val="21"/>
                      <w:highlight w:val="none"/>
                    </w:rPr>
                  </w:pPr>
                  <w:r>
                    <w:rPr>
                      <w:color w:val="auto"/>
                      <w:kern w:val="0"/>
                      <w:szCs w:val="21"/>
                      <w:highlight w:val="none"/>
                      <w:lang w:bidi="ar"/>
                    </w:rPr>
                    <w:t>积极协调、配合相关部门，加强国家和地方涂料、油墨、胶粘剂、清洗剂等产品VOCs含量限值标准执行情况的监督检查。</w:t>
                  </w:r>
                </w:p>
              </w:tc>
              <w:tc>
                <w:tcPr>
                  <w:tcW w:w="2102" w:type="pct"/>
                  <w:tcBorders>
                    <w:tl2br w:val="nil"/>
                    <w:tr2bl w:val="nil"/>
                  </w:tcBorders>
                  <w:vAlign w:val="center"/>
                </w:tcPr>
                <w:p w14:paraId="477CF599">
                  <w:pPr>
                    <w:keepNext w:val="0"/>
                    <w:keepLines w:val="0"/>
                    <w:widowControl/>
                    <w:suppressLineNumbers w:val="0"/>
                    <w:spacing w:before="0" w:beforeAutospacing="0" w:after="0" w:afterAutospacing="0"/>
                    <w:ind w:left="0" w:right="0"/>
                    <w:jc w:val="left"/>
                    <w:rPr>
                      <w:color w:val="auto"/>
                      <w:szCs w:val="21"/>
                      <w:highlight w:val="none"/>
                    </w:rPr>
                  </w:pPr>
                  <w:r>
                    <w:rPr>
                      <w:color w:val="auto"/>
                      <w:kern w:val="0"/>
                      <w:szCs w:val="21"/>
                      <w:highlight w:val="none"/>
                      <w:lang w:bidi="ar"/>
                    </w:rPr>
                    <w:t>本项目无涂料、油墨、胶粘剂等</w:t>
                  </w:r>
                  <w:r>
                    <w:rPr>
                      <w:rFonts w:hint="eastAsia"/>
                      <w:color w:val="auto"/>
                      <w:kern w:val="0"/>
                      <w:szCs w:val="21"/>
                      <w:highlight w:val="none"/>
                      <w:lang w:bidi="ar"/>
                    </w:rPr>
                    <w:t>VOCs含量限制超标的</w:t>
                  </w:r>
                  <w:r>
                    <w:rPr>
                      <w:color w:val="auto"/>
                      <w:kern w:val="0"/>
                      <w:szCs w:val="21"/>
                      <w:highlight w:val="none"/>
                      <w:lang w:bidi="ar"/>
                    </w:rPr>
                    <w:t>产品。</w:t>
                  </w:r>
                </w:p>
              </w:tc>
              <w:tc>
                <w:tcPr>
                  <w:tcW w:w="690" w:type="pct"/>
                  <w:tcBorders>
                    <w:tl2br w:val="nil"/>
                    <w:tr2bl w:val="nil"/>
                  </w:tcBorders>
                  <w:vAlign w:val="center"/>
                </w:tcPr>
                <w:p w14:paraId="1FE6D2B0">
                  <w:pPr>
                    <w:keepNext w:val="0"/>
                    <w:keepLines w:val="0"/>
                    <w:suppressLineNumbers w:val="0"/>
                    <w:adjustRightInd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符合</w:t>
                  </w:r>
                </w:p>
              </w:tc>
            </w:tr>
          </w:tbl>
          <w:p w14:paraId="4278FB76">
            <w:pPr>
              <w:keepNext w:val="0"/>
              <w:keepLines w:val="0"/>
              <w:suppressLineNumbers w:val="0"/>
              <w:spacing w:before="0" w:beforeAutospacing="0" w:after="0" w:afterAutospacing="0" w:line="360" w:lineRule="auto"/>
              <w:ind w:left="0" w:right="0" w:firstLine="480" w:firstLineChars="200"/>
              <w:rPr>
                <w:rFonts w:hint="eastAsia" w:cs="Times New Roman"/>
                <w:color w:val="auto"/>
                <w:sz w:val="24"/>
                <w:highlight w:val="none"/>
                <w:lang w:val="en-US" w:eastAsia="zh-CN"/>
              </w:rPr>
            </w:pPr>
            <w:r>
              <w:rPr>
                <w:color w:val="auto"/>
                <w:sz w:val="24"/>
                <w:highlight w:val="none"/>
              </w:rPr>
              <w:t>根据上表分析，本项目符合与《加快解决当前挥发性有机物治理突出问题的通知》（环大气[2021]65号）相关要求。</w:t>
            </w:r>
          </w:p>
          <w:p w14:paraId="7892B68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highlight w:val="none"/>
              </w:rPr>
            </w:pP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rPr>
              <w:t>与《抚顺市地下水污染防治重点区划分》相符性分析</w:t>
            </w:r>
          </w:p>
          <w:p w14:paraId="165C5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highlight w:val="none"/>
              </w:rPr>
            </w:pPr>
            <w:r>
              <w:rPr>
                <w:rFonts w:hint="eastAsia"/>
                <w:color w:val="auto"/>
                <w:sz w:val="24"/>
                <w:highlight w:val="none"/>
              </w:rPr>
              <w:t>根据《关于印发抚顺市地下水污染防治重点区划分的通知》（抚环发〔2023〕28号），将抚顺市地下水污染防治重点区划分为保护类区域及管控类区域。其中保护类区域分为一级保护区、二级保护区；管控类区域分为一级管控区、二级管控区。一级保护区内禁止新建、扩建、改建与供水设施和保护水源无关的建设项目；已建成的与供水设施和保护水源无关的建设项目，由县级以上人民政府责令拆除或者关闭；二级保护区内禁止新建、改建、扩建排放污染物的建设项目、设置排污口；一级管控区内严格控制新建、改建、扩建可能造成地下水污染的建设项目；二级管控区内严格新建、改建、扩建项目准入，对新增石化、煤化、危险废物处置、有色金属冶炼、制浆造纸等对水体污染严重的建设项目和重大建设项目。</w:t>
            </w:r>
          </w:p>
          <w:p w14:paraId="7D52FFD6">
            <w:pPr>
              <w:pStyle w:val="1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经对比抚顺市地下水一级、二级保护区主要拐点坐标，本项目不在地下水一级、二级保护区内，本项目与抚顺市地下水污染防治重点区位置关系见附图</w:t>
            </w:r>
            <w:r>
              <w:rPr>
                <w:rFonts w:hint="eastAsia" w:cs="Times New Roman"/>
                <w:color w:val="auto"/>
                <w:kern w:val="2"/>
                <w:sz w:val="24"/>
                <w:szCs w:val="24"/>
                <w:highlight w:val="none"/>
                <w:lang w:val="en-US" w:eastAsia="zh-CN" w:bidi="ar-SA"/>
              </w:rPr>
              <w:t>6</w:t>
            </w:r>
            <w:r>
              <w:rPr>
                <w:rFonts w:hint="eastAsia" w:ascii="Times New Roman" w:hAnsi="Times New Roman" w:eastAsia="宋体" w:cs="Times New Roman"/>
                <w:color w:val="auto"/>
                <w:kern w:val="2"/>
                <w:sz w:val="24"/>
                <w:szCs w:val="24"/>
                <w:highlight w:val="none"/>
                <w:lang w:val="en-US" w:eastAsia="zh-CN" w:bidi="ar-SA"/>
              </w:rPr>
              <w:t>。因此，本项目符合《关于印发抚顺市地下水污染防治重点区划分的通知》要求。</w:t>
            </w:r>
          </w:p>
          <w:p w14:paraId="25D19240">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308BC409">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298DFC59">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78F6D641">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519A1937">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3EABAC49">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57FECB29">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7C369F6A">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523627EF">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296D97C2">
            <w:pPr>
              <w:pStyle w:val="12"/>
              <w:keepNext w:val="0"/>
              <w:keepLines w:val="0"/>
              <w:suppressLineNumbers w:val="0"/>
              <w:spacing w:beforeAutospacing="0" w:afterAutospacing="0"/>
              <w:ind w:left="0"/>
              <w:rPr>
                <w:color w:val="auto"/>
                <w:sz w:val="24"/>
                <w:highlight w:val="none"/>
              </w:rPr>
            </w:pPr>
          </w:p>
          <w:p w14:paraId="30ED6B82">
            <w:pPr>
              <w:keepNext w:val="0"/>
              <w:keepLines w:val="0"/>
              <w:suppressLineNumbers w:val="0"/>
              <w:spacing w:before="0" w:beforeAutospacing="0" w:after="0" w:afterAutospacing="0" w:line="360" w:lineRule="auto"/>
              <w:ind w:left="0" w:right="0" w:firstLine="480" w:firstLineChars="200"/>
              <w:rPr>
                <w:color w:val="auto"/>
                <w:sz w:val="24"/>
                <w:highlight w:val="none"/>
              </w:rPr>
            </w:pPr>
          </w:p>
          <w:p w14:paraId="2090E550">
            <w:pPr>
              <w:keepNext w:val="0"/>
              <w:keepLines w:val="0"/>
              <w:suppressLineNumbers w:val="0"/>
              <w:spacing w:before="0" w:beforeAutospacing="0" w:after="0" w:afterAutospacing="0" w:line="360" w:lineRule="auto"/>
              <w:ind w:left="0" w:right="0" w:firstLine="480" w:firstLineChars="200"/>
              <w:rPr>
                <w:color w:val="auto"/>
                <w:sz w:val="24"/>
                <w:highlight w:val="none"/>
              </w:rPr>
            </w:pPr>
          </w:p>
          <w:p w14:paraId="76A31F3C">
            <w:pPr>
              <w:keepNext w:val="0"/>
              <w:keepLines w:val="0"/>
              <w:suppressLineNumbers w:val="0"/>
              <w:spacing w:before="0" w:beforeAutospacing="0" w:after="0" w:afterAutospacing="0" w:line="360" w:lineRule="auto"/>
              <w:ind w:left="0" w:right="0" w:firstLine="480" w:firstLineChars="200"/>
              <w:rPr>
                <w:color w:val="auto"/>
                <w:sz w:val="24"/>
                <w:highlight w:val="none"/>
              </w:rPr>
            </w:pPr>
          </w:p>
          <w:p w14:paraId="29580ED1">
            <w:pPr>
              <w:keepNext w:val="0"/>
              <w:keepLines w:val="0"/>
              <w:suppressLineNumbers w:val="0"/>
              <w:autoSpaceDE w:val="0"/>
              <w:autoSpaceDN w:val="0"/>
              <w:adjustRightInd w:val="0"/>
              <w:spacing w:before="0" w:beforeAutospacing="0" w:after="0" w:afterAutospacing="0" w:line="360" w:lineRule="exact"/>
              <w:ind w:left="0" w:right="0" w:firstLine="420" w:firstLineChars="200"/>
              <w:rPr>
                <w:color w:val="auto"/>
                <w:highlight w:val="none"/>
              </w:rPr>
            </w:pPr>
          </w:p>
        </w:tc>
      </w:tr>
    </w:tbl>
    <w:p w14:paraId="16A55BF9">
      <w:pPr>
        <w:spacing w:line="360" w:lineRule="auto"/>
        <w:outlineLvl w:val="0"/>
        <w:rPr>
          <w:rFonts w:eastAsia="黑体"/>
          <w:color w:val="auto"/>
          <w:sz w:val="30"/>
          <w:highlight w:val="none"/>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016D63AD">
      <w:pPr>
        <w:pStyle w:val="25"/>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二、建设项目工程分析</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7985"/>
      </w:tblGrid>
      <w:tr w14:paraId="3AB3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1" w:type="pct"/>
            <w:tcBorders>
              <w:tl2br w:val="nil"/>
              <w:tr2bl w:val="nil"/>
            </w:tcBorders>
            <w:vAlign w:val="center"/>
          </w:tcPr>
          <w:p w14:paraId="1EC7232F">
            <w:pPr>
              <w:pStyle w:val="25"/>
              <w:keepNext w:val="0"/>
              <w:keepLines w:val="0"/>
              <w:suppressLineNumbers w:val="0"/>
              <w:adjustRightInd w:val="0"/>
              <w:snapToGrid w:val="0"/>
              <w:spacing w:before="0" w:beforeAutospacing="0" w:after="0" w:afterAutospacing="0"/>
              <w:ind w:left="0" w:right="0"/>
              <w:jc w:val="center"/>
              <w:rPr>
                <w:rFonts w:ascii="Times New Roman" w:hAnsi="Times New Roman"/>
                <w:color w:val="auto"/>
                <w:sz w:val="21"/>
                <w:szCs w:val="21"/>
                <w:highlight w:val="none"/>
              </w:rPr>
            </w:pPr>
            <w:r>
              <w:rPr>
                <w:rFonts w:ascii="Times New Roman" w:hAnsi="Times New Roman"/>
                <w:color w:val="auto"/>
                <w:sz w:val="21"/>
                <w:szCs w:val="21"/>
                <w:highlight w:val="none"/>
              </w:rPr>
              <w:t>建设内容</w:t>
            </w:r>
          </w:p>
        </w:tc>
        <w:tc>
          <w:tcPr>
            <w:tcW w:w="4408" w:type="pct"/>
            <w:tcBorders>
              <w:tl2br w:val="nil"/>
              <w:tr2bl w:val="nil"/>
            </w:tcBorders>
            <w:vAlign w:val="top"/>
          </w:tcPr>
          <w:p w14:paraId="0AC45177">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00" w:lineRule="exact"/>
              <w:ind w:left="0" w:right="0" w:firstLine="480" w:firstLineChars="200"/>
              <w:textAlignment w:val="auto"/>
              <w:rPr>
                <w:color w:val="auto"/>
                <w:sz w:val="24"/>
                <w:highlight w:val="none"/>
              </w:rPr>
            </w:pPr>
            <w:r>
              <w:rPr>
                <w:color w:val="auto"/>
                <w:sz w:val="24"/>
                <w:highlight w:val="none"/>
              </w:rPr>
              <w:t>1、项目</w:t>
            </w:r>
            <w:r>
              <w:rPr>
                <w:rFonts w:hint="eastAsia"/>
                <w:color w:val="auto"/>
                <w:sz w:val="24"/>
                <w:highlight w:val="none"/>
              </w:rPr>
              <w:t>概况</w:t>
            </w:r>
          </w:p>
          <w:p w14:paraId="02D7C758">
            <w:pPr>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00" w:lineRule="exact"/>
              <w:ind w:left="0" w:right="0" w:firstLine="480" w:firstLineChars="200"/>
              <w:textAlignment w:val="auto"/>
              <w:rPr>
                <w:rFonts w:hint="eastAsia" w:eastAsia="宋体"/>
                <w:color w:val="auto"/>
                <w:sz w:val="24"/>
                <w:highlight w:val="none"/>
                <w:lang w:eastAsia="zh-CN"/>
              </w:rPr>
            </w:pPr>
            <w:r>
              <w:rPr>
                <w:rFonts w:hint="eastAsia"/>
                <w:color w:val="auto"/>
                <w:sz w:val="24"/>
                <w:highlight w:val="none"/>
              </w:rPr>
              <w:t>汉圣化工（抚顺）有限公司成立于2011年01月25日，位于辽宁省抚顺市东洲区龙祥路3号。经营范围包括</w:t>
            </w:r>
            <w:r>
              <w:rPr>
                <w:rFonts w:hint="eastAsia"/>
                <w:color w:val="auto"/>
                <w:sz w:val="24"/>
                <w:highlight w:val="none"/>
                <w:lang w:eastAsia="zh-CN"/>
              </w:rPr>
              <w:t>：</w:t>
            </w:r>
            <w:r>
              <w:rPr>
                <w:rFonts w:hint="eastAsia"/>
                <w:color w:val="auto"/>
                <w:sz w:val="24"/>
                <w:highlight w:val="none"/>
              </w:rPr>
              <w:t>石蜡、石蜡替代品、特种蜡、乳化蜡、塑料、橡胶加工油、油膏、凡士林、润滑油脂、特种润滑油脂的生产和代加工及仓储服务；石蜡、特种蜡、油膏、橡胶油、特种油简单分装加工</w:t>
            </w:r>
            <w:r>
              <w:rPr>
                <w:rFonts w:hint="eastAsia"/>
                <w:color w:val="auto"/>
                <w:sz w:val="24"/>
                <w:highlight w:val="none"/>
                <w:lang w:val="en-US" w:eastAsia="zh-CN"/>
              </w:rPr>
              <w:t>等。</w:t>
            </w:r>
          </w:p>
          <w:p w14:paraId="56C9C5FB">
            <w:pPr>
              <w:keepNext w:val="0"/>
              <w:keepLines w:val="0"/>
              <w:pageBreakBefore w:val="0"/>
              <w:widowControl/>
              <w:suppressLineNumbers w:val="0"/>
              <w:kinsoku/>
              <w:wordWrap/>
              <w:overflowPunct/>
              <w:topLinePunct w:val="0"/>
              <w:bidi w:val="0"/>
              <w:snapToGrid/>
              <w:spacing w:before="0" w:beforeAutospacing="0" w:after="0" w:afterAutospacing="0" w:line="400" w:lineRule="exact"/>
              <w:ind w:left="0" w:right="0" w:firstLine="480" w:firstLineChars="200"/>
              <w:jc w:val="left"/>
              <w:textAlignment w:val="auto"/>
              <w:rPr>
                <w:bCs/>
                <w:color w:val="auto"/>
                <w:sz w:val="24"/>
                <w:szCs w:val="24"/>
                <w:highlight w:val="none"/>
              </w:rPr>
            </w:pPr>
            <w:r>
              <w:rPr>
                <w:rFonts w:hint="eastAsia"/>
                <w:bCs/>
                <w:color w:val="auto"/>
                <w:sz w:val="24"/>
                <w:szCs w:val="24"/>
                <w:highlight w:val="none"/>
              </w:rPr>
              <w:t>20</w:t>
            </w:r>
            <w:r>
              <w:rPr>
                <w:rFonts w:hint="eastAsia"/>
                <w:bCs/>
                <w:color w:val="auto"/>
                <w:sz w:val="24"/>
                <w:szCs w:val="24"/>
                <w:highlight w:val="none"/>
                <w:lang w:val="en-US" w:eastAsia="zh-CN"/>
              </w:rPr>
              <w:t>13</w:t>
            </w:r>
            <w:r>
              <w:rPr>
                <w:bCs/>
                <w:color w:val="auto"/>
                <w:sz w:val="24"/>
                <w:szCs w:val="24"/>
                <w:highlight w:val="none"/>
              </w:rPr>
              <w:t>年，</w:t>
            </w:r>
            <w:r>
              <w:rPr>
                <w:rFonts w:hint="eastAsia"/>
                <w:bCs/>
                <w:color w:val="auto"/>
                <w:sz w:val="24"/>
                <w:szCs w:val="24"/>
                <w:highlight w:val="none"/>
              </w:rPr>
              <w:t>汉圣化工（抚顺）有限公司</w:t>
            </w:r>
            <w:r>
              <w:rPr>
                <w:bCs/>
                <w:color w:val="auto"/>
                <w:sz w:val="24"/>
                <w:szCs w:val="24"/>
                <w:highlight w:val="none"/>
              </w:rPr>
              <w:t>完成了《</w:t>
            </w:r>
            <w:r>
              <w:rPr>
                <w:rFonts w:hint="eastAsia"/>
                <w:color w:val="auto"/>
                <w:sz w:val="24"/>
                <w:highlight w:val="none"/>
                <w:lang w:val="en-US" w:eastAsia="zh-CN"/>
              </w:rPr>
              <w:t>汉圣化工年产10万t特种蜡项目环境影响报告书</w:t>
            </w:r>
            <w:r>
              <w:rPr>
                <w:bCs/>
                <w:color w:val="auto"/>
                <w:sz w:val="24"/>
                <w:szCs w:val="24"/>
                <w:highlight w:val="none"/>
              </w:rPr>
              <w:t>》并获得了</w:t>
            </w:r>
            <w:r>
              <w:rPr>
                <w:rFonts w:hint="eastAsia"/>
                <w:bCs/>
                <w:color w:val="auto"/>
                <w:sz w:val="24"/>
                <w:szCs w:val="24"/>
                <w:highlight w:val="none"/>
                <w:lang w:val="en-US" w:eastAsia="zh-CN"/>
              </w:rPr>
              <w:t>辽宁省环境保护厅（现辽宁省生态环境局）</w:t>
            </w:r>
            <w:r>
              <w:rPr>
                <w:bCs/>
                <w:color w:val="auto"/>
                <w:sz w:val="24"/>
                <w:szCs w:val="24"/>
                <w:highlight w:val="none"/>
              </w:rPr>
              <w:t>的环评批复（</w:t>
            </w:r>
            <w:r>
              <w:rPr>
                <w:rFonts w:hint="eastAsia"/>
                <w:color w:val="auto"/>
                <w:sz w:val="24"/>
                <w:highlight w:val="none"/>
                <w:lang w:val="en-US" w:eastAsia="zh-CN"/>
              </w:rPr>
              <w:t>辽环函[2013]155号），已通过环保竣工验收（验收意见见附件）</w:t>
            </w:r>
            <w:r>
              <w:rPr>
                <w:bCs/>
                <w:color w:val="auto"/>
                <w:sz w:val="24"/>
                <w:szCs w:val="24"/>
                <w:highlight w:val="none"/>
              </w:rPr>
              <w:t>。</w:t>
            </w:r>
          </w:p>
          <w:p w14:paraId="16B241E3">
            <w:pPr>
              <w:keepNext w:val="0"/>
              <w:keepLines w:val="0"/>
              <w:pageBreakBefore w:val="0"/>
              <w:widowControl w:val="0"/>
              <w:suppressLineNumbers w:val="0"/>
              <w:kinsoku/>
              <w:wordWrap/>
              <w:overflowPunct/>
              <w:topLinePunct w:val="0"/>
              <w:autoSpaceDE w:val="0"/>
              <w:autoSpaceDN w:val="0"/>
              <w:bidi w:val="0"/>
              <w:snapToGrid/>
              <w:spacing w:before="0" w:beforeAutospacing="0" w:after="0" w:afterAutospacing="0" w:line="400" w:lineRule="exact"/>
              <w:ind w:left="0" w:right="0" w:firstLine="480" w:firstLineChars="200"/>
              <w:textAlignment w:val="auto"/>
              <w:rPr>
                <w:rFonts w:ascii="Times New Roman" w:hAnsi="Times New Roman"/>
                <w:bCs/>
                <w:color w:val="auto"/>
                <w:sz w:val="24"/>
                <w:szCs w:val="24"/>
                <w:highlight w:val="none"/>
                <w:lang w:eastAsia="zh-CN"/>
              </w:rPr>
            </w:pPr>
            <w:r>
              <w:rPr>
                <w:rFonts w:hint="eastAsia" w:ascii="Times New Roman" w:hAnsi="Times New Roman" w:cs="Times New Roman"/>
                <w:bCs/>
                <w:color w:val="auto"/>
                <w:sz w:val="24"/>
                <w:szCs w:val="24"/>
                <w:highlight w:val="none"/>
                <w:lang w:val="en-US" w:eastAsia="zh-CN"/>
              </w:rPr>
              <w:t>为满足原料储存及产品橡胶防护蜡质量要求，</w:t>
            </w:r>
            <w:r>
              <w:rPr>
                <w:rFonts w:hint="default" w:ascii="Times New Roman" w:hAnsi="Times New Roman" w:cs="Times New Roman"/>
                <w:bCs/>
                <w:color w:val="auto"/>
                <w:sz w:val="24"/>
                <w:szCs w:val="24"/>
                <w:highlight w:val="none"/>
                <w:lang w:eastAsia="zh-CN"/>
              </w:rPr>
              <w:t>汉圣化工（抚顺）有限公司拟投资</w:t>
            </w:r>
            <w:r>
              <w:rPr>
                <w:rFonts w:hint="default" w:ascii="Times New Roman" w:hAnsi="Times New Roman" w:cs="Times New Roman"/>
                <w:bCs/>
                <w:color w:val="auto"/>
                <w:sz w:val="24"/>
                <w:szCs w:val="24"/>
                <w:highlight w:val="none"/>
                <w:lang w:val="en-US" w:eastAsia="zh-CN"/>
              </w:rPr>
              <w:t>1200</w:t>
            </w:r>
            <w:r>
              <w:rPr>
                <w:rFonts w:hint="default" w:ascii="Times New Roman" w:hAnsi="Times New Roman" w:cs="Times New Roman"/>
                <w:bCs/>
                <w:color w:val="auto"/>
                <w:sz w:val="24"/>
                <w:szCs w:val="24"/>
                <w:highlight w:val="none"/>
                <w:lang w:eastAsia="zh-CN"/>
              </w:rPr>
              <w:t>万元</w:t>
            </w:r>
            <w:r>
              <w:rPr>
                <w:rFonts w:hint="eastAsia" w:ascii="Times New Roman" w:hAnsi="Times New Roman" w:cs="Times New Roman"/>
                <w:bCs/>
                <w:color w:val="auto"/>
                <w:sz w:val="24"/>
                <w:szCs w:val="24"/>
                <w:highlight w:val="none"/>
                <w:lang w:val="en-US" w:eastAsia="zh-CN"/>
              </w:rPr>
              <w:t>建设原材料储存雨棚项目及原材料预处理项目。本项目</w:t>
            </w:r>
            <w:r>
              <w:rPr>
                <w:rFonts w:hint="default" w:ascii="Times New Roman" w:hAnsi="Times New Roman" w:cs="Times New Roman"/>
                <w:bCs/>
                <w:color w:val="auto"/>
                <w:sz w:val="24"/>
                <w:szCs w:val="24"/>
                <w:highlight w:val="none"/>
                <w:lang w:eastAsia="zh-CN"/>
              </w:rPr>
              <w:t>在原有</w:t>
            </w:r>
            <w:r>
              <w:rPr>
                <w:rFonts w:hint="default" w:ascii="Times New Roman" w:hAnsi="Times New Roman" w:cs="Times New Roman"/>
                <w:bCs/>
                <w:color w:val="auto"/>
                <w:sz w:val="24"/>
                <w:szCs w:val="24"/>
                <w:highlight w:val="none"/>
                <w:lang w:val="en-US" w:eastAsia="zh-CN"/>
              </w:rPr>
              <w:t>项目基础上</w:t>
            </w:r>
            <w:r>
              <w:rPr>
                <w:rFonts w:hint="eastAsia" w:ascii="Times New Roman" w:hAnsi="Times New Roman" w:cs="Times New Roman"/>
                <w:bCs/>
                <w:color w:val="auto"/>
                <w:sz w:val="24"/>
                <w:szCs w:val="24"/>
                <w:highlight w:val="none"/>
                <w:lang w:val="en-US" w:eastAsia="zh-CN"/>
              </w:rPr>
              <w:t>：</w:t>
            </w:r>
            <w:r>
              <w:rPr>
                <w:rFonts w:hint="eastAsia"/>
                <w:color w:val="auto"/>
                <w:sz w:val="24"/>
                <w:highlight w:val="none"/>
                <w:lang w:val="en-US" w:eastAsia="zh-CN"/>
              </w:rPr>
              <w:t>①原料石油蜡：年消耗量33000t/a，将其中14000t/a由液</w:t>
            </w:r>
            <w:r>
              <w:rPr>
                <w:rFonts w:hint="eastAsia"/>
                <w:color w:val="auto"/>
                <w:sz w:val="24"/>
                <w:szCs w:val="24"/>
                <w:highlight w:val="none"/>
                <w:lang w:val="en-US" w:eastAsia="zh-CN"/>
              </w:rPr>
              <w:t>态石油蜡改为固态板蜡，储存于新建的1座占地面积2845.8m</w:t>
            </w:r>
            <w:r>
              <w:rPr>
                <w:rFonts w:hint="eastAsia"/>
                <w:color w:val="auto"/>
                <w:sz w:val="24"/>
                <w:szCs w:val="24"/>
                <w:highlight w:val="none"/>
                <w:vertAlign w:val="superscript"/>
                <w:lang w:val="en-US" w:eastAsia="zh-CN"/>
              </w:rPr>
              <w:t>2</w:t>
            </w:r>
            <w:r>
              <w:rPr>
                <w:rFonts w:hint="eastAsia"/>
                <w:color w:val="auto"/>
                <w:sz w:val="24"/>
                <w:szCs w:val="24"/>
                <w:highlight w:val="none"/>
                <w:lang w:val="en-US" w:eastAsia="zh-CN"/>
              </w:rPr>
              <w:t>的原材料储存雨棚；②微晶蜡：由液态全部变更为固体微晶蜡，消耗量为2000t/a，颜色</w:t>
            </w:r>
            <w:r>
              <w:rPr>
                <w:rFonts w:hint="eastAsia"/>
                <w:color w:val="FF0000"/>
                <w:sz w:val="24"/>
                <w:szCs w:val="24"/>
                <w:highlight w:val="none"/>
                <w:lang w:val="en-US" w:eastAsia="zh-CN"/>
              </w:rPr>
              <w:t>除</w:t>
            </w:r>
            <w:r>
              <w:rPr>
                <w:rFonts w:hint="eastAsia"/>
                <w:color w:val="auto"/>
                <w:sz w:val="24"/>
                <w:szCs w:val="24"/>
                <w:highlight w:val="none"/>
                <w:lang w:val="en-US" w:eastAsia="zh-CN"/>
              </w:rPr>
              <w:t>白、淡黄色外，新增红、棕色，储存于新建的11座有效容积约23m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的储罐；</w:t>
            </w:r>
            <w:r>
              <w:rPr>
                <w:rFonts w:hint="eastAsia" w:ascii="Times New Roman" w:hAnsi="Times New Roman" w:eastAsia="钢结构雨棚2845.8平方米、1368.78平方米装载站平台雨" w:cs="Times New Roman"/>
                <w:color w:val="auto"/>
                <w:sz w:val="24"/>
                <w:szCs w:val="24"/>
                <w:highlight w:val="none"/>
                <w:vertAlign w:val="baseline"/>
                <w:lang w:val="en-US" w:eastAsia="zh-CN"/>
              </w:rPr>
              <w:t>③</w:t>
            </w:r>
            <w:r>
              <w:rPr>
                <w:rFonts w:hint="default" w:ascii="Times New Roman" w:hAnsi="Times New Roman" w:eastAsia="钢结构雨棚2845.8平方米、1368.78平方米装载站平台雨" w:cs="Times New Roman"/>
                <w:color w:val="auto"/>
                <w:sz w:val="24"/>
                <w:szCs w:val="24"/>
                <w:highlight w:val="none"/>
              </w:rPr>
              <w:t>不锈钢标准集装箱罐11个</w:t>
            </w:r>
            <w:r>
              <w:rPr>
                <w:rFonts w:hint="eastAsia" w:ascii="Times New Roman" w:hAnsi="Times New Roman" w:eastAsia="钢结构雨棚2845.8平方米、1368.78平方米装载站平台雨" w:cs="Times New Roman"/>
                <w:color w:val="auto"/>
                <w:sz w:val="24"/>
                <w:szCs w:val="24"/>
                <w:highlight w:val="none"/>
                <w:lang w:eastAsia="zh-CN"/>
              </w:rPr>
              <w:t>（</w:t>
            </w:r>
            <w:r>
              <w:rPr>
                <w:rFonts w:hint="eastAsia" w:ascii="Times New Roman" w:hAnsi="Times New Roman" w:eastAsia="钢结构雨棚2845.8平方米、1368.78平方米装载站平台雨" w:cs="Times New Roman"/>
                <w:color w:val="auto"/>
                <w:sz w:val="24"/>
                <w:szCs w:val="24"/>
                <w:highlight w:val="none"/>
                <w:lang w:val="en-US" w:eastAsia="zh-CN"/>
              </w:rPr>
              <w:t>有效容积23m</w:t>
            </w:r>
            <w:r>
              <w:rPr>
                <w:rFonts w:hint="eastAsia" w:ascii="Times New Roman" w:hAnsi="Times New Roman" w:eastAsia="钢结构雨棚2845.8平方米、1368.78平方米装载站平台雨" w:cs="Times New Roman"/>
                <w:color w:val="auto"/>
                <w:sz w:val="24"/>
                <w:szCs w:val="24"/>
                <w:highlight w:val="none"/>
                <w:vertAlign w:val="superscript"/>
                <w:lang w:val="en-US" w:eastAsia="zh-CN"/>
              </w:rPr>
              <w:t>3</w:t>
            </w:r>
            <w:r>
              <w:rPr>
                <w:rFonts w:hint="eastAsia" w:ascii="Times New Roman" w:hAnsi="Times New Roman" w:eastAsia="钢结构雨棚2845.8平方米、1368.78平方米装载站平台雨" w:cs="Times New Roman"/>
                <w:color w:val="auto"/>
                <w:sz w:val="24"/>
                <w:szCs w:val="24"/>
                <w:highlight w:val="none"/>
                <w:lang w:eastAsia="zh-CN"/>
              </w:rPr>
              <w:t>）</w:t>
            </w:r>
            <w:r>
              <w:rPr>
                <w:rFonts w:hint="default" w:ascii="Times New Roman" w:hAnsi="Times New Roman" w:eastAsia="钢结构雨棚2845.8平方米、1368.78平方米装载站平台雨" w:cs="Times New Roman"/>
                <w:color w:val="auto"/>
                <w:sz w:val="24"/>
                <w:szCs w:val="24"/>
                <w:highlight w:val="none"/>
              </w:rPr>
              <w:t>、调和罐4个</w:t>
            </w:r>
            <w:r>
              <w:rPr>
                <w:rFonts w:hint="eastAsia" w:ascii="Times New Roman" w:hAnsi="Times New Roman" w:eastAsia="钢结构雨棚2845.8平方米、1368.78平方米装载站平台雨" w:cs="Times New Roman"/>
                <w:color w:val="auto"/>
                <w:sz w:val="24"/>
                <w:szCs w:val="24"/>
                <w:highlight w:val="none"/>
                <w:lang w:eastAsia="zh-CN"/>
              </w:rPr>
              <w:t>（</w:t>
            </w:r>
            <w:r>
              <w:rPr>
                <w:rFonts w:hint="eastAsia" w:ascii="Times New Roman" w:hAnsi="Times New Roman" w:eastAsia="钢结构雨棚2845.8平方米、1368.78平方米装载站平台雨" w:cs="Times New Roman"/>
                <w:color w:val="auto"/>
                <w:sz w:val="24"/>
                <w:szCs w:val="24"/>
                <w:highlight w:val="none"/>
                <w:lang w:val="en-US" w:eastAsia="zh-CN"/>
              </w:rPr>
              <w:t>有效容积10m</w:t>
            </w:r>
            <w:r>
              <w:rPr>
                <w:rFonts w:hint="eastAsia" w:ascii="Times New Roman" w:hAnsi="Times New Roman" w:eastAsia="钢结构雨棚2845.8平方米、1368.78平方米装载站平台雨" w:cs="Times New Roman"/>
                <w:color w:val="auto"/>
                <w:sz w:val="24"/>
                <w:szCs w:val="24"/>
                <w:highlight w:val="none"/>
                <w:vertAlign w:val="superscript"/>
                <w:lang w:val="en-US" w:eastAsia="zh-CN"/>
              </w:rPr>
              <w:t>3</w:t>
            </w:r>
            <w:r>
              <w:rPr>
                <w:rFonts w:hint="eastAsia" w:ascii="Times New Roman" w:hAnsi="Times New Roman" w:eastAsia="钢结构雨棚2845.8平方米、1368.78平方米装载站平台雨" w:cs="Times New Roman"/>
                <w:color w:val="auto"/>
                <w:sz w:val="24"/>
                <w:szCs w:val="24"/>
                <w:highlight w:val="none"/>
                <w:lang w:eastAsia="zh-CN"/>
              </w:rPr>
              <w:t>）、</w:t>
            </w:r>
            <w:r>
              <w:rPr>
                <w:rFonts w:hint="eastAsia" w:ascii="Times New Roman" w:hAnsi="Times New Roman" w:eastAsia="钢结构雨棚2845.8平方米、1368.78平方米装载站平台雨" w:cs="Times New Roman"/>
                <w:b/>
                <w:bCs/>
                <w:color w:val="auto"/>
                <w:sz w:val="24"/>
                <w:szCs w:val="24"/>
                <w:highlight w:val="none"/>
                <w:lang w:val="en-US" w:eastAsia="zh-CN"/>
              </w:rPr>
              <w:t>造粒机3台</w:t>
            </w:r>
            <w:r>
              <w:rPr>
                <w:rFonts w:hint="eastAsia" w:ascii="Times New Roman" w:hAnsi="Times New Roman" w:eastAsia="钢结构雨棚2845.8平方米、1368.78平方米装载站平台雨" w:cs="Times New Roman"/>
                <w:color w:val="auto"/>
                <w:sz w:val="24"/>
                <w:szCs w:val="24"/>
                <w:highlight w:val="none"/>
                <w:lang w:val="en-US" w:eastAsia="zh-CN"/>
              </w:rPr>
              <w:t>（原有2台造粒机原料为白色或淡黄色微晶蜡；新增3台造粒机原料分别为红、棕色微晶蜡）等</w:t>
            </w:r>
            <w:r>
              <w:rPr>
                <w:rFonts w:hint="default" w:ascii="Times New Roman" w:hAnsi="Times New Roman" w:eastAsia="钢结构雨棚2845.8平方米、1368.78平方米装载站平台雨" w:cs="Times New Roman"/>
                <w:color w:val="auto"/>
                <w:sz w:val="24"/>
                <w:szCs w:val="24"/>
                <w:highlight w:val="none"/>
              </w:rPr>
              <w:t>附属配套工艺管线和灌装设备等设备设施</w:t>
            </w:r>
            <w:r>
              <w:rPr>
                <w:rFonts w:hint="default" w:ascii="Times New Roman" w:hAnsi="Times New Roman" w:cs="Times New Roman"/>
                <w:color w:val="auto"/>
                <w:sz w:val="24"/>
                <w:szCs w:val="24"/>
                <w:highlight w:val="none"/>
              </w:rPr>
              <w:t>。</w:t>
            </w:r>
          </w:p>
          <w:p w14:paraId="640FE4A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00" w:lineRule="exact"/>
              <w:ind w:left="0" w:right="0" w:firstLine="480" w:firstLineChars="200"/>
              <w:textAlignment w:val="auto"/>
              <w:rPr>
                <w:color w:val="auto"/>
                <w:sz w:val="24"/>
                <w:highlight w:val="none"/>
              </w:rPr>
            </w:pPr>
            <w:r>
              <w:rPr>
                <w:rFonts w:ascii="Times New Roman" w:hAnsi="Times New Roman"/>
                <w:bCs/>
                <w:color w:val="auto"/>
                <w:sz w:val="24"/>
                <w:szCs w:val="24"/>
                <w:highlight w:val="none"/>
                <w:lang w:eastAsia="zh-CN"/>
              </w:rPr>
              <w:t>根据《中华人民共和国环境保护法》《中华人民共和国环境影响评价法》以及《建设项目环境保护管理条例》的有关规定，本项目应进行环境影响评价，根据《建设项目环境影响评价分类管理名录（2021年版）》，本项目属于“</w:t>
            </w:r>
            <w:r>
              <w:rPr>
                <w:rFonts w:hint="eastAsia" w:ascii="Times New Roman" w:hAnsi="Times New Roman"/>
                <w:bCs/>
                <w:color w:val="auto"/>
                <w:sz w:val="24"/>
                <w:szCs w:val="24"/>
                <w:highlight w:val="none"/>
                <w:lang w:eastAsia="zh-CN"/>
              </w:rPr>
              <w:t>二十二、石油、煤炭及其它燃料加工业</w:t>
            </w:r>
            <w:r>
              <w:rPr>
                <w:rFonts w:hint="eastAsia"/>
                <w:bCs/>
                <w:color w:val="auto"/>
                <w:sz w:val="24"/>
                <w:szCs w:val="24"/>
                <w:highlight w:val="none"/>
                <w:lang w:val="en-US" w:eastAsia="zh-CN"/>
              </w:rPr>
              <w:t xml:space="preserve"> </w:t>
            </w:r>
            <w:r>
              <w:rPr>
                <w:rFonts w:hint="eastAsia" w:ascii="Times New Roman" w:hAnsi="Times New Roman"/>
                <w:bCs/>
                <w:color w:val="auto"/>
                <w:sz w:val="24"/>
                <w:szCs w:val="24"/>
                <w:highlight w:val="none"/>
                <w:lang w:eastAsia="zh-CN"/>
              </w:rPr>
              <w:t>精炼石油产品制造251</w:t>
            </w:r>
            <w:r>
              <w:rPr>
                <w:rFonts w:ascii="Times New Roman" w:hAnsi="Times New Roman"/>
                <w:bCs/>
                <w:color w:val="auto"/>
                <w:sz w:val="24"/>
                <w:szCs w:val="24"/>
                <w:highlight w:val="none"/>
                <w:lang w:eastAsia="zh-CN"/>
              </w:rPr>
              <w:t>”</w:t>
            </w:r>
            <w:r>
              <w:rPr>
                <w:rFonts w:hint="eastAsia"/>
                <w:bCs/>
                <w:color w:val="auto"/>
                <w:sz w:val="24"/>
                <w:szCs w:val="24"/>
                <w:highlight w:val="none"/>
                <w:lang w:val="en-US" w:eastAsia="zh-CN"/>
              </w:rPr>
              <w:t>中“单纯物理分离、物理提纯、混合、分装（不产生废水或挥发性有机物的除外）；煤制品制造；其它煤炭加工”</w:t>
            </w:r>
            <w:r>
              <w:rPr>
                <w:rFonts w:ascii="Times New Roman" w:hAnsi="Times New Roman"/>
                <w:bCs/>
                <w:color w:val="auto"/>
                <w:sz w:val="24"/>
                <w:szCs w:val="24"/>
                <w:highlight w:val="none"/>
                <w:lang w:eastAsia="zh-CN"/>
              </w:rPr>
              <w:t>类别，需编制建设项目环境影响报告表。为此，</w:t>
            </w:r>
            <w:r>
              <w:rPr>
                <w:rFonts w:hint="eastAsia" w:ascii="Times New Roman" w:hAnsi="Times New Roman"/>
                <w:bCs/>
                <w:color w:val="auto"/>
                <w:sz w:val="24"/>
                <w:szCs w:val="24"/>
                <w:highlight w:val="none"/>
                <w:lang w:eastAsia="zh-CN"/>
              </w:rPr>
              <w:t>汉圣化工（抚顺）有限公司</w:t>
            </w:r>
            <w:r>
              <w:rPr>
                <w:rFonts w:ascii="Times New Roman" w:hAnsi="Times New Roman"/>
                <w:bCs/>
                <w:color w:val="auto"/>
                <w:sz w:val="24"/>
                <w:szCs w:val="24"/>
                <w:highlight w:val="none"/>
                <w:lang w:eastAsia="zh-CN"/>
              </w:rPr>
              <w:t>委托</w:t>
            </w:r>
            <w:r>
              <w:rPr>
                <w:rFonts w:hint="eastAsia" w:ascii="Times New Roman" w:hAnsi="Times New Roman"/>
                <w:bCs/>
                <w:color w:val="auto"/>
                <w:sz w:val="24"/>
                <w:szCs w:val="24"/>
                <w:highlight w:val="none"/>
                <w:lang w:eastAsia="zh-CN"/>
              </w:rPr>
              <w:t>辽宁</w:t>
            </w:r>
            <w:r>
              <w:rPr>
                <w:rFonts w:hint="eastAsia"/>
                <w:bCs/>
                <w:color w:val="auto"/>
                <w:sz w:val="24"/>
                <w:szCs w:val="24"/>
                <w:highlight w:val="none"/>
                <w:lang w:val="en-US" w:eastAsia="zh-CN"/>
              </w:rPr>
              <w:t>世达环保科技有限公司</w:t>
            </w:r>
            <w:r>
              <w:rPr>
                <w:rFonts w:ascii="Times New Roman" w:hAnsi="Times New Roman"/>
                <w:bCs/>
                <w:color w:val="auto"/>
                <w:sz w:val="24"/>
                <w:szCs w:val="24"/>
                <w:highlight w:val="none"/>
                <w:lang w:eastAsia="zh-CN"/>
              </w:rPr>
              <w:t>承担本项目的环境影响评价工作（委托书见附件</w:t>
            </w:r>
            <w:r>
              <w:rPr>
                <w:rFonts w:hint="eastAsia"/>
                <w:bCs/>
                <w:color w:val="auto"/>
                <w:sz w:val="24"/>
                <w:szCs w:val="24"/>
                <w:highlight w:val="none"/>
                <w:lang w:val="en-US" w:eastAsia="zh-CN"/>
              </w:rPr>
              <w:t>1</w:t>
            </w:r>
            <w:r>
              <w:rPr>
                <w:rFonts w:ascii="Times New Roman" w:hAnsi="Times New Roman"/>
                <w:bCs/>
                <w:color w:val="auto"/>
                <w:sz w:val="24"/>
                <w:szCs w:val="24"/>
                <w:highlight w:val="none"/>
                <w:lang w:eastAsia="zh-CN"/>
              </w:rPr>
              <w:t>）。接受委托后，我公司即组织技术人员对项目进行了现场踏勘和资料收集，按照建设项目环境影响评价相关法律法规、标准、技术规范及指南的相关规定，编制完成了本项目的环境影响报告表，由建设单位提交当地生态环境管理部门审查批复。</w:t>
            </w:r>
          </w:p>
        </w:tc>
      </w:tr>
    </w:tbl>
    <w:p w14:paraId="60329BC1">
      <w:pPr>
        <w:pStyle w:val="25"/>
        <w:jc w:val="center"/>
        <w:rPr>
          <w:rFonts w:ascii="Times New Roman" w:hAnsi="Times New Roman" w:eastAsia="黑体"/>
          <w:snapToGrid w:val="0"/>
          <w:color w:val="auto"/>
          <w:sz w:val="36"/>
          <w:szCs w:val="36"/>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341863B">
      <w:pPr>
        <w:pStyle w:val="12"/>
        <w:rPr>
          <w:color w:val="auto"/>
          <w:highlight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1717"/>
      </w:tblGrid>
      <w:tr w14:paraId="1E8F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1" w:type="dxa"/>
          </w:tcPr>
          <w:p w14:paraId="0A15E791">
            <w:pPr>
              <w:pStyle w:val="25"/>
              <w:keepNext w:val="0"/>
              <w:keepLines w:val="0"/>
              <w:suppressLineNumbers w:val="0"/>
              <w:ind w:left="0" w:right="0"/>
              <w:jc w:val="center"/>
              <w:outlineLvl w:val="0"/>
              <w:rPr>
                <w:rFonts w:ascii="Times New Roman" w:hAnsi="Times New Roman" w:eastAsia="黑体"/>
                <w:snapToGrid w:val="0"/>
                <w:color w:val="auto"/>
                <w:sz w:val="30"/>
                <w:szCs w:val="30"/>
                <w:highlight w:val="none"/>
                <w:vertAlign w:val="baseline"/>
              </w:rPr>
            </w:pPr>
          </w:p>
        </w:tc>
        <w:tc>
          <w:tcPr>
            <w:tcW w:w="11717" w:type="dxa"/>
          </w:tcPr>
          <w:p w14:paraId="577DF4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rPr>
            </w:pPr>
            <w:r>
              <w:rPr>
                <w:rFonts w:hint="eastAsia"/>
                <w:color w:val="auto"/>
                <w:sz w:val="24"/>
                <w:highlight w:val="none"/>
              </w:rPr>
              <w:t>表2-</w:t>
            </w:r>
            <w:r>
              <w:rPr>
                <w:rFonts w:hint="eastAsia"/>
                <w:color w:val="auto"/>
                <w:sz w:val="24"/>
                <w:highlight w:val="none"/>
                <w:lang w:val="en-US" w:eastAsia="zh-CN"/>
              </w:rPr>
              <w:t xml:space="preserve">2  </w:t>
            </w:r>
            <w:r>
              <w:rPr>
                <w:rFonts w:hint="eastAsia"/>
                <w:color w:val="auto"/>
                <w:sz w:val="24"/>
                <w:highlight w:val="none"/>
              </w:rPr>
              <w:t>项目组成一览表</w:t>
            </w:r>
          </w:p>
          <w:tbl>
            <w:tblPr>
              <w:tblStyle w:val="27"/>
              <w:tblW w:w="49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231"/>
              <w:gridCol w:w="2929"/>
              <w:gridCol w:w="2764"/>
              <w:gridCol w:w="2505"/>
              <w:gridCol w:w="752"/>
            </w:tblGrid>
            <w:tr w14:paraId="1DBB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exact"/>
                <w:jc w:val="center"/>
              </w:trPr>
              <w:tc>
                <w:tcPr>
                  <w:tcW w:w="524" w:type="pct"/>
                  <w:tcBorders>
                    <w:tl2br w:val="nil"/>
                    <w:tr2bl w:val="nil"/>
                  </w:tcBorders>
                  <w:noWrap w:val="0"/>
                  <w:vAlign w:val="center"/>
                </w:tcPr>
                <w:p w14:paraId="5DFD175D">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工程类别</w:t>
                  </w:r>
                </w:p>
              </w:tc>
              <w:tc>
                <w:tcPr>
                  <w:tcW w:w="541" w:type="pct"/>
                  <w:tcBorders>
                    <w:tl2br w:val="nil"/>
                    <w:tr2bl w:val="nil"/>
                  </w:tcBorders>
                  <w:noWrap w:val="0"/>
                  <w:vAlign w:val="center"/>
                </w:tcPr>
                <w:p w14:paraId="20B292B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工程名称</w:t>
                  </w:r>
                </w:p>
              </w:tc>
              <w:tc>
                <w:tcPr>
                  <w:tcW w:w="1287" w:type="pct"/>
                  <w:tcBorders>
                    <w:tl2br w:val="nil"/>
                    <w:tr2bl w:val="nil"/>
                  </w:tcBorders>
                  <w:noWrap w:val="0"/>
                  <w:vAlign w:val="center"/>
                </w:tcPr>
                <w:p w14:paraId="0F911B8D">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现有项目</w:t>
                  </w:r>
                </w:p>
              </w:tc>
              <w:tc>
                <w:tcPr>
                  <w:tcW w:w="1215" w:type="pct"/>
                  <w:tcBorders>
                    <w:tl2br w:val="nil"/>
                    <w:tr2bl w:val="nil"/>
                  </w:tcBorders>
                  <w:noWrap w:val="0"/>
                  <w:vAlign w:val="center"/>
                </w:tcPr>
                <w:p w14:paraId="4AA7C7F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本项目</w:t>
                  </w:r>
                </w:p>
              </w:tc>
              <w:tc>
                <w:tcPr>
                  <w:tcW w:w="1101" w:type="pct"/>
                  <w:tcBorders>
                    <w:tl2br w:val="nil"/>
                    <w:tr2bl w:val="nil"/>
                  </w:tcBorders>
                  <w:noWrap w:val="0"/>
                  <w:vAlign w:val="center"/>
                </w:tcPr>
                <w:p w14:paraId="68EDE69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全厂</w:t>
                  </w:r>
                </w:p>
              </w:tc>
              <w:tc>
                <w:tcPr>
                  <w:tcW w:w="330" w:type="pct"/>
                  <w:tcBorders>
                    <w:tl2br w:val="nil"/>
                    <w:tr2bl w:val="nil"/>
                  </w:tcBorders>
                  <w:noWrap w:val="0"/>
                  <w:vAlign w:val="center"/>
                </w:tcPr>
                <w:p w14:paraId="055571B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备注</w:t>
                  </w:r>
                </w:p>
              </w:tc>
            </w:tr>
            <w:tr w14:paraId="286E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exact"/>
                <w:jc w:val="center"/>
              </w:trPr>
              <w:tc>
                <w:tcPr>
                  <w:tcW w:w="524" w:type="pct"/>
                  <w:vMerge w:val="restart"/>
                  <w:tcBorders>
                    <w:tl2br w:val="nil"/>
                    <w:tr2bl w:val="nil"/>
                  </w:tcBorders>
                  <w:noWrap w:val="0"/>
                  <w:vAlign w:val="center"/>
                </w:tcPr>
                <w:p w14:paraId="2624708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主体</w:t>
                  </w:r>
                </w:p>
                <w:p w14:paraId="0B3C43B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541" w:type="pct"/>
                  <w:vMerge w:val="restart"/>
                  <w:tcBorders>
                    <w:tl2br w:val="nil"/>
                    <w:tr2bl w:val="nil"/>
                  </w:tcBorders>
                  <w:noWrap w:val="0"/>
                  <w:vAlign w:val="center"/>
                </w:tcPr>
                <w:p w14:paraId="2C6ADB32">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生产车间</w:t>
                  </w:r>
                </w:p>
              </w:tc>
              <w:tc>
                <w:tcPr>
                  <w:tcW w:w="1287" w:type="pct"/>
                  <w:vMerge w:val="restart"/>
                  <w:tcBorders>
                    <w:tl2br w:val="nil"/>
                    <w:tr2bl w:val="nil"/>
                  </w:tcBorders>
                  <w:shd w:val="clear" w:color="auto" w:fill="auto"/>
                  <w:noWrap w:val="0"/>
                  <w:vAlign w:val="center"/>
                </w:tcPr>
                <w:p w14:paraId="2527993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橡胶防护蜡生产线1条</w:t>
                  </w:r>
                  <w:r>
                    <w:rPr>
                      <w:rFonts w:hint="eastAsia" w:cs="Times New Roman"/>
                      <w:color w:val="auto"/>
                      <w:szCs w:val="21"/>
                      <w:highlight w:val="none"/>
                      <w:lang w:eastAsia="zh-CN"/>
                    </w:rPr>
                    <w:t>，</w:t>
                  </w:r>
                  <w:r>
                    <w:rPr>
                      <w:rFonts w:hint="eastAsia" w:cs="Times New Roman"/>
                      <w:color w:val="auto"/>
                      <w:szCs w:val="21"/>
                      <w:highlight w:val="none"/>
                      <w:lang w:val="en-US" w:eastAsia="zh-CN"/>
                    </w:rPr>
                    <w:t>产能</w:t>
                  </w:r>
                  <w:r>
                    <w:rPr>
                      <w:rFonts w:hint="default" w:ascii="Times New Roman" w:hAnsi="Times New Roman" w:cs="Times New Roman"/>
                      <w:color w:val="auto"/>
                      <w:szCs w:val="21"/>
                      <w:highlight w:val="none"/>
                    </w:rPr>
                    <w:t>1万t/a</w:t>
                  </w:r>
                </w:p>
              </w:tc>
              <w:tc>
                <w:tcPr>
                  <w:tcW w:w="1215" w:type="pct"/>
                  <w:tcBorders>
                    <w:tl2br w:val="nil"/>
                    <w:tr2bl w:val="nil"/>
                  </w:tcBorders>
                  <w:shd w:val="clear" w:color="auto" w:fill="auto"/>
                  <w:noWrap w:val="0"/>
                  <w:vAlign w:val="center"/>
                </w:tcPr>
                <w:p w14:paraId="5F9022FE">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不改变产品种类及产能</w:t>
                  </w:r>
                </w:p>
              </w:tc>
              <w:tc>
                <w:tcPr>
                  <w:tcW w:w="1101" w:type="pct"/>
                  <w:tcBorders>
                    <w:tl2br w:val="nil"/>
                    <w:tr2bl w:val="nil"/>
                  </w:tcBorders>
                  <w:shd w:val="clear" w:color="auto" w:fill="auto"/>
                  <w:noWrap w:val="0"/>
                  <w:vAlign w:val="center"/>
                </w:tcPr>
                <w:p w14:paraId="0584FEDD">
                  <w:pPr>
                    <w:pStyle w:val="8"/>
                    <w:keepNext w:val="0"/>
                    <w:keepLines w:val="0"/>
                    <w:suppressLineNumbers w:val="0"/>
                    <w:adjustRightInd w:val="0"/>
                    <w:snapToGrid w:val="0"/>
                    <w:spacing w:before="0" w:beforeAutospacing="0" w:after="0" w:afterAutospacing="0" w:line="240" w:lineRule="exact"/>
                    <w:ind w:left="0" w:right="0" w:firstLine="0" w:firstLineChars="0"/>
                    <w:jc w:val="both"/>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橡胶防护蜡生产线1条</w:t>
                  </w:r>
                  <w:r>
                    <w:rPr>
                      <w:rFonts w:hint="eastAsia" w:cs="Times New Roman"/>
                      <w:color w:val="auto"/>
                      <w:szCs w:val="21"/>
                      <w:highlight w:val="none"/>
                      <w:lang w:eastAsia="zh-CN"/>
                    </w:rPr>
                    <w:t>，</w:t>
                  </w:r>
                  <w:r>
                    <w:rPr>
                      <w:rFonts w:hint="eastAsia" w:cs="Times New Roman"/>
                      <w:color w:val="auto"/>
                      <w:szCs w:val="21"/>
                      <w:highlight w:val="none"/>
                      <w:lang w:val="en-US" w:eastAsia="zh-CN"/>
                    </w:rPr>
                    <w:t>产能</w:t>
                  </w:r>
                  <w:r>
                    <w:rPr>
                      <w:rFonts w:hint="default" w:ascii="Times New Roman" w:hAnsi="Times New Roman" w:cs="Times New Roman"/>
                      <w:color w:val="auto"/>
                      <w:szCs w:val="21"/>
                      <w:highlight w:val="none"/>
                    </w:rPr>
                    <w:t>1万t/a</w:t>
                  </w:r>
                </w:p>
              </w:tc>
              <w:tc>
                <w:tcPr>
                  <w:tcW w:w="330" w:type="pct"/>
                  <w:tcBorders>
                    <w:tl2br w:val="nil"/>
                    <w:tr2bl w:val="nil"/>
                  </w:tcBorders>
                  <w:shd w:val="clear" w:color="auto" w:fill="auto"/>
                  <w:noWrap w:val="0"/>
                  <w:vAlign w:val="center"/>
                </w:tcPr>
                <w:p w14:paraId="42C41AF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原有</w:t>
                  </w:r>
                </w:p>
              </w:tc>
            </w:tr>
            <w:tr w14:paraId="29E0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exact"/>
                <w:jc w:val="center"/>
              </w:trPr>
              <w:tc>
                <w:tcPr>
                  <w:tcW w:w="524" w:type="pct"/>
                  <w:vMerge w:val="continue"/>
                  <w:tcBorders>
                    <w:tl2br w:val="nil"/>
                    <w:tr2bl w:val="nil"/>
                  </w:tcBorders>
                  <w:noWrap w:val="0"/>
                  <w:vAlign w:val="center"/>
                </w:tcPr>
                <w:p w14:paraId="655B64E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vMerge w:val="continue"/>
                  <w:tcBorders>
                    <w:tl2br w:val="nil"/>
                    <w:tr2bl w:val="nil"/>
                  </w:tcBorders>
                  <w:noWrap w:val="0"/>
                  <w:vAlign w:val="center"/>
                </w:tcPr>
                <w:p w14:paraId="6EE82A49">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1287" w:type="pct"/>
                  <w:vMerge w:val="continue"/>
                  <w:tcBorders>
                    <w:tl2br w:val="nil"/>
                    <w:tr2bl w:val="nil"/>
                  </w:tcBorders>
                  <w:shd w:val="clear" w:color="auto" w:fill="auto"/>
                  <w:noWrap w:val="0"/>
                  <w:vAlign w:val="center"/>
                </w:tcPr>
                <w:p w14:paraId="0CC3A47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Cs w:val="21"/>
                      <w:highlight w:val="none"/>
                      <w:lang w:val="en-US" w:eastAsia="zh-CN"/>
                    </w:rPr>
                  </w:pPr>
                </w:p>
              </w:tc>
              <w:tc>
                <w:tcPr>
                  <w:tcW w:w="1215" w:type="pct"/>
                  <w:tcBorders>
                    <w:tl2br w:val="nil"/>
                    <w:tr2bl w:val="nil"/>
                  </w:tcBorders>
                  <w:shd w:val="clear" w:color="auto" w:fill="auto"/>
                  <w:noWrap w:val="0"/>
                  <w:vAlign w:val="center"/>
                </w:tcPr>
                <w:p w14:paraId="452A09E3">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原料全部为液体石蜡、液体微晶蜡；新增造粒机3台、灌装机3台</w:t>
                  </w:r>
                </w:p>
              </w:tc>
              <w:tc>
                <w:tcPr>
                  <w:tcW w:w="1101" w:type="pct"/>
                  <w:tcBorders>
                    <w:tl2br w:val="nil"/>
                    <w:tr2bl w:val="nil"/>
                  </w:tcBorders>
                  <w:shd w:val="clear" w:color="auto" w:fill="auto"/>
                  <w:noWrap w:val="0"/>
                  <w:vAlign w:val="center"/>
                </w:tcPr>
                <w:p w14:paraId="7588D25F">
                  <w:pPr>
                    <w:pStyle w:val="8"/>
                    <w:keepNext w:val="0"/>
                    <w:keepLines w:val="0"/>
                    <w:suppressLineNumbers w:val="0"/>
                    <w:adjustRightInd w:val="0"/>
                    <w:snapToGrid w:val="0"/>
                    <w:spacing w:before="0" w:beforeAutospacing="0" w:after="0" w:afterAutospacing="0" w:line="240" w:lineRule="exact"/>
                    <w:ind w:left="0" w:right="0" w:firstLine="0" w:firstLineChars="0"/>
                    <w:jc w:val="both"/>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原料全部为液体石蜡、液体微晶蜡；新增造粒机3台、灌装机3台</w:t>
                  </w:r>
                </w:p>
              </w:tc>
              <w:tc>
                <w:tcPr>
                  <w:tcW w:w="330" w:type="pct"/>
                  <w:tcBorders>
                    <w:tl2br w:val="nil"/>
                    <w:tr2bl w:val="nil"/>
                  </w:tcBorders>
                  <w:shd w:val="clear" w:color="auto" w:fill="auto"/>
                  <w:noWrap w:val="0"/>
                  <w:vAlign w:val="center"/>
                </w:tcPr>
                <w:p w14:paraId="277CE33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新建</w:t>
                  </w:r>
                </w:p>
              </w:tc>
            </w:tr>
            <w:tr w14:paraId="4BCC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524" w:type="pct"/>
                  <w:vMerge w:val="continue"/>
                  <w:tcBorders>
                    <w:tl2br w:val="nil"/>
                    <w:tr2bl w:val="nil"/>
                  </w:tcBorders>
                  <w:noWrap w:val="0"/>
                  <w:vAlign w:val="center"/>
                </w:tcPr>
                <w:p w14:paraId="7E15EF30">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541" w:type="pct"/>
                  <w:vMerge w:val="continue"/>
                  <w:tcBorders>
                    <w:tl2br w:val="nil"/>
                    <w:tr2bl w:val="nil"/>
                  </w:tcBorders>
                  <w:noWrap w:val="0"/>
                  <w:vAlign w:val="center"/>
                </w:tcPr>
                <w:p w14:paraId="5D45732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1287" w:type="pct"/>
                  <w:vMerge w:val="restart"/>
                  <w:tcBorders>
                    <w:tl2br w:val="nil"/>
                    <w:tr2bl w:val="nil"/>
                  </w:tcBorders>
                  <w:shd w:val="clear" w:color="auto" w:fill="auto"/>
                  <w:noWrap w:val="0"/>
                  <w:vAlign w:val="center"/>
                </w:tcPr>
                <w:p w14:paraId="3FB642B5">
                  <w:pPr>
                    <w:pStyle w:val="8"/>
                    <w:keepNext w:val="0"/>
                    <w:keepLines w:val="0"/>
                    <w:suppressLineNumbers w:val="0"/>
                    <w:adjustRightInd w:val="0"/>
                    <w:snapToGrid w:val="0"/>
                    <w:spacing w:before="0" w:beforeAutospacing="0" w:after="0" w:afterAutospacing="0" w:line="240" w:lineRule="exact"/>
                    <w:ind w:left="0" w:leftChars="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包装蜡生产线1条</w:t>
                  </w:r>
                  <w:r>
                    <w:rPr>
                      <w:rFonts w:hint="eastAsia" w:cs="Times New Roman"/>
                      <w:color w:val="auto"/>
                      <w:szCs w:val="21"/>
                      <w:highlight w:val="none"/>
                      <w:lang w:eastAsia="zh-CN"/>
                    </w:rPr>
                    <w:t>，</w:t>
                  </w:r>
                  <w:r>
                    <w:rPr>
                      <w:rFonts w:hint="eastAsia" w:cs="Times New Roman"/>
                      <w:color w:val="auto"/>
                      <w:szCs w:val="21"/>
                      <w:highlight w:val="none"/>
                      <w:lang w:val="en-US" w:eastAsia="zh-CN"/>
                    </w:rPr>
                    <w:t>产能</w:t>
                  </w:r>
                  <w:r>
                    <w:rPr>
                      <w:rFonts w:hint="default" w:ascii="Times New Roman" w:hAnsi="Times New Roman" w:cs="Times New Roman"/>
                      <w:color w:val="auto"/>
                      <w:szCs w:val="21"/>
                      <w:highlight w:val="none"/>
                    </w:rPr>
                    <w:t>2万t/a</w:t>
                  </w:r>
                </w:p>
              </w:tc>
              <w:tc>
                <w:tcPr>
                  <w:tcW w:w="1215" w:type="pct"/>
                  <w:tcBorders>
                    <w:tl2br w:val="nil"/>
                    <w:tr2bl w:val="nil"/>
                  </w:tcBorders>
                  <w:shd w:val="clear" w:color="auto" w:fill="auto"/>
                  <w:noWrap w:val="0"/>
                  <w:vAlign w:val="center"/>
                </w:tcPr>
                <w:p w14:paraId="79C00088">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不改变产品种类及产能</w:t>
                  </w:r>
                </w:p>
              </w:tc>
              <w:tc>
                <w:tcPr>
                  <w:tcW w:w="1101" w:type="pct"/>
                  <w:tcBorders>
                    <w:tl2br w:val="nil"/>
                    <w:tr2bl w:val="nil"/>
                  </w:tcBorders>
                  <w:shd w:val="clear" w:color="auto" w:fill="auto"/>
                  <w:noWrap w:val="0"/>
                  <w:vAlign w:val="center"/>
                </w:tcPr>
                <w:p w14:paraId="3B43D76E">
                  <w:pPr>
                    <w:pStyle w:val="8"/>
                    <w:keepNext w:val="0"/>
                    <w:keepLines w:val="0"/>
                    <w:suppressLineNumbers w:val="0"/>
                    <w:adjustRightInd w:val="0"/>
                    <w:snapToGrid w:val="0"/>
                    <w:spacing w:before="0" w:beforeAutospacing="0" w:after="0" w:afterAutospacing="0" w:line="240" w:lineRule="exact"/>
                    <w:ind w:left="0" w:leftChars="0" w:right="0" w:firstLine="0" w:firstLineChars="0"/>
                    <w:jc w:val="both"/>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包装蜡生产线1条</w:t>
                  </w:r>
                  <w:r>
                    <w:rPr>
                      <w:rFonts w:hint="eastAsia" w:cs="Times New Roman"/>
                      <w:color w:val="auto"/>
                      <w:szCs w:val="21"/>
                      <w:highlight w:val="none"/>
                      <w:lang w:eastAsia="zh-CN"/>
                    </w:rPr>
                    <w:t>，</w:t>
                  </w:r>
                  <w:r>
                    <w:rPr>
                      <w:rFonts w:hint="eastAsia" w:cs="Times New Roman"/>
                      <w:color w:val="auto"/>
                      <w:szCs w:val="21"/>
                      <w:highlight w:val="none"/>
                      <w:lang w:val="en-US" w:eastAsia="zh-CN"/>
                    </w:rPr>
                    <w:t>产能</w:t>
                  </w:r>
                  <w:r>
                    <w:rPr>
                      <w:rFonts w:hint="default" w:ascii="Times New Roman" w:hAnsi="Times New Roman" w:cs="Times New Roman"/>
                      <w:color w:val="auto"/>
                      <w:szCs w:val="21"/>
                      <w:highlight w:val="none"/>
                    </w:rPr>
                    <w:t>2万t/a</w:t>
                  </w:r>
                </w:p>
              </w:tc>
              <w:tc>
                <w:tcPr>
                  <w:tcW w:w="330" w:type="pct"/>
                  <w:tcBorders>
                    <w:tl2br w:val="nil"/>
                    <w:tr2bl w:val="nil"/>
                  </w:tcBorders>
                  <w:shd w:val="clear" w:color="auto" w:fill="auto"/>
                  <w:noWrap w:val="0"/>
                  <w:vAlign w:val="center"/>
                </w:tcPr>
                <w:p w14:paraId="623D1988">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原有</w:t>
                  </w:r>
                </w:p>
              </w:tc>
            </w:tr>
            <w:tr w14:paraId="0188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exact"/>
                <w:jc w:val="center"/>
              </w:trPr>
              <w:tc>
                <w:tcPr>
                  <w:tcW w:w="524" w:type="pct"/>
                  <w:vMerge w:val="continue"/>
                  <w:tcBorders>
                    <w:tl2br w:val="nil"/>
                    <w:tr2bl w:val="nil"/>
                  </w:tcBorders>
                  <w:noWrap w:val="0"/>
                  <w:vAlign w:val="center"/>
                </w:tcPr>
                <w:p w14:paraId="730C1807">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541" w:type="pct"/>
                  <w:vMerge w:val="continue"/>
                  <w:tcBorders>
                    <w:tl2br w:val="nil"/>
                    <w:tr2bl w:val="nil"/>
                  </w:tcBorders>
                  <w:noWrap w:val="0"/>
                  <w:vAlign w:val="center"/>
                </w:tcPr>
                <w:p w14:paraId="1D141BD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1287" w:type="pct"/>
                  <w:vMerge w:val="continue"/>
                  <w:tcBorders>
                    <w:tl2br w:val="nil"/>
                    <w:tr2bl w:val="nil"/>
                  </w:tcBorders>
                  <w:shd w:val="clear" w:color="auto" w:fill="auto"/>
                  <w:noWrap w:val="0"/>
                  <w:vAlign w:val="center"/>
                </w:tcPr>
                <w:p w14:paraId="35110F15">
                  <w:pPr>
                    <w:pStyle w:val="8"/>
                    <w:keepNext w:val="0"/>
                    <w:keepLines w:val="0"/>
                    <w:suppressLineNumbers w:val="0"/>
                    <w:adjustRightInd w:val="0"/>
                    <w:snapToGrid w:val="0"/>
                    <w:spacing w:before="0" w:beforeAutospacing="0" w:after="0" w:afterAutospacing="0" w:line="240" w:lineRule="exact"/>
                    <w:ind w:left="0" w:leftChars="0" w:right="0" w:firstLine="0" w:firstLineChars="0"/>
                    <w:jc w:val="center"/>
                    <w:rPr>
                      <w:rFonts w:hint="default" w:ascii="Times New Roman" w:hAnsi="Times New Roman" w:cs="Times New Roman"/>
                      <w:color w:val="auto"/>
                      <w:szCs w:val="21"/>
                      <w:highlight w:val="none"/>
                    </w:rPr>
                  </w:pPr>
                </w:p>
              </w:tc>
              <w:tc>
                <w:tcPr>
                  <w:tcW w:w="1215" w:type="pct"/>
                  <w:tcBorders>
                    <w:tl2br w:val="nil"/>
                    <w:tr2bl w:val="nil"/>
                  </w:tcBorders>
                  <w:shd w:val="clear" w:color="auto" w:fill="auto"/>
                  <w:noWrap w:val="0"/>
                  <w:vAlign w:val="center"/>
                </w:tcPr>
                <w:p w14:paraId="404B6F3D">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原料石蜡：10000t/a固体石蜡，7990t/a液体；</w:t>
                  </w:r>
                </w:p>
              </w:tc>
              <w:tc>
                <w:tcPr>
                  <w:tcW w:w="1101" w:type="pct"/>
                  <w:tcBorders>
                    <w:tl2br w:val="nil"/>
                    <w:tr2bl w:val="nil"/>
                  </w:tcBorders>
                  <w:shd w:val="clear" w:color="auto" w:fill="auto"/>
                  <w:noWrap w:val="0"/>
                  <w:vAlign w:val="center"/>
                </w:tcPr>
                <w:p w14:paraId="2FBADBE7">
                  <w:pPr>
                    <w:pStyle w:val="8"/>
                    <w:keepNext w:val="0"/>
                    <w:keepLines w:val="0"/>
                    <w:suppressLineNumbers w:val="0"/>
                    <w:adjustRightInd w:val="0"/>
                    <w:snapToGrid w:val="0"/>
                    <w:spacing w:before="0" w:beforeAutospacing="0" w:after="0" w:afterAutospacing="0" w:line="240" w:lineRule="exact"/>
                    <w:ind w:left="0" w:leftChars="0" w:right="0" w:firstLine="0" w:firstLineChars="0"/>
                    <w:jc w:val="both"/>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原料石蜡：10000t/a固体石蜡，7990t/a液体；</w:t>
                  </w:r>
                </w:p>
              </w:tc>
              <w:tc>
                <w:tcPr>
                  <w:tcW w:w="330" w:type="pct"/>
                  <w:tcBorders>
                    <w:tl2br w:val="nil"/>
                    <w:tr2bl w:val="nil"/>
                  </w:tcBorders>
                  <w:shd w:val="clear" w:color="auto" w:fill="auto"/>
                  <w:noWrap w:val="0"/>
                  <w:vAlign w:val="center"/>
                </w:tcPr>
                <w:p w14:paraId="6352FD9D">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新建</w:t>
                  </w:r>
                </w:p>
              </w:tc>
            </w:tr>
            <w:tr w14:paraId="198D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exact"/>
                <w:jc w:val="center"/>
              </w:trPr>
              <w:tc>
                <w:tcPr>
                  <w:tcW w:w="524" w:type="pct"/>
                  <w:vMerge w:val="continue"/>
                  <w:tcBorders>
                    <w:tl2br w:val="nil"/>
                    <w:tr2bl w:val="nil"/>
                  </w:tcBorders>
                  <w:noWrap w:val="0"/>
                  <w:vAlign w:val="center"/>
                </w:tcPr>
                <w:p w14:paraId="1105B79A">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541" w:type="pct"/>
                  <w:vMerge w:val="continue"/>
                  <w:tcBorders>
                    <w:tl2br w:val="nil"/>
                    <w:tr2bl w:val="nil"/>
                  </w:tcBorders>
                  <w:noWrap w:val="0"/>
                  <w:vAlign w:val="center"/>
                </w:tcPr>
                <w:p w14:paraId="354FC3F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1287" w:type="pct"/>
                  <w:vMerge w:val="restart"/>
                  <w:tcBorders>
                    <w:tl2br w:val="nil"/>
                    <w:tr2bl w:val="nil"/>
                  </w:tcBorders>
                  <w:shd w:val="clear" w:color="auto" w:fill="auto"/>
                  <w:noWrap w:val="0"/>
                  <w:vAlign w:val="center"/>
                </w:tcPr>
                <w:p w14:paraId="71847020">
                  <w:pPr>
                    <w:pStyle w:val="8"/>
                    <w:keepNext w:val="0"/>
                    <w:keepLines w:val="0"/>
                    <w:suppressLineNumbers w:val="0"/>
                    <w:adjustRightInd w:val="0"/>
                    <w:snapToGrid w:val="0"/>
                    <w:spacing w:before="0" w:beforeAutospacing="0" w:after="0" w:afterAutospacing="0" w:line="240" w:lineRule="exact"/>
                    <w:ind w:left="0" w:leftChars="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凡士林生产线1条</w:t>
                  </w:r>
                  <w:r>
                    <w:rPr>
                      <w:rFonts w:hint="eastAsia" w:cs="Times New Roman"/>
                      <w:color w:val="auto"/>
                      <w:szCs w:val="21"/>
                      <w:highlight w:val="none"/>
                      <w:lang w:eastAsia="zh-CN"/>
                    </w:rPr>
                    <w:t>，</w:t>
                  </w:r>
                  <w:r>
                    <w:rPr>
                      <w:rFonts w:hint="eastAsia" w:cs="Times New Roman"/>
                      <w:color w:val="auto"/>
                      <w:szCs w:val="21"/>
                      <w:highlight w:val="none"/>
                      <w:lang w:val="en-US" w:eastAsia="zh-CN"/>
                    </w:rPr>
                    <w:t>产能</w:t>
                  </w:r>
                  <w:r>
                    <w:rPr>
                      <w:rFonts w:hint="default" w:ascii="Times New Roman" w:hAnsi="Times New Roman" w:cs="Times New Roman"/>
                      <w:color w:val="auto"/>
                      <w:szCs w:val="21"/>
                      <w:highlight w:val="none"/>
                    </w:rPr>
                    <w:t>1万t/a</w:t>
                  </w:r>
                </w:p>
              </w:tc>
              <w:tc>
                <w:tcPr>
                  <w:tcW w:w="1215" w:type="pct"/>
                  <w:tcBorders>
                    <w:tl2br w:val="nil"/>
                    <w:tr2bl w:val="nil"/>
                  </w:tcBorders>
                  <w:shd w:val="clear" w:color="auto" w:fill="auto"/>
                  <w:noWrap w:val="0"/>
                  <w:vAlign w:val="center"/>
                </w:tcPr>
                <w:p w14:paraId="1F431F15">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不改变产品种类及产能</w:t>
                  </w:r>
                </w:p>
              </w:tc>
              <w:tc>
                <w:tcPr>
                  <w:tcW w:w="1101" w:type="pct"/>
                  <w:tcBorders>
                    <w:tl2br w:val="nil"/>
                    <w:tr2bl w:val="nil"/>
                  </w:tcBorders>
                  <w:shd w:val="clear" w:color="auto" w:fill="auto"/>
                  <w:noWrap w:val="0"/>
                  <w:vAlign w:val="center"/>
                </w:tcPr>
                <w:p w14:paraId="0921C6E8">
                  <w:pPr>
                    <w:pStyle w:val="8"/>
                    <w:keepNext w:val="0"/>
                    <w:keepLines w:val="0"/>
                    <w:suppressLineNumbers w:val="0"/>
                    <w:adjustRightInd w:val="0"/>
                    <w:snapToGrid w:val="0"/>
                    <w:spacing w:before="0" w:beforeAutospacing="0" w:after="0" w:afterAutospacing="0" w:line="240" w:lineRule="exact"/>
                    <w:ind w:left="0" w:leftChars="0" w:right="0" w:firstLine="0" w:firstLineChars="0"/>
                    <w:jc w:val="both"/>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凡士林生产线1条</w:t>
                  </w:r>
                  <w:r>
                    <w:rPr>
                      <w:rFonts w:hint="eastAsia" w:cs="Times New Roman"/>
                      <w:color w:val="auto"/>
                      <w:szCs w:val="21"/>
                      <w:highlight w:val="none"/>
                      <w:lang w:eastAsia="zh-CN"/>
                    </w:rPr>
                    <w:t>，</w:t>
                  </w:r>
                  <w:r>
                    <w:rPr>
                      <w:rFonts w:hint="eastAsia" w:cs="Times New Roman"/>
                      <w:color w:val="auto"/>
                      <w:szCs w:val="21"/>
                      <w:highlight w:val="none"/>
                      <w:lang w:val="en-US" w:eastAsia="zh-CN"/>
                    </w:rPr>
                    <w:t>产能</w:t>
                  </w:r>
                  <w:r>
                    <w:rPr>
                      <w:rFonts w:hint="default" w:ascii="Times New Roman" w:hAnsi="Times New Roman" w:cs="Times New Roman"/>
                      <w:color w:val="auto"/>
                      <w:szCs w:val="21"/>
                      <w:highlight w:val="none"/>
                    </w:rPr>
                    <w:t>1万t/a</w:t>
                  </w:r>
                </w:p>
              </w:tc>
              <w:tc>
                <w:tcPr>
                  <w:tcW w:w="330" w:type="pct"/>
                  <w:tcBorders>
                    <w:tl2br w:val="nil"/>
                    <w:tr2bl w:val="nil"/>
                  </w:tcBorders>
                  <w:shd w:val="clear" w:color="auto" w:fill="auto"/>
                  <w:noWrap w:val="0"/>
                  <w:vAlign w:val="center"/>
                </w:tcPr>
                <w:p w14:paraId="03768037">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原有</w:t>
                  </w:r>
                </w:p>
              </w:tc>
            </w:tr>
            <w:tr w14:paraId="0A88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exact"/>
                <w:jc w:val="center"/>
              </w:trPr>
              <w:tc>
                <w:tcPr>
                  <w:tcW w:w="524" w:type="pct"/>
                  <w:vMerge w:val="continue"/>
                  <w:tcBorders>
                    <w:tl2br w:val="nil"/>
                    <w:tr2bl w:val="nil"/>
                  </w:tcBorders>
                  <w:noWrap w:val="0"/>
                  <w:vAlign w:val="center"/>
                </w:tcPr>
                <w:p w14:paraId="2FC4FC80">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541" w:type="pct"/>
                  <w:vMerge w:val="continue"/>
                  <w:tcBorders>
                    <w:tl2br w:val="nil"/>
                    <w:tr2bl w:val="nil"/>
                  </w:tcBorders>
                  <w:noWrap w:val="0"/>
                  <w:vAlign w:val="center"/>
                </w:tcPr>
                <w:p w14:paraId="62628660">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1287" w:type="pct"/>
                  <w:vMerge w:val="continue"/>
                  <w:tcBorders>
                    <w:tl2br w:val="nil"/>
                    <w:tr2bl w:val="nil"/>
                  </w:tcBorders>
                  <w:shd w:val="clear" w:color="auto" w:fill="auto"/>
                  <w:noWrap w:val="0"/>
                  <w:vAlign w:val="center"/>
                </w:tcPr>
                <w:p w14:paraId="2DA4BDB7">
                  <w:pPr>
                    <w:pStyle w:val="8"/>
                    <w:keepNext w:val="0"/>
                    <w:keepLines w:val="0"/>
                    <w:suppressLineNumbers w:val="0"/>
                    <w:adjustRightInd w:val="0"/>
                    <w:snapToGrid w:val="0"/>
                    <w:spacing w:before="0" w:beforeAutospacing="0" w:after="0" w:afterAutospacing="0" w:line="240" w:lineRule="exact"/>
                    <w:ind w:left="0" w:leftChars="0" w:right="0" w:firstLine="0" w:firstLineChars="0"/>
                    <w:jc w:val="center"/>
                    <w:rPr>
                      <w:rFonts w:hint="default" w:ascii="Times New Roman" w:hAnsi="Times New Roman" w:cs="Times New Roman"/>
                      <w:color w:val="auto"/>
                      <w:szCs w:val="21"/>
                      <w:highlight w:val="none"/>
                    </w:rPr>
                  </w:pPr>
                </w:p>
              </w:tc>
              <w:tc>
                <w:tcPr>
                  <w:tcW w:w="1215" w:type="pct"/>
                  <w:tcBorders>
                    <w:tl2br w:val="nil"/>
                    <w:tr2bl w:val="nil"/>
                  </w:tcBorders>
                  <w:shd w:val="clear" w:color="auto" w:fill="auto"/>
                  <w:noWrap w:val="0"/>
                  <w:vAlign w:val="center"/>
                </w:tcPr>
                <w:p w14:paraId="781457F5">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原料石蜡：4000t/a固体石蜡，3010t/a液体；</w:t>
                  </w:r>
                </w:p>
              </w:tc>
              <w:tc>
                <w:tcPr>
                  <w:tcW w:w="1101" w:type="pct"/>
                  <w:tcBorders>
                    <w:tl2br w:val="nil"/>
                    <w:tr2bl w:val="nil"/>
                  </w:tcBorders>
                  <w:shd w:val="clear" w:color="auto" w:fill="auto"/>
                  <w:noWrap w:val="0"/>
                  <w:vAlign w:val="center"/>
                </w:tcPr>
                <w:p w14:paraId="1C8D45CB">
                  <w:pPr>
                    <w:pStyle w:val="8"/>
                    <w:keepNext w:val="0"/>
                    <w:keepLines w:val="0"/>
                    <w:suppressLineNumbers w:val="0"/>
                    <w:adjustRightInd w:val="0"/>
                    <w:snapToGrid w:val="0"/>
                    <w:spacing w:before="0" w:beforeAutospacing="0" w:after="0" w:afterAutospacing="0" w:line="240" w:lineRule="exact"/>
                    <w:ind w:left="0" w:leftChars="0" w:right="0" w:firstLine="0" w:firstLineChars="0"/>
                    <w:jc w:val="both"/>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原料石蜡：4000t/a固体石蜡，3010t/a液体；</w:t>
                  </w:r>
                </w:p>
              </w:tc>
              <w:tc>
                <w:tcPr>
                  <w:tcW w:w="330" w:type="pct"/>
                  <w:tcBorders>
                    <w:tl2br w:val="nil"/>
                    <w:tr2bl w:val="nil"/>
                  </w:tcBorders>
                  <w:shd w:val="clear" w:color="auto" w:fill="auto"/>
                  <w:noWrap w:val="0"/>
                  <w:vAlign w:val="center"/>
                </w:tcPr>
                <w:p w14:paraId="1ACA53DF">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新建</w:t>
                  </w:r>
                </w:p>
              </w:tc>
            </w:tr>
            <w:tr w14:paraId="2161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exact"/>
                <w:jc w:val="center"/>
              </w:trPr>
              <w:tc>
                <w:tcPr>
                  <w:tcW w:w="524" w:type="pct"/>
                  <w:vMerge w:val="restart"/>
                  <w:tcBorders>
                    <w:tl2br w:val="nil"/>
                    <w:tr2bl w:val="nil"/>
                  </w:tcBorders>
                  <w:noWrap w:val="0"/>
                  <w:vAlign w:val="center"/>
                </w:tcPr>
                <w:p w14:paraId="26189FB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储运</w:t>
                  </w:r>
                </w:p>
                <w:p w14:paraId="4DC929D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541" w:type="pct"/>
                  <w:tcBorders>
                    <w:tl2br w:val="nil"/>
                    <w:tr2bl w:val="nil"/>
                  </w:tcBorders>
                  <w:noWrap w:val="0"/>
                  <w:vAlign w:val="center"/>
                </w:tcPr>
                <w:p w14:paraId="5FBABF5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罐区A</w:t>
                  </w:r>
                </w:p>
              </w:tc>
              <w:tc>
                <w:tcPr>
                  <w:tcW w:w="1287" w:type="pct"/>
                  <w:tcBorders>
                    <w:tl2br w:val="nil"/>
                    <w:tr2bl w:val="nil"/>
                  </w:tcBorders>
                  <w:noWrap w:val="0"/>
                  <w:vAlign w:val="center"/>
                </w:tcPr>
                <w:p w14:paraId="4AF34DE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25座拱顶/立式储罐，总容积4540m</w:t>
                  </w:r>
                  <w:r>
                    <w:rPr>
                      <w:rFonts w:hint="default" w:ascii="Times New Roman" w:hAnsi="Times New Roman" w:cs="Times New Roman"/>
                      <w:color w:val="auto"/>
                      <w:szCs w:val="21"/>
                      <w:highlight w:val="none"/>
                      <w:vertAlign w:val="superscript"/>
                    </w:rPr>
                    <w:t>3</w:t>
                  </w:r>
                </w:p>
              </w:tc>
              <w:tc>
                <w:tcPr>
                  <w:tcW w:w="1215" w:type="pct"/>
                  <w:tcBorders>
                    <w:tl2br w:val="nil"/>
                    <w:tr2bl w:val="nil"/>
                  </w:tcBorders>
                  <w:shd w:val="clear" w:color="auto" w:fill="auto"/>
                  <w:noWrap w:val="0"/>
                  <w:vAlign w:val="center"/>
                </w:tcPr>
                <w:p w14:paraId="3CEBC364">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w:t>
                  </w:r>
                </w:p>
              </w:tc>
              <w:tc>
                <w:tcPr>
                  <w:tcW w:w="1101" w:type="pct"/>
                  <w:tcBorders>
                    <w:tl2br w:val="nil"/>
                    <w:tr2bl w:val="nil"/>
                  </w:tcBorders>
                  <w:shd w:val="clear" w:color="auto" w:fill="auto"/>
                  <w:noWrap w:val="0"/>
                  <w:vAlign w:val="center"/>
                </w:tcPr>
                <w:p w14:paraId="5395FC08">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25座拱顶/立式储罐，总容积4540m</w:t>
                  </w:r>
                  <w:r>
                    <w:rPr>
                      <w:rFonts w:hint="default" w:ascii="Times New Roman" w:hAnsi="Times New Roman" w:cs="Times New Roman"/>
                      <w:color w:val="auto"/>
                      <w:szCs w:val="21"/>
                      <w:highlight w:val="none"/>
                      <w:vertAlign w:val="superscript"/>
                    </w:rPr>
                    <w:t>3</w:t>
                  </w:r>
                </w:p>
              </w:tc>
              <w:tc>
                <w:tcPr>
                  <w:tcW w:w="330" w:type="pct"/>
                  <w:tcBorders>
                    <w:tl2br w:val="nil"/>
                    <w:tr2bl w:val="nil"/>
                  </w:tcBorders>
                  <w:shd w:val="clear" w:color="auto" w:fill="auto"/>
                  <w:noWrap w:val="0"/>
                  <w:vAlign w:val="center"/>
                </w:tcPr>
                <w:p w14:paraId="033C92AB">
                  <w:pPr>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原有</w:t>
                  </w:r>
                </w:p>
              </w:tc>
            </w:tr>
            <w:tr w14:paraId="1D4E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exact"/>
                <w:jc w:val="center"/>
              </w:trPr>
              <w:tc>
                <w:tcPr>
                  <w:tcW w:w="524" w:type="pct"/>
                  <w:vMerge w:val="continue"/>
                  <w:tcBorders>
                    <w:tl2br w:val="nil"/>
                    <w:tr2bl w:val="nil"/>
                  </w:tcBorders>
                  <w:noWrap w:val="0"/>
                  <w:vAlign w:val="center"/>
                </w:tcPr>
                <w:p w14:paraId="6D6CE8C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noWrap w:val="0"/>
                  <w:vAlign w:val="center"/>
                </w:tcPr>
                <w:p w14:paraId="2AA10759">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罐区B</w:t>
                  </w:r>
                </w:p>
                <w:p w14:paraId="669F780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含</w:t>
                  </w:r>
                  <w:r>
                    <w:rPr>
                      <w:rFonts w:hint="default" w:ascii="Times New Roman" w:hAnsi="Times New Roman" w:cs="Times New Roman"/>
                      <w:color w:val="auto"/>
                      <w:szCs w:val="21"/>
                      <w:highlight w:val="none"/>
                    </w:rPr>
                    <w:t>泵房）</w:t>
                  </w:r>
                </w:p>
              </w:tc>
              <w:tc>
                <w:tcPr>
                  <w:tcW w:w="1287" w:type="pct"/>
                  <w:tcBorders>
                    <w:tl2br w:val="nil"/>
                    <w:tr2bl w:val="nil"/>
                  </w:tcBorders>
                  <w:noWrap w:val="0"/>
                  <w:vAlign w:val="center"/>
                </w:tcPr>
                <w:p w14:paraId="6E9EC83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11座拱顶储罐，总容积25900m</w:t>
                  </w:r>
                  <w:r>
                    <w:rPr>
                      <w:rFonts w:hint="default" w:ascii="Times New Roman" w:hAnsi="Times New Roman" w:cs="Times New Roman"/>
                      <w:color w:val="auto"/>
                      <w:szCs w:val="21"/>
                      <w:highlight w:val="none"/>
                      <w:vertAlign w:val="superscript"/>
                    </w:rPr>
                    <w:t>3</w:t>
                  </w:r>
                </w:p>
              </w:tc>
              <w:tc>
                <w:tcPr>
                  <w:tcW w:w="1215" w:type="pct"/>
                  <w:tcBorders>
                    <w:tl2br w:val="nil"/>
                    <w:tr2bl w:val="nil"/>
                  </w:tcBorders>
                  <w:shd w:val="clear" w:color="auto" w:fill="auto"/>
                  <w:noWrap w:val="0"/>
                  <w:vAlign w:val="center"/>
                </w:tcPr>
                <w:p w14:paraId="50701F1B">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w:t>
                  </w:r>
                </w:p>
              </w:tc>
              <w:tc>
                <w:tcPr>
                  <w:tcW w:w="1101" w:type="pct"/>
                  <w:tcBorders>
                    <w:tl2br w:val="nil"/>
                    <w:tr2bl w:val="nil"/>
                  </w:tcBorders>
                  <w:shd w:val="clear" w:color="auto" w:fill="auto"/>
                  <w:noWrap w:val="0"/>
                  <w:vAlign w:val="center"/>
                </w:tcPr>
                <w:p w14:paraId="2A265EEB">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11座拱顶储罐，总容积25900m</w:t>
                  </w:r>
                  <w:r>
                    <w:rPr>
                      <w:rFonts w:hint="default" w:ascii="Times New Roman" w:hAnsi="Times New Roman" w:cs="Times New Roman"/>
                      <w:color w:val="auto"/>
                      <w:szCs w:val="21"/>
                      <w:highlight w:val="none"/>
                      <w:vertAlign w:val="superscript"/>
                    </w:rPr>
                    <w:t>3</w:t>
                  </w:r>
                </w:p>
              </w:tc>
              <w:tc>
                <w:tcPr>
                  <w:tcW w:w="330" w:type="pct"/>
                  <w:tcBorders>
                    <w:tl2br w:val="nil"/>
                    <w:tr2bl w:val="nil"/>
                  </w:tcBorders>
                  <w:shd w:val="clear" w:color="auto" w:fill="auto"/>
                  <w:noWrap w:val="0"/>
                  <w:vAlign w:val="center"/>
                </w:tcPr>
                <w:p w14:paraId="30E22484">
                  <w:pPr>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原有</w:t>
                  </w:r>
                </w:p>
              </w:tc>
            </w:tr>
            <w:tr w14:paraId="3654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0" w:hRule="exact"/>
                <w:jc w:val="center"/>
              </w:trPr>
              <w:tc>
                <w:tcPr>
                  <w:tcW w:w="524" w:type="pct"/>
                  <w:vMerge w:val="continue"/>
                  <w:tcBorders>
                    <w:tl2br w:val="nil"/>
                    <w:tr2bl w:val="nil"/>
                  </w:tcBorders>
                  <w:noWrap w:val="0"/>
                  <w:vAlign w:val="center"/>
                </w:tcPr>
                <w:p w14:paraId="0A0B9DE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27640768">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液化天然气储罐</w:t>
                  </w:r>
                </w:p>
              </w:tc>
              <w:tc>
                <w:tcPr>
                  <w:tcW w:w="1287" w:type="pct"/>
                  <w:tcBorders>
                    <w:tl2br w:val="nil"/>
                    <w:tr2bl w:val="nil"/>
                  </w:tcBorders>
                  <w:shd w:val="clear" w:color="auto" w:fill="auto"/>
                  <w:noWrap w:val="0"/>
                  <w:vAlign w:val="center"/>
                </w:tcPr>
                <w:p w14:paraId="27CE986D">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1座卧式储罐，容积60m</w:t>
                  </w:r>
                  <w:r>
                    <w:rPr>
                      <w:rFonts w:hint="default" w:ascii="Times New Roman" w:hAnsi="Times New Roman" w:cs="Times New Roman"/>
                      <w:color w:val="auto"/>
                      <w:szCs w:val="21"/>
                      <w:highlight w:val="none"/>
                      <w:vertAlign w:val="superscript"/>
                    </w:rPr>
                    <w:t>3</w:t>
                  </w:r>
                </w:p>
              </w:tc>
              <w:tc>
                <w:tcPr>
                  <w:tcW w:w="1215" w:type="pct"/>
                  <w:tcBorders>
                    <w:tl2br w:val="nil"/>
                    <w:tr2bl w:val="nil"/>
                  </w:tcBorders>
                  <w:shd w:val="clear" w:color="auto" w:fill="auto"/>
                  <w:noWrap w:val="0"/>
                  <w:vAlign w:val="center"/>
                </w:tcPr>
                <w:p w14:paraId="5FA95002">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w:t>
                  </w:r>
                </w:p>
              </w:tc>
              <w:tc>
                <w:tcPr>
                  <w:tcW w:w="1101" w:type="pct"/>
                  <w:tcBorders>
                    <w:tl2br w:val="nil"/>
                    <w:tr2bl w:val="nil"/>
                  </w:tcBorders>
                  <w:shd w:val="clear" w:color="auto" w:fill="auto"/>
                  <w:noWrap w:val="0"/>
                  <w:vAlign w:val="center"/>
                </w:tcPr>
                <w:p w14:paraId="5871C88A">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1座卧式储罐，容积60m</w:t>
                  </w:r>
                  <w:r>
                    <w:rPr>
                      <w:rFonts w:hint="default" w:ascii="Times New Roman" w:hAnsi="Times New Roman" w:cs="Times New Roman"/>
                      <w:color w:val="auto"/>
                      <w:szCs w:val="21"/>
                      <w:highlight w:val="none"/>
                      <w:vertAlign w:val="superscript"/>
                    </w:rPr>
                    <w:t>3</w:t>
                  </w:r>
                </w:p>
              </w:tc>
              <w:tc>
                <w:tcPr>
                  <w:tcW w:w="330" w:type="pct"/>
                  <w:tcBorders>
                    <w:tl2br w:val="nil"/>
                    <w:tr2bl w:val="nil"/>
                  </w:tcBorders>
                  <w:shd w:val="clear" w:color="auto" w:fill="auto"/>
                  <w:noWrap w:val="0"/>
                  <w:vAlign w:val="center"/>
                </w:tcPr>
                <w:p w14:paraId="65D3313A">
                  <w:pPr>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原有</w:t>
                  </w:r>
                </w:p>
              </w:tc>
            </w:tr>
            <w:tr w14:paraId="5ADE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exact"/>
                <w:jc w:val="center"/>
              </w:trPr>
              <w:tc>
                <w:tcPr>
                  <w:tcW w:w="524" w:type="pct"/>
                  <w:vMerge w:val="continue"/>
                  <w:tcBorders>
                    <w:tl2br w:val="nil"/>
                    <w:tr2bl w:val="nil"/>
                  </w:tcBorders>
                  <w:noWrap w:val="0"/>
                  <w:vAlign w:val="center"/>
                </w:tcPr>
                <w:p w14:paraId="34D65DD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3A534B13">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罐车装载站</w:t>
                  </w:r>
                </w:p>
              </w:tc>
              <w:tc>
                <w:tcPr>
                  <w:tcW w:w="1287" w:type="pct"/>
                  <w:tcBorders>
                    <w:tl2br w:val="nil"/>
                    <w:tr2bl w:val="nil"/>
                  </w:tcBorders>
                  <w:shd w:val="clear" w:color="auto" w:fill="auto"/>
                  <w:noWrap w:val="0"/>
                  <w:vAlign w:val="center"/>
                </w:tcPr>
                <w:p w14:paraId="247EC0ED">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6个汽车罐车装载位</w:t>
                  </w:r>
                </w:p>
              </w:tc>
              <w:tc>
                <w:tcPr>
                  <w:tcW w:w="1215" w:type="pct"/>
                  <w:tcBorders>
                    <w:tl2br w:val="nil"/>
                    <w:tr2bl w:val="nil"/>
                  </w:tcBorders>
                  <w:shd w:val="clear" w:color="auto" w:fill="auto"/>
                  <w:noWrap w:val="0"/>
                  <w:vAlign w:val="center"/>
                </w:tcPr>
                <w:p w14:paraId="0CB54BB5">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w:t>
                  </w:r>
                </w:p>
              </w:tc>
              <w:tc>
                <w:tcPr>
                  <w:tcW w:w="1101" w:type="pct"/>
                  <w:tcBorders>
                    <w:tl2br w:val="nil"/>
                    <w:tr2bl w:val="nil"/>
                  </w:tcBorders>
                  <w:shd w:val="clear" w:color="auto" w:fill="auto"/>
                  <w:noWrap w:val="0"/>
                  <w:vAlign w:val="center"/>
                </w:tcPr>
                <w:p w14:paraId="4674D8B6">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6个汽车罐车装载位</w:t>
                  </w:r>
                </w:p>
              </w:tc>
              <w:tc>
                <w:tcPr>
                  <w:tcW w:w="330" w:type="pct"/>
                  <w:tcBorders>
                    <w:tl2br w:val="nil"/>
                    <w:tr2bl w:val="nil"/>
                  </w:tcBorders>
                  <w:shd w:val="clear" w:color="auto" w:fill="auto"/>
                  <w:noWrap w:val="0"/>
                  <w:vAlign w:val="center"/>
                </w:tcPr>
                <w:p w14:paraId="423F4261">
                  <w:pPr>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原有</w:t>
                  </w:r>
                </w:p>
              </w:tc>
            </w:tr>
            <w:tr w14:paraId="6408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2" w:hRule="exact"/>
                <w:jc w:val="center"/>
              </w:trPr>
              <w:tc>
                <w:tcPr>
                  <w:tcW w:w="524" w:type="pct"/>
                  <w:vMerge w:val="continue"/>
                  <w:tcBorders>
                    <w:tl2br w:val="nil"/>
                    <w:tr2bl w:val="nil"/>
                  </w:tcBorders>
                  <w:noWrap w:val="0"/>
                  <w:vAlign w:val="center"/>
                </w:tcPr>
                <w:p w14:paraId="54415A5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13740A60">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库房</w:t>
                  </w:r>
                </w:p>
              </w:tc>
              <w:tc>
                <w:tcPr>
                  <w:tcW w:w="1287" w:type="pct"/>
                  <w:tcBorders>
                    <w:tl2br w:val="nil"/>
                    <w:tr2bl w:val="nil"/>
                  </w:tcBorders>
                  <w:shd w:val="clear" w:color="auto" w:fill="auto"/>
                  <w:noWrap w:val="0"/>
                  <w:vAlign w:val="center"/>
                </w:tcPr>
                <w:p w14:paraId="5B1AE7C7">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占地面积6232m</w:t>
                  </w:r>
                  <w:r>
                    <w:rPr>
                      <w:rFonts w:hint="eastAsia" w:ascii="Times New Roman"/>
                      <w:color w:val="auto"/>
                      <w:highlight w:val="none"/>
                      <w:vertAlign w:val="superscript"/>
                      <w:lang w:val="en-US" w:eastAsia="zh-CN"/>
                    </w:rPr>
                    <w:t>2</w:t>
                  </w:r>
                  <w:r>
                    <w:rPr>
                      <w:rFonts w:hint="eastAsia" w:ascii="Times New Roman"/>
                      <w:color w:val="auto"/>
                      <w:highlight w:val="none"/>
                      <w:lang w:val="en-US" w:eastAsia="zh-CN"/>
                    </w:rPr>
                    <w:t>，内部划分为原料库房（1558m</w:t>
                  </w:r>
                  <w:r>
                    <w:rPr>
                      <w:rFonts w:hint="eastAsia" w:ascii="Times New Roman"/>
                      <w:color w:val="auto"/>
                      <w:highlight w:val="none"/>
                      <w:vertAlign w:val="superscript"/>
                      <w:lang w:val="en-US" w:eastAsia="zh-CN"/>
                    </w:rPr>
                    <w:t>2</w:t>
                  </w:r>
                  <w:r>
                    <w:rPr>
                      <w:rFonts w:hint="eastAsia" w:ascii="Times New Roman"/>
                      <w:color w:val="auto"/>
                      <w:highlight w:val="none"/>
                      <w:lang w:val="en-US" w:eastAsia="zh-CN"/>
                    </w:rPr>
                    <w:t>）、成品库房（3116m</w:t>
                  </w:r>
                  <w:r>
                    <w:rPr>
                      <w:rFonts w:hint="eastAsia" w:ascii="Times New Roman"/>
                      <w:color w:val="auto"/>
                      <w:highlight w:val="none"/>
                      <w:vertAlign w:val="superscript"/>
                      <w:lang w:val="en-US" w:eastAsia="zh-CN"/>
                    </w:rPr>
                    <w:t>2</w:t>
                  </w:r>
                  <w:r>
                    <w:rPr>
                      <w:rFonts w:hint="eastAsia" w:ascii="Times New Roman"/>
                      <w:color w:val="auto"/>
                      <w:highlight w:val="none"/>
                      <w:lang w:val="en-US" w:eastAsia="zh-CN"/>
                    </w:rPr>
                    <w:t>）、库房办公区（1558m</w:t>
                  </w:r>
                  <w:r>
                    <w:rPr>
                      <w:rFonts w:hint="eastAsia" w:ascii="Times New Roman"/>
                      <w:color w:val="auto"/>
                      <w:highlight w:val="none"/>
                      <w:vertAlign w:val="superscript"/>
                      <w:lang w:val="en-US" w:eastAsia="zh-CN"/>
                    </w:rPr>
                    <w:t>2</w:t>
                  </w:r>
                  <w:r>
                    <w:rPr>
                      <w:rFonts w:hint="eastAsia" w:ascii="Times New Roman"/>
                      <w:color w:val="auto"/>
                      <w:highlight w:val="none"/>
                      <w:lang w:val="en-US" w:eastAsia="zh-CN"/>
                    </w:rPr>
                    <w:t>）</w:t>
                  </w:r>
                </w:p>
              </w:tc>
              <w:tc>
                <w:tcPr>
                  <w:tcW w:w="1215" w:type="pct"/>
                  <w:tcBorders>
                    <w:tl2br w:val="nil"/>
                    <w:tr2bl w:val="nil"/>
                  </w:tcBorders>
                  <w:shd w:val="clear" w:color="auto" w:fill="auto"/>
                  <w:noWrap w:val="0"/>
                  <w:vAlign w:val="center"/>
                </w:tcPr>
                <w:p w14:paraId="318BE843">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w:t>
                  </w:r>
                </w:p>
              </w:tc>
              <w:tc>
                <w:tcPr>
                  <w:tcW w:w="1101" w:type="pct"/>
                  <w:tcBorders>
                    <w:tl2br w:val="nil"/>
                    <w:tr2bl w:val="nil"/>
                  </w:tcBorders>
                  <w:shd w:val="clear" w:color="auto" w:fill="auto"/>
                  <w:noWrap w:val="0"/>
                  <w:vAlign w:val="center"/>
                </w:tcPr>
                <w:p w14:paraId="07AB9BD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占地面积6232m</w:t>
                  </w:r>
                  <w:r>
                    <w:rPr>
                      <w:rFonts w:hint="eastAsia" w:ascii="Times New Roman"/>
                      <w:color w:val="auto"/>
                      <w:highlight w:val="none"/>
                      <w:vertAlign w:val="superscript"/>
                      <w:lang w:val="en-US" w:eastAsia="zh-CN"/>
                    </w:rPr>
                    <w:t>2</w:t>
                  </w:r>
                  <w:r>
                    <w:rPr>
                      <w:rFonts w:hint="eastAsia" w:ascii="Times New Roman"/>
                      <w:color w:val="auto"/>
                      <w:highlight w:val="none"/>
                      <w:lang w:val="en-US" w:eastAsia="zh-CN"/>
                    </w:rPr>
                    <w:t>，内部划分为原料库房（1558m</w:t>
                  </w:r>
                  <w:r>
                    <w:rPr>
                      <w:rFonts w:hint="eastAsia" w:ascii="Times New Roman"/>
                      <w:color w:val="auto"/>
                      <w:highlight w:val="none"/>
                      <w:vertAlign w:val="superscript"/>
                      <w:lang w:val="en-US" w:eastAsia="zh-CN"/>
                    </w:rPr>
                    <w:t>2</w:t>
                  </w:r>
                  <w:r>
                    <w:rPr>
                      <w:rFonts w:hint="eastAsia" w:ascii="Times New Roman"/>
                      <w:color w:val="auto"/>
                      <w:highlight w:val="none"/>
                      <w:lang w:val="en-US" w:eastAsia="zh-CN"/>
                    </w:rPr>
                    <w:t>）、成品库房（3116m</w:t>
                  </w:r>
                  <w:r>
                    <w:rPr>
                      <w:rFonts w:hint="eastAsia" w:ascii="Times New Roman"/>
                      <w:color w:val="auto"/>
                      <w:highlight w:val="none"/>
                      <w:vertAlign w:val="superscript"/>
                      <w:lang w:val="en-US" w:eastAsia="zh-CN"/>
                    </w:rPr>
                    <w:t>2</w:t>
                  </w:r>
                  <w:r>
                    <w:rPr>
                      <w:rFonts w:hint="eastAsia" w:ascii="Times New Roman"/>
                      <w:color w:val="auto"/>
                      <w:highlight w:val="none"/>
                      <w:lang w:val="en-US" w:eastAsia="zh-CN"/>
                    </w:rPr>
                    <w:t>）、库房办公区（1558m</w:t>
                  </w:r>
                  <w:r>
                    <w:rPr>
                      <w:rFonts w:hint="eastAsia" w:ascii="Times New Roman"/>
                      <w:color w:val="auto"/>
                      <w:highlight w:val="none"/>
                      <w:vertAlign w:val="superscript"/>
                      <w:lang w:val="en-US" w:eastAsia="zh-CN"/>
                    </w:rPr>
                    <w:t>2</w:t>
                  </w:r>
                  <w:r>
                    <w:rPr>
                      <w:rFonts w:hint="eastAsia" w:ascii="Times New Roman"/>
                      <w:color w:val="auto"/>
                      <w:highlight w:val="none"/>
                      <w:lang w:val="en-US" w:eastAsia="zh-CN"/>
                    </w:rPr>
                    <w:t>）</w:t>
                  </w:r>
                </w:p>
              </w:tc>
              <w:tc>
                <w:tcPr>
                  <w:tcW w:w="330" w:type="pct"/>
                  <w:tcBorders>
                    <w:tl2br w:val="nil"/>
                    <w:tr2bl w:val="nil"/>
                  </w:tcBorders>
                  <w:shd w:val="clear" w:color="auto" w:fill="auto"/>
                  <w:noWrap w:val="0"/>
                  <w:vAlign w:val="center"/>
                </w:tcPr>
                <w:p w14:paraId="4105533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color w:val="auto"/>
                      <w:highlight w:val="none"/>
                      <w:lang w:val="en-US" w:eastAsia="zh-CN"/>
                    </w:rPr>
                  </w:pPr>
                  <w:r>
                    <w:rPr>
                      <w:rFonts w:hint="eastAsia" w:cs="Times New Roman"/>
                      <w:color w:val="auto"/>
                      <w:szCs w:val="21"/>
                      <w:highlight w:val="none"/>
                      <w:lang w:val="en-US" w:eastAsia="zh-CN"/>
                    </w:rPr>
                    <w:t>原有</w:t>
                  </w:r>
                </w:p>
              </w:tc>
            </w:tr>
            <w:tr w14:paraId="56D4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2" w:hRule="exact"/>
                <w:jc w:val="center"/>
              </w:trPr>
              <w:tc>
                <w:tcPr>
                  <w:tcW w:w="524" w:type="pct"/>
                  <w:vMerge w:val="continue"/>
                  <w:tcBorders>
                    <w:tl2br w:val="nil"/>
                    <w:tr2bl w:val="nil"/>
                  </w:tcBorders>
                  <w:noWrap w:val="0"/>
                  <w:vAlign w:val="center"/>
                </w:tcPr>
                <w:p w14:paraId="2A54579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77487202">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eastAsia="宋体"/>
                      <w:color w:val="auto"/>
                      <w:highlight w:val="none"/>
                      <w:lang w:eastAsia="zh-CN"/>
                    </w:rPr>
                    <w:t>原材料储存雨棚</w:t>
                  </w:r>
                </w:p>
              </w:tc>
              <w:tc>
                <w:tcPr>
                  <w:tcW w:w="1287" w:type="pct"/>
                  <w:tcBorders>
                    <w:tl2br w:val="nil"/>
                    <w:tr2bl w:val="nil"/>
                  </w:tcBorders>
                  <w:shd w:val="clear" w:color="auto" w:fill="auto"/>
                  <w:noWrap w:val="0"/>
                  <w:vAlign w:val="center"/>
                </w:tcPr>
                <w:p w14:paraId="7322F71E">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0"/>
                      <w:highlight w:val="none"/>
                      <w:vertAlign w:val="baseline"/>
                      <w:lang w:val="en-US" w:eastAsia="zh-CN" w:bidi="ar-SA"/>
                    </w:rPr>
                  </w:pPr>
                  <w:r>
                    <w:rPr>
                      <w:rFonts w:hint="eastAsia" w:ascii="Times New Roman" w:cs="Times New Roman"/>
                      <w:color w:val="auto"/>
                      <w:kern w:val="0"/>
                      <w:sz w:val="21"/>
                      <w:szCs w:val="20"/>
                      <w:highlight w:val="none"/>
                      <w:vertAlign w:val="baseline"/>
                      <w:lang w:val="en-US" w:eastAsia="zh-CN" w:bidi="ar-SA"/>
                    </w:rPr>
                    <w:t>/</w:t>
                  </w:r>
                </w:p>
              </w:tc>
              <w:tc>
                <w:tcPr>
                  <w:tcW w:w="1215" w:type="pct"/>
                  <w:tcBorders>
                    <w:tl2br w:val="nil"/>
                    <w:tr2bl w:val="nil"/>
                  </w:tcBorders>
                  <w:shd w:val="clear" w:color="auto" w:fill="auto"/>
                  <w:noWrap w:val="0"/>
                  <w:vAlign w:val="center"/>
                </w:tcPr>
                <w:p w14:paraId="3D1A9FFE">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color w:val="auto"/>
                      <w:highlight w:val="none"/>
                      <w:vertAlign w:val="baseline"/>
                      <w:lang w:val="en-US" w:eastAsia="zh-CN"/>
                    </w:rPr>
                  </w:pPr>
                  <w:r>
                    <w:rPr>
                      <w:rFonts w:hint="eastAsia" w:ascii="Times New Roman"/>
                      <w:color w:val="auto"/>
                      <w:highlight w:val="none"/>
                      <w:lang w:val="en-US" w:eastAsia="zh-CN"/>
                    </w:rPr>
                    <w:t>1座，位于厂区内中部、占地面积2845.8m</w:t>
                  </w:r>
                  <w:r>
                    <w:rPr>
                      <w:rFonts w:hint="eastAsia" w:ascii="Times New Roman"/>
                      <w:color w:val="auto"/>
                      <w:highlight w:val="none"/>
                      <w:vertAlign w:val="superscript"/>
                      <w:lang w:val="en-US" w:eastAsia="zh-CN"/>
                    </w:rPr>
                    <w:t>2</w:t>
                  </w:r>
                  <w:r>
                    <w:rPr>
                      <w:rFonts w:hint="eastAsia" w:ascii="Times New Roman"/>
                      <w:color w:val="auto"/>
                      <w:highlight w:val="none"/>
                      <w:vertAlign w:val="baseline"/>
                      <w:lang w:val="en-US" w:eastAsia="zh-CN"/>
                    </w:rPr>
                    <w:t>，临时周转固体石蜡</w:t>
                  </w:r>
                </w:p>
                <w:p w14:paraId="53B6F14C">
                  <w:pPr>
                    <w:keepNext w:val="0"/>
                    <w:keepLines w:val="0"/>
                    <w:suppressLineNumbers w:val="0"/>
                    <w:spacing w:before="0" w:beforeAutospacing="0" w:after="0" w:afterAutospacing="0"/>
                    <w:ind w:left="0" w:right="0"/>
                    <w:rPr>
                      <w:rFonts w:hint="default"/>
                      <w:color w:val="auto"/>
                      <w:lang w:val="en-US" w:eastAsia="zh-CN"/>
                    </w:rPr>
                  </w:pPr>
                  <w:r>
                    <w:rPr>
                      <w:rFonts w:hint="eastAsia"/>
                      <w:color w:val="auto"/>
                      <w:highlight w:val="none"/>
                      <w:vertAlign w:val="baseline"/>
                      <w:lang w:val="en-US" w:eastAsia="zh-CN"/>
                    </w:rPr>
                    <w:t>环保措施：棚顶设防雨棚；地面防渗，防渗系数K≤1.0×10</w:t>
                  </w:r>
                  <w:r>
                    <w:rPr>
                      <w:rFonts w:hint="eastAsia"/>
                      <w:color w:val="auto"/>
                      <w:highlight w:val="none"/>
                      <w:vertAlign w:val="superscript"/>
                      <w:lang w:val="en-US" w:eastAsia="zh-CN"/>
                    </w:rPr>
                    <w:t>-7</w:t>
                  </w:r>
                  <w:r>
                    <w:rPr>
                      <w:rFonts w:hint="eastAsia"/>
                      <w:color w:val="auto"/>
                      <w:highlight w:val="none"/>
                      <w:vertAlign w:val="baseline"/>
                      <w:lang w:val="en-US" w:eastAsia="zh-CN"/>
                    </w:rPr>
                    <w:t>cm/s</w:t>
                  </w:r>
                </w:p>
              </w:tc>
              <w:tc>
                <w:tcPr>
                  <w:tcW w:w="1101" w:type="pct"/>
                  <w:tcBorders>
                    <w:tl2br w:val="nil"/>
                    <w:tr2bl w:val="nil"/>
                  </w:tcBorders>
                  <w:shd w:val="clear" w:color="auto" w:fill="auto"/>
                  <w:noWrap w:val="0"/>
                  <w:vAlign w:val="center"/>
                </w:tcPr>
                <w:p w14:paraId="19A99EFD">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color w:val="auto"/>
                      <w:highlight w:val="none"/>
                      <w:vertAlign w:val="baseline"/>
                      <w:lang w:val="en-US" w:eastAsia="zh-CN"/>
                    </w:rPr>
                  </w:pPr>
                  <w:r>
                    <w:rPr>
                      <w:rFonts w:hint="eastAsia" w:ascii="Times New Roman"/>
                      <w:color w:val="auto"/>
                      <w:highlight w:val="none"/>
                      <w:lang w:val="en-US" w:eastAsia="zh-CN"/>
                    </w:rPr>
                    <w:t>1座，位于厂区内中部、占地面积2845.8m</w:t>
                  </w:r>
                  <w:r>
                    <w:rPr>
                      <w:rFonts w:hint="eastAsia" w:ascii="Times New Roman"/>
                      <w:color w:val="auto"/>
                      <w:highlight w:val="none"/>
                      <w:vertAlign w:val="superscript"/>
                      <w:lang w:val="en-US" w:eastAsia="zh-CN"/>
                    </w:rPr>
                    <w:t>2</w:t>
                  </w:r>
                  <w:r>
                    <w:rPr>
                      <w:rFonts w:hint="eastAsia" w:ascii="Times New Roman"/>
                      <w:color w:val="auto"/>
                      <w:highlight w:val="none"/>
                      <w:vertAlign w:val="baseline"/>
                      <w:lang w:val="en-US" w:eastAsia="zh-CN"/>
                    </w:rPr>
                    <w:t>，临时周转固体石蜡</w:t>
                  </w:r>
                </w:p>
                <w:p w14:paraId="5D73DC5E">
                  <w:pPr>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1"/>
                      <w:szCs w:val="24"/>
                      <w:lang w:val="en-US" w:eastAsia="zh-CN" w:bidi="ar-SA"/>
                    </w:rPr>
                  </w:pPr>
                  <w:r>
                    <w:rPr>
                      <w:rFonts w:hint="eastAsia"/>
                      <w:color w:val="auto"/>
                      <w:highlight w:val="none"/>
                      <w:vertAlign w:val="baseline"/>
                      <w:lang w:val="en-US" w:eastAsia="zh-CN"/>
                    </w:rPr>
                    <w:t>环保措施：棚顶设防雨棚；地面防渗，防渗系数K≤1.0×10</w:t>
                  </w:r>
                  <w:r>
                    <w:rPr>
                      <w:rFonts w:hint="eastAsia"/>
                      <w:color w:val="auto"/>
                      <w:highlight w:val="none"/>
                      <w:vertAlign w:val="superscript"/>
                      <w:lang w:val="en-US" w:eastAsia="zh-CN"/>
                    </w:rPr>
                    <w:t>-7</w:t>
                  </w:r>
                  <w:r>
                    <w:rPr>
                      <w:rFonts w:hint="eastAsia"/>
                      <w:color w:val="auto"/>
                      <w:highlight w:val="none"/>
                      <w:vertAlign w:val="baseline"/>
                      <w:lang w:val="en-US" w:eastAsia="zh-CN"/>
                    </w:rPr>
                    <w:t>cm/s</w:t>
                  </w:r>
                </w:p>
              </w:tc>
              <w:tc>
                <w:tcPr>
                  <w:tcW w:w="330" w:type="pct"/>
                  <w:tcBorders>
                    <w:tl2br w:val="nil"/>
                    <w:tr2bl w:val="nil"/>
                  </w:tcBorders>
                  <w:shd w:val="clear" w:color="auto" w:fill="auto"/>
                  <w:noWrap w:val="0"/>
                  <w:vAlign w:val="center"/>
                </w:tcPr>
                <w:p w14:paraId="39F321A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color w:val="auto"/>
                      <w:highlight w:val="none"/>
                      <w:lang w:val="en-US" w:eastAsia="zh-CN"/>
                    </w:rPr>
                  </w:pPr>
                  <w:r>
                    <w:rPr>
                      <w:rFonts w:hint="eastAsia" w:ascii="Times New Roman"/>
                      <w:color w:val="auto"/>
                      <w:highlight w:val="none"/>
                      <w:lang w:val="en-US" w:eastAsia="zh-CN"/>
                    </w:rPr>
                    <w:t>新建</w:t>
                  </w:r>
                </w:p>
              </w:tc>
            </w:tr>
            <w:tr w14:paraId="7BD6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2" w:hRule="exact"/>
                <w:jc w:val="center"/>
              </w:trPr>
              <w:tc>
                <w:tcPr>
                  <w:tcW w:w="524" w:type="pct"/>
                  <w:vMerge w:val="continue"/>
                  <w:tcBorders>
                    <w:tl2br w:val="nil"/>
                    <w:tr2bl w:val="nil"/>
                  </w:tcBorders>
                  <w:noWrap w:val="0"/>
                  <w:vAlign w:val="center"/>
                </w:tcPr>
                <w:p w14:paraId="6201B6E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569E44EC">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bCs/>
                      <w:color w:val="auto"/>
                      <w:kern w:val="0"/>
                      <w:sz w:val="21"/>
                      <w:szCs w:val="21"/>
                      <w:highlight w:val="none"/>
                    </w:rPr>
                    <w:t>装载平台雨棚</w:t>
                  </w:r>
                </w:p>
              </w:tc>
              <w:tc>
                <w:tcPr>
                  <w:tcW w:w="1287" w:type="pct"/>
                  <w:tcBorders>
                    <w:tl2br w:val="nil"/>
                    <w:tr2bl w:val="nil"/>
                  </w:tcBorders>
                  <w:shd w:val="clear" w:color="auto" w:fill="auto"/>
                  <w:noWrap w:val="0"/>
                  <w:vAlign w:val="center"/>
                </w:tcPr>
                <w:p w14:paraId="1D851FEF">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s="Times New Roman"/>
                      <w:color w:val="auto"/>
                      <w:kern w:val="0"/>
                      <w:sz w:val="21"/>
                      <w:szCs w:val="20"/>
                      <w:highlight w:val="none"/>
                      <w:lang w:val="en-US" w:eastAsia="zh-CN" w:bidi="ar-SA"/>
                    </w:rPr>
                    <w:t>/</w:t>
                  </w:r>
                </w:p>
              </w:tc>
              <w:tc>
                <w:tcPr>
                  <w:tcW w:w="1215" w:type="pct"/>
                  <w:tcBorders>
                    <w:tl2br w:val="nil"/>
                    <w:tr2bl w:val="nil"/>
                  </w:tcBorders>
                  <w:shd w:val="clear" w:color="auto" w:fill="auto"/>
                  <w:noWrap w:val="0"/>
                  <w:vAlign w:val="center"/>
                </w:tcPr>
                <w:p w14:paraId="5C2E652C">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color w:val="auto"/>
                      <w:highlight w:val="none"/>
                      <w:vertAlign w:val="superscript"/>
                      <w:lang w:val="en-US" w:eastAsia="zh-CN"/>
                    </w:rPr>
                  </w:pPr>
                  <w:r>
                    <w:rPr>
                      <w:rFonts w:hint="eastAsia" w:ascii="Times New Roman"/>
                      <w:color w:val="auto"/>
                      <w:highlight w:val="none"/>
                      <w:lang w:val="en-US" w:eastAsia="zh-CN"/>
                    </w:rPr>
                    <w:t>1座，位于厂区内西南角、占地面积1368.78m</w:t>
                  </w:r>
                  <w:r>
                    <w:rPr>
                      <w:rFonts w:hint="eastAsia" w:ascii="Times New Roman"/>
                      <w:color w:val="auto"/>
                      <w:highlight w:val="none"/>
                      <w:vertAlign w:val="superscript"/>
                      <w:lang w:val="en-US" w:eastAsia="zh-CN"/>
                    </w:rPr>
                    <w:t>2</w:t>
                  </w:r>
                </w:p>
                <w:p w14:paraId="354809FF">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eastAsia="宋体"/>
                      <w:color w:val="auto"/>
                      <w:highlight w:val="none"/>
                      <w:vertAlign w:val="baseline"/>
                      <w:lang w:val="en-US" w:eastAsia="zh-CN"/>
                    </w:rPr>
                    <w:t>环保措施：地面防渗，防渗系数K≤1.0×10</w:t>
                  </w:r>
                  <w:r>
                    <w:rPr>
                      <w:rFonts w:hint="eastAsia" w:ascii="Times New Roman" w:eastAsia="宋体"/>
                      <w:color w:val="auto"/>
                      <w:highlight w:val="none"/>
                      <w:vertAlign w:val="superscript"/>
                      <w:lang w:val="en-US" w:eastAsia="zh-CN"/>
                    </w:rPr>
                    <w:t>-7</w:t>
                  </w:r>
                  <w:r>
                    <w:rPr>
                      <w:rFonts w:hint="eastAsia" w:ascii="Times New Roman" w:eastAsia="宋体"/>
                      <w:color w:val="auto"/>
                      <w:highlight w:val="none"/>
                      <w:vertAlign w:val="baseline"/>
                      <w:lang w:val="en-US" w:eastAsia="zh-CN"/>
                    </w:rPr>
                    <w:t>cm/s</w:t>
                  </w:r>
                </w:p>
              </w:tc>
              <w:tc>
                <w:tcPr>
                  <w:tcW w:w="1101" w:type="pct"/>
                  <w:tcBorders>
                    <w:tl2br w:val="nil"/>
                    <w:tr2bl w:val="nil"/>
                  </w:tcBorders>
                  <w:shd w:val="clear" w:color="auto" w:fill="auto"/>
                  <w:noWrap w:val="0"/>
                  <w:vAlign w:val="center"/>
                </w:tcPr>
                <w:p w14:paraId="00169459">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color w:val="auto"/>
                      <w:highlight w:val="none"/>
                      <w:vertAlign w:val="superscript"/>
                      <w:lang w:val="en-US" w:eastAsia="zh-CN"/>
                    </w:rPr>
                  </w:pPr>
                  <w:r>
                    <w:rPr>
                      <w:rFonts w:hint="eastAsia" w:ascii="Times New Roman"/>
                      <w:color w:val="auto"/>
                      <w:highlight w:val="none"/>
                      <w:lang w:val="en-US" w:eastAsia="zh-CN"/>
                    </w:rPr>
                    <w:t>1座，位于厂区内西南角、占地面积1368.78m</w:t>
                  </w:r>
                  <w:r>
                    <w:rPr>
                      <w:rFonts w:hint="eastAsia" w:ascii="Times New Roman"/>
                      <w:color w:val="auto"/>
                      <w:highlight w:val="none"/>
                      <w:vertAlign w:val="superscript"/>
                      <w:lang w:val="en-US" w:eastAsia="zh-CN"/>
                    </w:rPr>
                    <w:t>2</w:t>
                  </w:r>
                </w:p>
                <w:p w14:paraId="3816AA35">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eastAsia="宋体"/>
                      <w:color w:val="auto"/>
                      <w:highlight w:val="none"/>
                      <w:vertAlign w:val="baseline"/>
                      <w:lang w:val="en-US" w:eastAsia="zh-CN"/>
                    </w:rPr>
                    <w:t>环保措施：地面防渗，防渗系数K≤1.0×10</w:t>
                  </w:r>
                  <w:r>
                    <w:rPr>
                      <w:rFonts w:hint="eastAsia" w:ascii="Times New Roman" w:eastAsia="宋体"/>
                      <w:color w:val="auto"/>
                      <w:highlight w:val="none"/>
                      <w:vertAlign w:val="superscript"/>
                      <w:lang w:val="en-US" w:eastAsia="zh-CN"/>
                    </w:rPr>
                    <w:t>-7</w:t>
                  </w:r>
                  <w:r>
                    <w:rPr>
                      <w:rFonts w:hint="eastAsia" w:ascii="Times New Roman" w:eastAsia="宋体"/>
                      <w:color w:val="auto"/>
                      <w:highlight w:val="none"/>
                      <w:vertAlign w:val="baseline"/>
                      <w:lang w:val="en-US" w:eastAsia="zh-CN"/>
                    </w:rPr>
                    <w:t>cm/s</w:t>
                  </w:r>
                </w:p>
              </w:tc>
              <w:tc>
                <w:tcPr>
                  <w:tcW w:w="330" w:type="pct"/>
                  <w:tcBorders>
                    <w:tl2br w:val="nil"/>
                    <w:tr2bl w:val="nil"/>
                  </w:tcBorders>
                  <w:shd w:val="clear" w:color="auto" w:fill="auto"/>
                  <w:noWrap w:val="0"/>
                  <w:vAlign w:val="center"/>
                </w:tcPr>
                <w:p w14:paraId="76AFF2B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color w:val="auto"/>
                      <w:highlight w:val="none"/>
                      <w:lang w:val="en-US" w:eastAsia="zh-CN"/>
                    </w:rPr>
                  </w:pPr>
                  <w:r>
                    <w:rPr>
                      <w:rFonts w:hint="eastAsia" w:ascii="Times New Roman"/>
                      <w:color w:val="auto"/>
                      <w:highlight w:val="none"/>
                      <w:lang w:val="en-US" w:eastAsia="zh-CN"/>
                    </w:rPr>
                    <w:t>新建</w:t>
                  </w:r>
                </w:p>
              </w:tc>
            </w:tr>
            <w:tr w14:paraId="2E67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7" w:hRule="exact"/>
                <w:jc w:val="center"/>
              </w:trPr>
              <w:tc>
                <w:tcPr>
                  <w:tcW w:w="524" w:type="pct"/>
                  <w:vMerge w:val="continue"/>
                  <w:tcBorders>
                    <w:tl2br w:val="nil"/>
                    <w:tr2bl w:val="nil"/>
                  </w:tcBorders>
                  <w:noWrap w:val="0"/>
                  <w:vAlign w:val="center"/>
                </w:tcPr>
                <w:p w14:paraId="7B37D2D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437480F1">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eastAsia" w:ascii="Times New Roman" w:hAnsi="Times New Roman" w:eastAsia="宋体" w:cs="Times New Roman"/>
                      <w:color w:val="auto"/>
                      <w:kern w:val="0"/>
                      <w:sz w:val="21"/>
                      <w:szCs w:val="20"/>
                      <w:highlight w:val="none"/>
                      <w:lang w:val="en-US" w:eastAsia="zh-CN" w:bidi="ar-SA"/>
                    </w:rPr>
                  </w:pPr>
                  <w:r>
                    <w:rPr>
                      <w:rFonts w:ascii="Times New Roman"/>
                      <w:color w:val="auto"/>
                      <w:highlight w:val="none"/>
                    </w:rPr>
                    <w:t>罐区</w:t>
                  </w:r>
                  <w:r>
                    <w:rPr>
                      <w:rFonts w:hint="eastAsia" w:ascii="Times New Roman"/>
                      <w:color w:val="auto"/>
                      <w:highlight w:val="none"/>
                      <w:lang w:val="en-US" w:eastAsia="zh-CN"/>
                    </w:rPr>
                    <w:t>C</w:t>
                  </w:r>
                </w:p>
              </w:tc>
              <w:tc>
                <w:tcPr>
                  <w:tcW w:w="1287" w:type="pct"/>
                  <w:tcBorders>
                    <w:tl2br w:val="nil"/>
                    <w:tr2bl w:val="nil"/>
                  </w:tcBorders>
                  <w:shd w:val="clear" w:color="auto" w:fill="auto"/>
                  <w:noWrap w:val="0"/>
                  <w:vAlign w:val="center"/>
                </w:tcPr>
                <w:p w14:paraId="0AB2AB6E">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s="Times New Roman"/>
                      <w:color w:val="auto"/>
                      <w:kern w:val="0"/>
                      <w:sz w:val="21"/>
                      <w:szCs w:val="20"/>
                      <w:highlight w:val="none"/>
                      <w:lang w:val="en-US" w:eastAsia="zh-CN" w:bidi="ar-SA"/>
                    </w:rPr>
                    <w:t>/</w:t>
                  </w:r>
                </w:p>
              </w:tc>
              <w:tc>
                <w:tcPr>
                  <w:tcW w:w="1215" w:type="pct"/>
                  <w:tcBorders>
                    <w:tl2br w:val="nil"/>
                    <w:tr2bl w:val="nil"/>
                  </w:tcBorders>
                  <w:shd w:val="clear" w:color="auto" w:fill="auto"/>
                  <w:noWrap w:val="0"/>
                  <w:vAlign w:val="center"/>
                </w:tcPr>
                <w:p w14:paraId="4FE1693A">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color w:val="auto"/>
                      <w:highlight w:val="none"/>
                      <w:lang w:val="en-US" w:eastAsia="zh-CN"/>
                    </w:rPr>
                  </w:pPr>
                  <w:r>
                    <w:rPr>
                      <w:rFonts w:ascii="Times New Roman"/>
                      <w:color w:val="auto"/>
                      <w:highlight w:val="none"/>
                    </w:rPr>
                    <w:t>罐区1座，占地面积</w:t>
                  </w:r>
                  <w:r>
                    <w:rPr>
                      <w:rFonts w:hint="eastAsia" w:ascii="Times New Roman"/>
                      <w:color w:val="auto"/>
                      <w:highlight w:val="none"/>
                      <w:lang w:val="en-US" w:eastAsia="zh-CN"/>
                    </w:rPr>
                    <w:t>约200</w:t>
                  </w:r>
                  <w:r>
                    <w:rPr>
                      <w:rFonts w:ascii="Times New Roman"/>
                      <w:color w:val="auto"/>
                      <w:highlight w:val="none"/>
                    </w:rPr>
                    <w:t>m</w:t>
                  </w:r>
                  <w:r>
                    <w:rPr>
                      <w:rFonts w:ascii="Times New Roman"/>
                      <w:color w:val="auto"/>
                      <w:highlight w:val="none"/>
                      <w:vertAlign w:val="superscript"/>
                    </w:rPr>
                    <w:t>2</w:t>
                  </w:r>
                  <w:r>
                    <w:rPr>
                      <w:rFonts w:ascii="Times New Roman"/>
                      <w:color w:val="auto"/>
                      <w:highlight w:val="none"/>
                    </w:rPr>
                    <w:t>，</w:t>
                  </w:r>
                  <w:r>
                    <w:rPr>
                      <w:rFonts w:hint="eastAsia" w:ascii="Times New Roman"/>
                      <w:color w:val="auto"/>
                      <w:highlight w:val="none"/>
                      <w:lang w:val="en-US" w:eastAsia="zh-CN"/>
                    </w:rPr>
                    <w:t>11</w:t>
                  </w:r>
                  <w:r>
                    <w:rPr>
                      <w:rFonts w:ascii="Times New Roman"/>
                      <w:color w:val="auto"/>
                      <w:highlight w:val="none"/>
                    </w:rPr>
                    <w:t>座</w:t>
                  </w:r>
                  <w:r>
                    <w:rPr>
                      <w:rFonts w:hint="eastAsia" w:ascii="Times New Roman"/>
                      <w:color w:val="auto"/>
                      <w:highlight w:val="none"/>
                      <w:lang w:val="en-US" w:eastAsia="zh-CN"/>
                    </w:rPr>
                    <w:t>有效容积约23</w:t>
                  </w:r>
                  <w:r>
                    <w:rPr>
                      <w:rFonts w:ascii="Times New Roman"/>
                      <w:color w:val="auto"/>
                      <w:highlight w:val="none"/>
                    </w:rPr>
                    <w:t>m</w:t>
                  </w:r>
                  <w:r>
                    <w:rPr>
                      <w:rFonts w:ascii="Times New Roman"/>
                      <w:color w:val="auto"/>
                      <w:highlight w:val="none"/>
                      <w:vertAlign w:val="superscript"/>
                    </w:rPr>
                    <w:t>3</w:t>
                  </w:r>
                  <w:r>
                    <w:rPr>
                      <w:rFonts w:ascii="Times New Roman"/>
                      <w:color w:val="auto"/>
                      <w:highlight w:val="none"/>
                    </w:rPr>
                    <w:t>储罐</w:t>
                  </w:r>
                  <w:r>
                    <w:rPr>
                      <w:rFonts w:hint="eastAsia" w:ascii="Times New Roman"/>
                      <w:color w:val="auto"/>
                      <w:highlight w:val="none"/>
                      <w:lang w:eastAsia="zh-CN"/>
                    </w:rPr>
                    <w:t>、</w:t>
                  </w:r>
                  <w:r>
                    <w:rPr>
                      <w:rFonts w:hint="eastAsia" w:ascii="Times New Roman"/>
                      <w:color w:val="auto"/>
                      <w:highlight w:val="none"/>
                      <w:lang w:val="en-US" w:eastAsia="zh-CN"/>
                    </w:rPr>
                    <w:t>仅储存微晶蜡</w:t>
                  </w:r>
                </w:p>
                <w:p w14:paraId="39531575">
                  <w:pPr>
                    <w:keepNext w:val="0"/>
                    <w:keepLines w:val="0"/>
                    <w:suppressLineNumbers w:val="0"/>
                    <w:spacing w:before="0" w:beforeAutospacing="0" w:after="0" w:afterAutospacing="0"/>
                    <w:ind w:left="0" w:right="0"/>
                    <w:rPr>
                      <w:rFonts w:hint="default"/>
                      <w:color w:val="auto"/>
                      <w:lang w:val="en-US" w:eastAsia="zh-CN"/>
                    </w:rPr>
                  </w:pPr>
                  <w:r>
                    <w:rPr>
                      <w:rFonts w:hint="eastAsia"/>
                      <w:color w:val="auto"/>
                      <w:highlight w:val="none"/>
                      <w:lang w:val="en-US" w:eastAsia="zh-CN"/>
                    </w:rPr>
                    <w:t>环保措施：设置围堰（高0.2m、容积约24m</w:t>
                  </w:r>
                  <w:r>
                    <w:rPr>
                      <w:rFonts w:hint="eastAsia"/>
                      <w:color w:val="auto"/>
                      <w:highlight w:val="none"/>
                      <w:vertAlign w:val="superscript"/>
                      <w:lang w:val="en-US" w:eastAsia="zh-CN"/>
                    </w:rPr>
                    <w:t>3</w:t>
                  </w:r>
                  <w:r>
                    <w:rPr>
                      <w:rFonts w:hint="eastAsia"/>
                      <w:color w:val="auto"/>
                      <w:highlight w:val="none"/>
                      <w:lang w:val="en-US" w:eastAsia="zh-CN"/>
                    </w:rPr>
                    <w:t>）；</w:t>
                  </w:r>
                  <w:r>
                    <w:rPr>
                      <w:rFonts w:hint="eastAsia" w:ascii="Times New Roman" w:eastAsia="宋体"/>
                      <w:color w:val="auto"/>
                      <w:highlight w:val="none"/>
                      <w:vertAlign w:val="baseline"/>
                      <w:lang w:val="en-US" w:eastAsia="zh-CN"/>
                    </w:rPr>
                    <w:t>地面防渗，防渗系数K≤1.0×10</w:t>
                  </w:r>
                  <w:r>
                    <w:rPr>
                      <w:rFonts w:hint="eastAsia" w:ascii="Times New Roman" w:eastAsia="宋体"/>
                      <w:color w:val="auto"/>
                      <w:highlight w:val="none"/>
                      <w:vertAlign w:val="superscript"/>
                      <w:lang w:val="en-US" w:eastAsia="zh-CN"/>
                    </w:rPr>
                    <w:t>-</w:t>
                  </w:r>
                  <w:r>
                    <w:rPr>
                      <w:rFonts w:hint="eastAsia"/>
                      <w:color w:val="auto"/>
                      <w:highlight w:val="none"/>
                      <w:vertAlign w:val="superscript"/>
                      <w:lang w:val="en-US" w:eastAsia="zh-CN"/>
                    </w:rPr>
                    <w:t>10</w:t>
                  </w:r>
                  <w:r>
                    <w:rPr>
                      <w:rFonts w:hint="eastAsia" w:ascii="Times New Roman" w:eastAsia="宋体"/>
                      <w:color w:val="auto"/>
                      <w:highlight w:val="none"/>
                      <w:vertAlign w:val="baseline"/>
                      <w:lang w:val="en-US" w:eastAsia="zh-CN"/>
                    </w:rPr>
                    <w:t>cm/s</w:t>
                  </w:r>
                </w:p>
              </w:tc>
              <w:tc>
                <w:tcPr>
                  <w:tcW w:w="1101" w:type="pct"/>
                  <w:tcBorders>
                    <w:tl2br w:val="nil"/>
                    <w:tr2bl w:val="nil"/>
                  </w:tcBorders>
                  <w:shd w:val="clear" w:color="auto" w:fill="auto"/>
                  <w:noWrap w:val="0"/>
                  <w:vAlign w:val="center"/>
                </w:tcPr>
                <w:p w14:paraId="61533AE7">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color w:val="auto"/>
                      <w:highlight w:val="none"/>
                      <w:lang w:val="en-US" w:eastAsia="zh-CN"/>
                    </w:rPr>
                  </w:pPr>
                  <w:r>
                    <w:rPr>
                      <w:rFonts w:ascii="Times New Roman"/>
                      <w:color w:val="auto"/>
                      <w:highlight w:val="none"/>
                    </w:rPr>
                    <w:t>罐区1座，占地面积</w:t>
                  </w:r>
                  <w:r>
                    <w:rPr>
                      <w:rFonts w:hint="eastAsia" w:ascii="Times New Roman"/>
                      <w:color w:val="auto"/>
                      <w:highlight w:val="none"/>
                      <w:lang w:val="en-US" w:eastAsia="zh-CN"/>
                    </w:rPr>
                    <w:t>约200</w:t>
                  </w:r>
                  <w:r>
                    <w:rPr>
                      <w:rFonts w:ascii="Times New Roman"/>
                      <w:color w:val="auto"/>
                      <w:highlight w:val="none"/>
                    </w:rPr>
                    <w:t>m</w:t>
                  </w:r>
                  <w:r>
                    <w:rPr>
                      <w:rFonts w:ascii="Times New Roman"/>
                      <w:color w:val="auto"/>
                      <w:highlight w:val="none"/>
                      <w:vertAlign w:val="superscript"/>
                    </w:rPr>
                    <w:t>2</w:t>
                  </w:r>
                  <w:r>
                    <w:rPr>
                      <w:rFonts w:ascii="Times New Roman"/>
                      <w:color w:val="auto"/>
                      <w:highlight w:val="none"/>
                    </w:rPr>
                    <w:t>，</w:t>
                  </w:r>
                  <w:r>
                    <w:rPr>
                      <w:rFonts w:hint="eastAsia" w:ascii="Times New Roman"/>
                      <w:color w:val="auto"/>
                      <w:highlight w:val="none"/>
                      <w:lang w:val="en-US" w:eastAsia="zh-CN"/>
                    </w:rPr>
                    <w:t>11</w:t>
                  </w:r>
                  <w:r>
                    <w:rPr>
                      <w:rFonts w:ascii="Times New Roman"/>
                      <w:color w:val="auto"/>
                      <w:highlight w:val="none"/>
                    </w:rPr>
                    <w:t>座</w:t>
                  </w:r>
                  <w:r>
                    <w:rPr>
                      <w:rFonts w:hint="eastAsia" w:ascii="Times New Roman"/>
                      <w:color w:val="auto"/>
                      <w:highlight w:val="none"/>
                      <w:lang w:val="en-US" w:eastAsia="zh-CN"/>
                    </w:rPr>
                    <w:t>有效容积约23</w:t>
                  </w:r>
                  <w:r>
                    <w:rPr>
                      <w:rFonts w:ascii="Times New Roman"/>
                      <w:color w:val="auto"/>
                      <w:highlight w:val="none"/>
                    </w:rPr>
                    <w:t>m</w:t>
                  </w:r>
                  <w:r>
                    <w:rPr>
                      <w:rFonts w:ascii="Times New Roman"/>
                      <w:color w:val="auto"/>
                      <w:highlight w:val="none"/>
                      <w:vertAlign w:val="superscript"/>
                    </w:rPr>
                    <w:t>3</w:t>
                  </w:r>
                  <w:r>
                    <w:rPr>
                      <w:rFonts w:ascii="Times New Roman"/>
                      <w:color w:val="auto"/>
                      <w:highlight w:val="none"/>
                    </w:rPr>
                    <w:t>储罐</w:t>
                  </w:r>
                  <w:r>
                    <w:rPr>
                      <w:rFonts w:hint="eastAsia" w:ascii="Times New Roman"/>
                      <w:color w:val="auto"/>
                      <w:highlight w:val="none"/>
                      <w:lang w:eastAsia="zh-CN"/>
                    </w:rPr>
                    <w:t>、</w:t>
                  </w:r>
                  <w:r>
                    <w:rPr>
                      <w:rFonts w:hint="eastAsia" w:ascii="Times New Roman"/>
                      <w:color w:val="auto"/>
                      <w:highlight w:val="none"/>
                      <w:lang w:val="en-US" w:eastAsia="zh-CN"/>
                    </w:rPr>
                    <w:t>仅储存微晶蜡</w:t>
                  </w:r>
                </w:p>
                <w:p w14:paraId="70ED2117">
                  <w:pPr>
                    <w:keepNext w:val="0"/>
                    <w:keepLines w:val="0"/>
                    <w:suppressLineNumbers w:val="0"/>
                    <w:spacing w:before="0" w:beforeAutospacing="0" w:after="0" w:afterAutospacing="0"/>
                    <w:ind w:left="0" w:right="0"/>
                    <w:rPr>
                      <w:rFonts w:hint="default" w:ascii="Times New Roman" w:hAnsi="Times New Roman" w:eastAsia="宋体" w:cs="Times New Roman"/>
                      <w:color w:val="auto"/>
                      <w:kern w:val="2"/>
                      <w:sz w:val="21"/>
                      <w:szCs w:val="24"/>
                      <w:lang w:val="en-US" w:eastAsia="zh-CN" w:bidi="ar-SA"/>
                    </w:rPr>
                  </w:pPr>
                  <w:r>
                    <w:rPr>
                      <w:rFonts w:hint="eastAsia"/>
                      <w:color w:val="auto"/>
                      <w:highlight w:val="none"/>
                      <w:lang w:val="en-US" w:eastAsia="zh-CN"/>
                    </w:rPr>
                    <w:t>环保措施：设置围堰（高0.2m、容积约24m</w:t>
                  </w:r>
                  <w:r>
                    <w:rPr>
                      <w:rFonts w:hint="eastAsia"/>
                      <w:color w:val="auto"/>
                      <w:highlight w:val="none"/>
                      <w:vertAlign w:val="superscript"/>
                      <w:lang w:val="en-US" w:eastAsia="zh-CN"/>
                    </w:rPr>
                    <w:t>3</w:t>
                  </w:r>
                  <w:r>
                    <w:rPr>
                      <w:rFonts w:hint="eastAsia"/>
                      <w:color w:val="auto"/>
                      <w:highlight w:val="none"/>
                      <w:lang w:val="en-US" w:eastAsia="zh-CN"/>
                    </w:rPr>
                    <w:t>）；</w:t>
                  </w:r>
                  <w:r>
                    <w:rPr>
                      <w:rFonts w:hint="eastAsia" w:ascii="Times New Roman" w:eastAsia="宋体"/>
                      <w:color w:val="auto"/>
                      <w:highlight w:val="none"/>
                      <w:vertAlign w:val="baseline"/>
                      <w:lang w:val="en-US" w:eastAsia="zh-CN"/>
                    </w:rPr>
                    <w:t>地面防渗，防渗系数K≤1.0×10</w:t>
                  </w:r>
                  <w:r>
                    <w:rPr>
                      <w:rFonts w:hint="eastAsia" w:ascii="Times New Roman" w:eastAsia="宋体"/>
                      <w:color w:val="auto"/>
                      <w:highlight w:val="none"/>
                      <w:vertAlign w:val="superscript"/>
                      <w:lang w:val="en-US" w:eastAsia="zh-CN"/>
                    </w:rPr>
                    <w:t>-</w:t>
                  </w:r>
                  <w:r>
                    <w:rPr>
                      <w:rFonts w:hint="eastAsia"/>
                      <w:color w:val="auto"/>
                      <w:highlight w:val="none"/>
                      <w:vertAlign w:val="superscript"/>
                      <w:lang w:val="en-US" w:eastAsia="zh-CN"/>
                    </w:rPr>
                    <w:t>10</w:t>
                  </w:r>
                  <w:r>
                    <w:rPr>
                      <w:rFonts w:hint="eastAsia" w:ascii="Times New Roman" w:eastAsia="宋体"/>
                      <w:color w:val="auto"/>
                      <w:highlight w:val="none"/>
                      <w:vertAlign w:val="baseline"/>
                      <w:lang w:val="en-US" w:eastAsia="zh-CN"/>
                    </w:rPr>
                    <w:t>cm/s</w:t>
                  </w:r>
                </w:p>
              </w:tc>
              <w:tc>
                <w:tcPr>
                  <w:tcW w:w="330" w:type="pct"/>
                  <w:tcBorders>
                    <w:tl2br w:val="nil"/>
                    <w:tr2bl w:val="nil"/>
                  </w:tcBorders>
                  <w:shd w:val="clear" w:color="auto" w:fill="auto"/>
                  <w:noWrap w:val="0"/>
                  <w:vAlign w:val="center"/>
                </w:tcPr>
                <w:p w14:paraId="5274646B">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eastAsia="宋体"/>
                      <w:color w:val="auto"/>
                      <w:highlight w:val="none"/>
                      <w:lang w:val="en-US" w:eastAsia="zh-CN"/>
                    </w:rPr>
                  </w:pPr>
                  <w:r>
                    <w:rPr>
                      <w:rFonts w:hint="eastAsia" w:ascii="Times New Roman"/>
                      <w:color w:val="auto"/>
                      <w:highlight w:val="none"/>
                      <w:lang w:val="en-US" w:eastAsia="zh-CN"/>
                    </w:rPr>
                    <w:t>新建</w:t>
                  </w:r>
                </w:p>
              </w:tc>
            </w:tr>
            <w:tr w14:paraId="284E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exact"/>
                <w:jc w:val="center"/>
              </w:trPr>
              <w:tc>
                <w:tcPr>
                  <w:tcW w:w="524" w:type="pct"/>
                  <w:vMerge w:val="restart"/>
                  <w:tcBorders>
                    <w:tl2br w:val="nil"/>
                    <w:tr2bl w:val="nil"/>
                  </w:tcBorders>
                  <w:noWrap w:val="0"/>
                  <w:vAlign w:val="center"/>
                </w:tcPr>
                <w:p w14:paraId="7A8A335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公用工程</w:t>
                  </w:r>
                </w:p>
              </w:tc>
              <w:tc>
                <w:tcPr>
                  <w:tcW w:w="541" w:type="pct"/>
                  <w:tcBorders>
                    <w:tl2br w:val="nil"/>
                    <w:tr2bl w:val="nil"/>
                  </w:tcBorders>
                  <w:shd w:val="clear" w:color="auto" w:fill="auto"/>
                  <w:noWrap w:val="0"/>
                  <w:vAlign w:val="center"/>
                </w:tcPr>
                <w:p w14:paraId="61D55682">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Cs/>
                      <w:color w:val="auto"/>
                      <w:kern w:val="0"/>
                      <w:sz w:val="21"/>
                      <w:szCs w:val="21"/>
                      <w:highlight w:val="none"/>
                      <w:lang w:val="en-US" w:eastAsia="zh-CN" w:bidi="ar-SA"/>
                    </w:rPr>
                  </w:pPr>
                  <w:r>
                    <w:rPr>
                      <w:rFonts w:ascii="Times New Roman"/>
                      <w:bCs/>
                      <w:color w:val="auto"/>
                      <w:szCs w:val="21"/>
                      <w:highlight w:val="none"/>
                    </w:rPr>
                    <w:t>供水</w:t>
                  </w:r>
                </w:p>
              </w:tc>
              <w:tc>
                <w:tcPr>
                  <w:tcW w:w="1287" w:type="pct"/>
                  <w:tcBorders>
                    <w:tl2br w:val="nil"/>
                    <w:tr2bl w:val="nil"/>
                  </w:tcBorders>
                  <w:shd w:val="clear" w:color="auto" w:fill="auto"/>
                  <w:noWrap w:val="0"/>
                  <w:vAlign w:val="center"/>
                </w:tcPr>
                <w:p w14:paraId="27EB725C">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ascii="Times New Roman"/>
                      <w:color w:val="auto"/>
                      <w:highlight w:val="none"/>
                    </w:rPr>
                    <w:t>由园区给水管网供给</w:t>
                  </w:r>
                </w:p>
              </w:tc>
              <w:tc>
                <w:tcPr>
                  <w:tcW w:w="1215" w:type="pct"/>
                  <w:tcBorders>
                    <w:tl2br w:val="nil"/>
                    <w:tr2bl w:val="nil"/>
                  </w:tcBorders>
                  <w:shd w:val="clear" w:color="auto" w:fill="auto"/>
                  <w:noWrap w:val="0"/>
                  <w:vAlign w:val="center"/>
                </w:tcPr>
                <w:p w14:paraId="1CC9946F">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本项目无需新鲜水</w:t>
                  </w:r>
                </w:p>
              </w:tc>
              <w:tc>
                <w:tcPr>
                  <w:tcW w:w="1101" w:type="pct"/>
                  <w:tcBorders>
                    <w:tl2br w:val="nil"/>
                    <w:tr2bl w:val="nil"/>
                  </w:tcBorders>
                  <w:shd w:val="clear" w:color="auto" w:fill="auto"/>
                  <w:noWrap w:val="0"/>
                  <w:vAlign w:val="center"/>
                </w:tcPr>
                <w:p w14:paraId="50F541D5">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ascii="Times New Roman"/>
                      <w:color w:val="auto"/>
                      <w:highlight w:val="none"/>
                    </w:rPr>
                    <w:t>由园区给水管网供给</w:t>
                  </w:r>
                </w:p>
              </w:tc>
              <w:tc>
                <w:tcPr>
                  <w:tcW w:w="330" w:type="pct"/>
                  <w:tcBorders>
                    <w:tl2br w:val="nil"/>
                    <w:tr2bl w:val="nil"/>
                  </w:tcBorders>
                  <w:shd w:val="clear" w:color="auto" w:fill="auto"/>
                  <w:noWrap w:val="0"/>
                  <w:vAlign w:val="center"/>
                </w:tcPr>
                <w:p w14:paraId="642DBC2C">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eastAsia="宋体"/>
                      <w:color w:val="auto"/>
                      <w:highlight w:val="none"/>
                      <w:lang w:val="en-US" w:eastAsia="zh-CN"/>
                    </w:rPr>
                  </w:pPr>
                  <w:r>
                    <w:rPr>
                      <w:rFonts w:hint="eastAsia" w:ascii="Times New Roman"/>
                      <w:color w:val="auto"/>
                      <w:highlight w:val="none"/>
                      <w:lang w:val="en-US" w:eastAsia="zh-CN"/>
                    </w:rPr>
                    <w:t>原有</w:t>
                  </w:r>
                </w:p>
              </w:tc>
            </w:tr>
            <w:tr w14:paraId="3B69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5" w:hRule="exact"/>
                <w:jc w:val="center"/>
              </w:trPr>
              <w:tc>
                <w:tcPr>
                  <w:tcW w:w="524" w:type="pct"/>
                  <w:vMerge w:val="continue"/>
                  <w:tcBorders>
                    <w:tl2br w:val="nil"/>
                    <w:tr2bl w:val="nil"/>
                  </w:tcBorders>
                  <w:noWrap w:val="0"/>
                  <w:vAlign w:val="center"/>
                </w:tcPr>
                <w:p w14:paraId="0B9183F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098C456D">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Cs/>
                      <w:color w:val="auto"/>
                      <w:kern w:val="0"/>
                      <w:sz w:val="21"/>
                      <w:szCs w:val="21"/>
                      <w:highlight w:val="none"/>
                      <w:lang w:val="en-US" w:eastAsia="zh-CN" w:bidi="ar-SA"/>
                    </w:rPr>
                  </w:pPr>
                  <w:r>
                    <w:rPr>
                      <w:rFonts w:ascii="Times New Roman"/>
                      <w:bCs/>
                      <w:color w:val="auto"/>
                      <w:szCs w:val="21"/>
                      <w:highlight w:val="none"/>
                    </w:rPr>
                    <w:t>排水</w:t>
                  </w:r>
                </w:p>
              </w:tc>
              <w:tc>
                <w:tcPr>
                  <w:tcW w:w="1287" w:type="pct"/>
                  <w:tcBorders>
                    <w:tl2br w:val="nil"/>
                    <w:tr2bl w:val="nil"/>
                  </w:tcBorders>
                  <w:shd w:val="clear" w:color="auto" w:fill="auto"/>
                  <w:noWrap w:val="0"/>
                  <w:vAlign w:val="center"/>
                </w:tcPr>
                <w:p w14:paraId="23B1DACD">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项目雨污分流，雨水经厂区内部雨水管</w:t>
                  </w:r>
                  <w:bookmarkStart w:id="6" w:name="_GoBack"/>
                  <w:r>
                    <w:rPr>
                      <w:rFonts w:hint="eastAsia" w:ascii="Times New Roman"/>
                      <w:color w:val="auto"/>
                      <w:highlight w:val="none"/>
                      <w:lang w:val="en-US" w:eastAsia="zh-CN"/>
                    </w:rPr>
                    <w:t>线排入</w:t>
                  </w:r>
                  <w:bookmarkEnd w:id="6"/>
                  <w:r>
                    <w:rPr>
                      <w:rFonts w:hint="eastAsia" w:ascii="Times New Roman"/>
                      <w:color w:val="auto"/>
                      <w:highlight w:val="none"/>
                      <w:lang w:val="en-US" w:eastAsia="zh-CN"/>
                    </w:rPr>
                    <w:t>园区配套雨水管网；生活污水经化粪池预处理后经污水管网排入东泽污水处理厂</w:t>
                  </w:r>
                </w:p>
              </w:tc>
              <w:tc>
                <w:tcPr>
                  <w:tcW w:w="1215" w:type="pct"/>
                  <w:tcBorders>
                    <w:tl2br w:val="nil"/>
                    <w:tr2bl w:val="nil"/>
                  </w:tcBorders>
                  <w:shd w:val="clear" w:color="auto" w:fill="auto"/>
                  <w:noWrap w:val="0"/>
                  <w:vAlign w:val="center"/>
                </w:tcPr>
                <w:p w14:paraId="4635424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本项目新增工业废水，蒸汽凝结水回用于地面冲洗，地面冲洗废水经污水管网排入东泽污水处理厂</w:t>
                  </w:r>
                </w:p>
              </w:tc>
              <w:tc>
                <w:tcPr>
                  <w:tcW w:w="1101" w:type="pct"/>
                  <w:tcBorders>
                    <w:tl2br w:val="nil"/>
                    <w:tr2bl w:val="nil"/>
                  </w:tcBorders>
                  <w:shd w:val="clear" w:color="auto" w:fill="auto"/>
                  <w:noWrap w:val="0"/>
                  <w:vAlign w:val="center"/>
                </w:tcPr>
                <w:p w14:paraId="4A04B6D7">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项目雨污分流，雨水经厂区内部雨水管线排入园区配套雨水管网；生活污水经化粪池预处理后经污水管网排入东泽污水处理厂</w:t>
                  </w:r>
                </w:p>
              </w:tc>
              <w:tc>
                <w:tcPr>
                  <w:tcW w:w="330" w:type="pct"/>
                  <w:tcBorders>
                    <w:tl2br w:val="nil"/>
                    <w:tr2bl w:val="nil"/>
                  </w:tcBorders>
                  <w:shd w:val="clear" w:color="auto" w:fill="auto"/>
                  <w:noWrap w:val="0"/>
                  <w:vAlign w:val="center"/>
                </w:tcPr>
                <w:p w14:paraId="2607DE35">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color w:val="auto"/>
                      <w:highlight w:val="none"/>
                      <w:lang w:val="en-US" w:eastAsia="zh-CN"/>
                    </w:rPr>
                  </w:pPr>
                  <w:r>
                    <w:rPr>
                      <w:rFonts w:hint="eastAsia" w:ascii="Times New Roman"/>
                      <w:color w:val="auto"/>
                      <w:highlight w:val="none"/>
                      <w:lang w:val="en-US" w:eastAsia="zh-CN"/>
                    </w:rPr>
                    <w:t>依托</w:t>
                  </w:r>
                </w:p>
              </w:tc>
            </w:tr>
            <w:tr w14:paraId="11AE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exact"/>
                <w:jc w:val="center"/>
              </w:trPr>
              <w:tc>
                <w:tcPr>
                  <w:tcW w:w="524" w:type="pct"/>
                  <w:vMerge w:val="continue"/>
                  <w:tcBorders>
                    <w:tl2br w:val="nil"/>
                    <w:tr2bl w:val="nil"/>
                  </w:tcBorders>
                  <w:noWrap w:val="0"/>
                  <w:vAlign w:val="center"/>
                </w:tcPr>
                <w:p w14:paraId="189C7F30">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0BFBF63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Cs/>
                      <w:color w:val="auto"/>
                      <w:kern w:val="0"/>
                      <w:sz w:val="21"/>
                      <w:szCs w:val="21"/>
                      <w:highlight w:val="none"/>
                      <w:lang w:val="en-US" w:eastAsia="zh-CN" w:bidi="ar-SA"/>
                    </w:rPr>
                  </w:pPr>
                  <w:r>
                    <w:rPr>
                      <w:rFonts w:ascii="Times New Roman"/>
                      <w:bCs/>
                      <w:color w:val="auto"/>
                      <w:szCs w:val="21"/>
                      <w:highlight w:val="none"/>
                    </w:rPr>
                    <w:t>供电</w:t>
                  </w:r>
                </w:p>
              </w:tc>
              <w:tc>
                <w:tcPr>
                  <w:tcW w:w="1287" w:type="pct"/>
                  <w:tcBorders>
                    <w:tl2br w:val="nil"/>
                    <w:tr2bl w:val="nil"/>
                  </w:tcBorders>
                  <w:shd w:val="clear" w:color="auto" w:fill="auto"/>
                  <w:noWrap w:val="0"/>
                  <w:vAlign w:val="center"/>
                </w:tcPr>
                <w:p w14:paraId="1684B875">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ascii="Times New Roman"/>
                      <w:color w:val="auto"/>
                      <w:highlight w:val="none"/>
                    </w:rPr>
                    <w:t>园区供电系统</w:t>
                  </w:r>
                </w:p>
              </w:tc>
              <w:tc>
                <w:tcPr>
                  <w:tcW w:w="1215" w:type="pct"/>
                  <w:tcBorders>
                    <w:tl2br w:val="nil"/>
                    <w:tr2bl w:val="nil"/>
                  </w:tcBorders>
                  <w:shd w:val="clear" w:color="auto" w:fill="auto"/>
                  <w:noWrap w:val="0"/>
                  <w:vAlign w:val="center"/>
                </w:tcPr>
                <w:p w14:paraId="250C1DC0">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ascii="Times New Roman"/>
                      <w:color w:val="auto"/>
                      <w:highlight w:val="none"/>
                    </w:rPr>
                    <w:t>园区供电系统</w:t>
                  </w:r>
                </w:p>
              </w:tc>
              <w:tc>
                <w:tcPr>
                  <w:tcW w:w="1101" w:type="pct"/>
                  <w:tcBorders>
                    <w:tl2br w:val="nil"/>
                    <w:tr2bl w:val="nil"/>
                  </w:tcBorders>
                  <w:shd w:val="clear" w:color="auto" w:fill="auto"/>
                  <w:noWrap w:val="0"/>
                  <w:vAlign w:val="center"/>
                </w:tcPr>
                <w:p w14:paraId="1AA72967">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ascii="Times New Roman"/>
                      <w:color w:val="auto"/>
                      <w:highlight w:val="none"/>
                    </w:rPr>
                    <w:t>园区供电系统</w:t>
                  </w:r>
                </w:p>
              </w:tc>
              <w:tc>
                <w:tcPr>
                  <w:tcW w:w="330" w:type="pct"/>
                  <w:tcBorders>
                    <w:tl2br w:val="nil"/>
                    <w:tr2bl w:val="nil"/>
                  </w:tcBorders>
                  <w:shd w:val="clear" w:color="auto" w:fill="auto"/>
                  <w:noWrap w:val="0"/>
                  <w:vAlign w:val="center"/>
                </w:tcPr>
                <w:p w14:paraId="0EBBE906">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eastAsia="宋体"/>
                      <w:color w:val="auto"/>
                      <w:highlight w:val="none"/>
                      <w:lang w:val="en-US" w:eastAsia="zh-CN"/>
                    </w:rPr>
                  </w:pPr>
                  <w:r>
                    <w:rPr>
                      <w:rFonts w:hint="eastAsia" w:ascii="Times New Roman"/>
                      <w:color w:val="auto"/>
                      <w:highlight w:val="none"/>
                      <w:lang w:val="en-US" w:eastAsia="zh-CN"/>
                    </w:rPr>
                    <w:t>原有</w:t>
                  </w:r>
                </w:p>
              </w:tc>
            </w:tr>
            <w:tr w14:paraId="0E3E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exact"/>
                <w:jc w:val="center"/>
              </w:trPr>
              <w:tc>
                <w:tcPr>
                  <w:tcW w:w="524" w:type="pct"/>
                  <w:vMerge w:val="continue"/>
                  <w:tcBorders>
                    <w:tl2br w:val="nil"/>
                    <w:tr2bl w:val="nil"/>
                  </w:tcBorders>
                  <w:noWrap w:val="0"/>
                  <w:vAlign w:val="center"/>
                </w:tcPr>
                <w:p w14:paraId="0230438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7C539127">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bCs/>
                      <w:color w:val="auto"/>
                      <w:szCs w:val="21"/>
                      <w:highlight w:val="none"/>
                      <w:lang w:val="en-US" w:eastAsia="zh-CN"/>
                    </w:rPr>
                    <w:t>供热</w:t>
                  </w:r>
                </w:p>
              </w:tc>
              <w:tc>
                <w:tcPr>
                  <w:tcW w:w="1287" w:type="pct"/>
                  <w:tcBorders>
                    <w:tl2br w:val="nil"/>
                    <w:tr2bl w:val="nil"/>
                  </w:tcBorders>
                  <w:shd w:val="clear" w:color="auto" w:fill="auto"/>
                  <w:noWrap w:val="0"/>
                  <w:vAlign w:val="center"/>
                </w:tcPr>
                <w:p w14:paraId="4E911E0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1台</w:t>
                  </w:r>
                  <w:r>
                    <w:rPr>
                      <w:rFonts w:hint="default" w:ascii="Times New Roman" w:hAnsi="Times New Roman" w:cs="Times New Roman"/>
                      <w:color w:val="auto"/>
                      <w:szCs w:val="21"/>
                      <w:highlight w:val="none"/>
                    </w:rPr>
                    <w:t>2×10</w:t>
                  </w:r>
                  <w:r>
                    <w:rPr>
                      <w:rFonts w:hint="default" w:ascii="Times New Roman" w:hAnsi="Times New Roman" w:cs="Times New Roman"/>
                      <w:color w:val="auto"/>
                      <w:szCs w:val="21"/>
                      <w:highlight w:val="none"/>
                      <w:vertAlign w:val="superscript"/>
                    </w:rPr>
                    <w:t>6</w:t>
                  </w:r>
                  <w:r>
                    <w:rPr>
                      <w:rFonts w:hint="default" w:ascii="Times New Roman" w:hAnsi="Times New Roman" w:cs="Times New Roman"/>
                      <w:color w:val="auto"/>
                      <w:szCs w:val="21"/>
                      <w:highlight w:val="none"/>
                    </w:rPr>
                    <w:t>Kcal/h</w:t>
                  </w:r>
                  <w:r>
                    <w:rPr>
                      <w:rFonts w:hint="eastAsia" w:ascii="Times New Roman" w:cs="Times New Roman"/>
                      <w:color w:val="auto"/>
                      <w:szCs w:val="21"/>
                      <w:highlight w:val="none"/>
                      <w:lang w:val="en-US" w:eastAsia="zh-CN"/>
                    </w:rPr>
                    <w:t>导热油炉（</w:t>
                  </w:r>
                  <w:r>
                    <w:rPr>
                      <w:rFonts w:hint="default" w:ascii="Times New Roman" w:hAnsi="Times New Roman" w:cs="Times New Roman"/>
                      <w:color w:val="auto"/>
                      <w:szCs w:val="21"/>
                      <w:highlight w:val="none"/>
                    </w:rPr>
                    <w:t>燃料为天然气，热载体为白油</w:t>
                  </w:r>
                  <w:r>
                    <w:rPr>
                      <w:rFonts w:hint="eastAsia" w:ascii="Times New Roman" w:cs="Times New Roman"/>
                      <w:color w:val="auto"/>
                      <w:szCs w:val="21"/>
                      <w:highlight w:val="none"/>
                      <w:lang w:val="en-US" w:eastAsia="zh-CN"/>
                    </w:rPr>
                    <w:t>）</w:t>
                  </w:r>
                </w:p>
              </w:tc>
              <w:tc>
                <w:tcPr>
                  <w:tcW w:w="1215" w:type="pct"/>
                  <w:tcBorders>
                    <w:tl2br w:val="nil"/>
                    <w:tr2bl w:val="nil"/>
                  </w:tcBorders>
                  <w:shd w:val="clear" w:color="auto" w:fill="auto"/>
                  <w:noWrap w:val="0"/>
                  <w:vAlign w:val="center"/>
                </w:tcPr>
                <w:p w14:paraId="4EF6A459">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园区集中供热</w:t>
                  </w:r>
                </w:p>
              </w:tc>
              <w:tc>
                <w:tcPr>
                  <w:tcW w:w="1101" w:type="pct"/>
                  <w:tcBorders>
                    <w:tl2br w:val="nil"/>
                    <w:tr2bl w:val="nil"/>
                  </w:tcBorders>
                  <w:shd w:val="clear" w:color="auto" w:fill="auto"/>
                  <w:noWrap w:val="0"/>
                  <w:vAlign w:val="center"/>
                </w:tcPr>
                <w:p w14:paraId="17C53BE7">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园区集中供热</w:t>
                  </w:r>
                </w:p>
              </w:tc>
              <w:tc>
                <w:tcPr>
                  <w:tcW w:w="330" w:type="pct"/>
                  <w:tcBorders>
                    <w:tl2br w:val="nil"/>
                    <w:tr2bl w:val="nil"/>
                  </w:tcBorders>
                  <w:shd w:val="clear" w:color="auto" w:fill="auto"/>
                  <w:noWrap w:val="0"/>
                  <w:vAlign w:val="center"/>
                </w:tcPr>
                <w:p w14:paraId="678021CF">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color w:val="auto"/>
                      <w:highlight w:val="none"/>
                      <w:lang w:val="en-US" w:eastAsia="zh-CN"/>
                    </w:rPr>
                  </w:pPr>
                  <w:r>
                    <w:rPr>
                      <w:rFonts w:hint="eastAsia" w:ascii="Times New Roman"/>
                      <w:color w:val="auto"/>
                      <w:highlight w:val="none"/>
                      <w:lang w:val="en-US" w:eastAsia="zh-CN"/>
                    </w:rPr>
                    <w:t>依托</w:t>
                  </w:r>
                </w:p>
              </w:tc>
            </w:tr>
            <w:tr w14:paraId="3F39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0" w:hRule="exact"/>
                <w:jc w:val="center"/>
              </w:trPr>
              <w:tc>
                <w:tcPr>
                  <w:tcW w:w="524" w:type="pct"/>
                  <w:vMerge w:val="continue"/>
                  <w:tcBorders>
                    <w:tl2br w:val="nil"/>
                    <w:tr2bl w:val="nil"/>
                  </w:tcBorders>
                  <w:noWrap w:val="0"/>
                  <w:vAlign w:val="center"/>
                </w:tcPr>
                <w:p w14:paraId="78B0728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24618B34">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Cs/>
                      <w:color w:val="auto"/>
                      <w:kern w:val="0"/>
                      <w:sz w:val="21"/>
                      <w:szCs w:val="21"/>
                      <w:highlight w:val="none"/>
                      <w:lang w:val="en-US" w:eastAsia="zh-CN" w:bidi="ar-SA"/>
                    </w:rPr>
                  </w:pPr>
                  <w:r>
                    <w:rPr>
                      <w:rFonts w:ascii="Times New Roman"/>
                      <w:bCs/>
                      <w:color w:val="auto"/>
                      <w:szCs w:val="21"/>
                      <w:highlight w:val="none"/>
                    </w:rPr>
                    <w:t>供蒸汽</w:t>
                  </w:r>
                </w:p>
              </w:tc>
              <w:tc>
                <w:tcPr>
                  <w:tcW w:w="1287" w:type="pct"/>
                  <w:tcBorders>
                    <w:tl2br w:val="nil"/>
                    <w:tr2bl w:val="nil"/>
                  </w:tcBorders>
                  <w:shd w:val="clear" w:color="auto" w:fill="auto"/>
                  <w:noWrap w:val="0"/>
                  <w:vAlign w:val="center"/>
                </w:tcPr>
                <w:p w14:paraId="5DBCBF2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1台</w:t>
                  </w:r>
                  <w:r>
                    <w:rPr>
                      <w:rFonts w:hint="default" w:ascii="Times New Roman" w:hAnsi="Times New Roman" w:cs="Times New Roman"/>
                      <w:color w:val="auto"/>
                      <w:szCs w:val="21"/>
                      <w:highlight w:val="none"/>
                    </w:rPr>
                    <w:t>2×10</w:t>
                  </w:r>
                  <w:r>
                    <w:rPr>
                      <w:rFonts w:hint="default" w:ascii="Times New Roman" w:hAnsi="Times New Roman" w:cs="Times New Roman"/>
                      <w:color w:val="auto"/>
                      <w:szCs w:val="21"/>
                      <w:highlight w:val="none"/>
                      <w:vertAlign w:val="superscript"/>
                    </w:rPr>
                    <w:t>6</w:t>
                  </w:r>
                  <w:r>
                    <w:rPr>
                      <w:rFonts w:hint="default" w:ascii="Times New Roman" w:hAnsi="Times New Roman" w:cs="Times New Roman"/>
                      <w:color w:val="auto"/>
                      <w:szCs w:val="21"/>
                      <w:highlight w:val="none"/>
                    </w:rPr>
                    <w:t>Kcal/h</w:t>
                  </w:r>
                  <w:r>
                    <w:rPr>
                      <w:rFonts w:hint="eastAsia" w:ascii="Times New Roman" w:cs="Times New Roman"/>
                      <w:color w:val="auto"/>
                      <w:szCs w:val="21"/>
                      <w:highlight w:val="none"/>
                      <w:lang w:val="en-US" w:eastAsia="zh-CN"/>
                    </w:rPr>
                    <w:t>导热油炉（</w:t>
                  </w:r>
                  <w:r>
                    <w:rPr>
                      <w:rFonts w:hint="default" w:ascii="Times New Roman" w:hAnsi="Times New Roman" w:cs="Times New Roman"/>
                      <w:color w:val="auto"/>
                      <w:szCs w:val="21"/>
                      <w:highlight w:val="none"/>
                    </w:rPr>
                    <w:t>燃料为天然气，热载体为白油</w:t>
                  </w:r>
                  <w:r>
                    <w:rPr>
                      <w:rFonts w:hint="eastAsia" w:ascii="Times New Roman" w:cs="Times New Roman"/>
                      <w:color w:val="auto"/>
                      <w:szCs w:val="21"/>
                      <w:highlight w:val="none"/>
                      <w:lang w:val="en-US" w:eastAsia="zh-CN"/>
                    </w:rPr>
                    <w:t>）</w:t>
                  </w:r>
                </w:p>
              </w:tc>
              <w:tc>
                <w:tcPr>
                  <w:tcW w:w="1215" w:type="pct"/>
                  <w:tcBorders>
                    <w:tl2br w:val="nil"/>
                    <w:tr2bl w:val="nil"/>
                  </w:tcBorders>
                  <w:shd w:val="clear" w:color="auto" w:fill="auto"/>
                  <w:noWrap w:val="0"/>
                  <w:vAlign w:val="center"/>
                </w:tcPr>
                <w:p w14:paraId="6B6F81DC">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石化热电厂</w:t>
                  </w:r>
                </w:p>
              </w:tc>
              <w:tc>
                <w:tcPr>
                  <w:tcW w:w="1101" w:type="pct"/>
                  <w:tcBorders>
                    <w:tl2br w:val="nil"/>
                    <w:tr2bl w:val="nil"/>
                  </w:tcBorders>
                  <w:shd w:val="clear" w:color="auto" w:fill="auto"/>
                  <w:noWrap w:val="0"/>
                  <w:vAlign w:val="center"/>
                </w:tcPr>
                <w:p w14:paraId="3FB2ADA7">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石化热电厂+1台</w:t>
                  </w:r>
                  <w:r>
                    <w:rPr>
                      <w:rFonts w:hint="default" w:ascii="Times New Roman" w:hAnsi="Times New Roman" w:cs="Times New Roman"/>
                      <w:color w:val="auto"/>
                      <w:szCs w:val="21"/>
                      <w:highlight w:val="none"/>
                    </w:rPr>
                    <w:t>2×10</w:t>
                  </w:r>
                  <w:r>
                    <w:rPr>
                      <w:rFonts w:hint="default" w:ascii="Times New Roman" w:hAnsi="Times New Roman" w:cs="Times New Roman"/>
                      <w:color w:val="auto"/>
                      <w:szCs w:val="21"/>
                      <w:highlight w:val="none"/>
                      <w:vertAlign w:val="superscript"/>
                    </w:rPr>
                    <w:t>6</w:t>
                  </w:r>
                  <w:r>
                    <w:rPr>
                      <w:rFonts w:hint="default" w:ascii="Times New Roman" w:hAnsi="Times New Roman" w:cs="Times New Roman"/>
                      <w:color w:val="auto"/>
                      <w:szCs w:val="21"/>
                      <w:highlight w:val="none"/>
                    </w:rPr>
                    <w:t>Kcal/h</w:t>
                  </w:r>
                  <w:r>
                    <w:rPr>
                      <w:rFonts w:hint="eastAsia" w:ascii="Times New Roman" w:cs="Times New Roman"/>
                      <w:color w:val="auto"/>
                      <w:szCs w:val="21"/>
                      <w:highlight w:val="none"/>
                      <w:lang w:val="en-US" w:eastAsia="zh-CN"/>
                    </w:rPr>
                    <w:t>导热油炉（</w:t>
                  </w:r>
                  <w:r>
                    <w:rPr>
                      <w:rFonts w:hint="default" w:ascii="Times New Roman" w:hAnsi="Times New Roman" w:cs="Times New Roman"/>
                      <w:color w:val="auto"/>
                      <w:szCs w:val="21"/>
                      <w:highlight w:val="none"/>
                    </w:rPr>
                    <w:t>燃料为天然气，热载体为白油</w:t>
                  </w:r>
                  <w:r>
                    <w:rPr>
                      <w:rFonts w:hint="eastAsia" w:ascii="Times New Roman" w:cs="Times New Roman"/>
                      <w:color w:val="auto"/>
                      <w:szCs w:val="21"/>
                      <w:highlight w:val="none"/>
                      <w:lang w:val="en-US" w:eastAsia="zh-CN"/>
                    </w:rPr>
                    <w:t>）</w:t>
                  </w:r>
                </w:p>
              </w:tc>
              <w:tc>
                <w:tcPr>
                  <w:tcW w:w="330" w:type="pct"/>
                  <w:tcBorders>
                    <w:tl2br w:val="nil"/>
                    <w:tr2bl w:val="nil"/>
                  </w:tcBorders>
                  <w:shd w:val="clear" w:color="auto" w:fill="auto"/>
                  <w:noWrap w:val="0"/>
                  <w:vAlign w:val="center"/>
                </w:tcPr>
                <w:p w14:paraId="22A8996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color w:val="auto"/>
                      <w:highlight w:val="none"/>
                      <w:lang w:val="en-US" w:eastAsia="zh-CN"/>
                    </w:rPr>
                  </w:pPr>
                  <w:r>
                    <w:rPr>
                      <w:rFonts w:hint="eastAsia" w:ascii="Times New Roman"/>
                      <w:color w:val="auto"/>
                      <w:highlight w:val="none"/>
                      <w:lang w:val="en-US" w:eastAsia="zh-CN"/>
                    </w:rPr>
                    <w:t>依托</w:t>
                  </w:r>
                </w:p>
              </w:tc>
            </w:tr>
            <w:tr w14:paraId="12D7A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5" w:hRule="exact"/>
                <w:jc w:val="center"/>
              </w:trPr>
              <w:tc>
                <w:tcPr>
                  <w:tcW w:w="524" w:type="pct"/>
                  <w:vMerge w:val="continue"/>
                  <w:tcBorders>
                    <w:tl2br w:val="nil"/>
                    <w:tr2bl w:val="nil"/>
                  </w:tcBorders>
                  <w:noWrap w:val="0"/>
                  <w:vAlign w:val="center"/>
                </w:tcPr>
                <w:p w14:paraId="50CFA6E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shd w:val="clear" w:color="auto" w:fill="auto"/>
                  <w:noWrap w:val="0"/>
                  <w:vAlign w:val="center"/>
                </w:tcPr>
                <w:p w14:paraId="55DF89B2">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textAlignment w:val="auto"/>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bCs/>
                      <w:color w:val="auto"/>
                      <w:szCs w:val="21"/>
                      <w:highlight w:val="none"/>
                    </w:rPr>
                    <w:t>循环水系统</w:t>
                  </w:r>
                </w:p>
              </w:tc>
              <w:tc>
                <w:tcPr>
                  <w:tcW w:w="1287" w:type="pct"/>
                  <w:tcBorders>
                    <w:tl2br w:val="nil"/>
                    <w:tr2bl w:val="nil"/>
                  </w:tcBorders>
                  <w:shd w:val="clear" w:color="auto" w:fill="auto"/>
                  <w:noWrap w:val="0"/>
                  <w:vAlign w:val="center"/>
                </w:tcPr>
                <w:p w14:paraId="2A8BB0D7">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ascii="Times New Roman"/>
                      <w:color w:val="auto"/>
                      <w:highlight w:val="none"/>
                    </w:rPr>
                    <w:t>厂区建有循环水池1座，循环水量</w:t>
                  </w:r>
                  <w:r>
                    <w:rPr>
                      <w:rFonts w:hint="eastAsia" w:ascii="Times New Roman"/>
                      <w:color w:val="auto"/>
                      <w:highlight w:val="none"/>
                      <w:lang w:val="en-US" w:eastAsia="zh-CN"/>
                    </w:rPr>
                    <w:t>150</w:t>
                  </w:r>
                  <w:r>
                    <w:rPr>
                      <w:rFonts w:ascii="Times New Roman"/>
                      <w:color w:val="auto"/>
                      <w:highlight w:val="none"/>
                    </w:rPr>
                    <w:t>m</w:t>
                  </w:r>
                  <w:r>
                    <w:rPr>
                      <w:rFonts w:ascii="Times New Roman"/>
                      <w:color w:val="auto"/>
                      <w:highlight w:val="none"/>
                      <w:vertAlign w:val="superscript"/>
                    </w:rPr>
                    <w:t>3</w:t>
                  </w:r>
                  <w:r>
                    <w:rPr>
                      <w:rFonts w:ascii="Times New Roman"/>
                      <w:color w:val="auto"/>
                      <w:highlight w:val="none"/>
                    </w:rPr>
                    <w:t>/h</w:t>
                  </w:r>
                </w:p>
              </w:tc>
              <w:tc>
                <w:tcPr>
                  <w:tcW w:w="1215" w:type="pct"/>
                  <w:tcBorders>
                    <w:tl2br w:val="nil"/>
                    <w:tr2bl w:val="nil"/>
                  </w:tcBorders>
                  <w:shd w:val="clear" w:color="auto" w:fill="auto"/>
                  <w:noWrap w:val="0"/>
                  <w:vAlign w:val="center"/>
                </w:tcPr>
                <w:p w14:paraId="0B6D760E">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w:t>
                  </w:r>
                </w:p>
              </w:tc>
              <w:tc>
                <w:tcPr>
                  <w:tcW w:w="1101" w:type="pct"/>
                  <w:tcBorders>
                    <w:tl2br w:val="nil"/>
                    <w:tr2bl w:val="nil"/>
                  </w:tcBorders>
                  <w:shd w:val="clear" w:color="auto" w:fill="auto"/>
                  <w:noWrap w:val="0"/>
                  <w:vAlign w:val="center"/>
                </w:tcPr>
                <w:p w14:paraId="4DBCDEE0">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ascii="Times New Roman"/>
                      <w:color w:val="auto"/>
                      <w:highlight w:val="none"/>
                    </w:rPr>
                    <w:t>厂区建有循环水池1座，循环水量</w:t>
                  </w:r>
                  <w:r>
                    <w:rPr>
                      <w:rFonts w:hint="eastAsia" w:ascii="Times New Roman"/>
                      <w:color w:val="auto"/>
                      <w:highlight w:val="none"/>
                      <w:lang w:val="en-US" w:eastAsia="zh-CN"/>
                    </w:rPr>
                    <w:t>150</w:t>
                  </w:r>
                  <w:r>
                    <w:rPr>
                      <w:rFonts w:ascii="Times New Roman"/>
                      <w:color w:val="auto"/>
                      <w:highlight w:val="none"/>
                    </w:rPr>
                    <w:t>m</w:t>
                  </w:r>
                  <w:r>
                    <w:rPr>
                      <w:rFonts w:ascii="Times New Roman"/>
                      <w:color w:val="auto"/>
                      <w:highlight w:val="none"/>
                      <w:vertAlign w:val="superscript"/>
                    </w:rPr>
                    <w:t>3</w:t>
                  </w:r>
                  <w:r>
                    <w:rPr>
                      <w:rFonts w:ascii="Times New Roman"/>
                      <w:color w:val="auto"/>
                      <w:highlight w:val="none"/>
                    </w:rPr>
                    <w:t>/h</w:t>
                  </w:r>
                </w:p>
              </w:tc>
              <w:tc>
                <w:tcPr>
                  <w:tcW w:w="330" w:type="pct"/>
                  <w:tcBorders>
                    <w:tl2br w:val="nil"/>
                    <w:tr2bl w:val="nil"/>
                  </w:tcBorders>
                  <w:shd w:val="clear" w:color="auto" w:fill="auto"/>
                  <w:noWrap w:val="0"/>
                  <w:vAlign w:val="center"/>
                </w:tcPr>
                <w:p w14:paraId="583AA36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eastAsia" w:ascii="Times New Roman" w:eastAsia="宋体"/>
                      <w:color w:val="auto"/>
                      <w:highlight w:val="none"/>
                      <w:lang w:val="en-US" w:eastAsia="zh-CN"/>
                    </w:rPr>
                  </w:pPr>
                  <w:r>
                    <w:rPr>
                      <w:rFonts w:hint="eastAsia" w:ascii="Times New Roman"/>
                      <w:color w:val="auto"/>
                      <w:highlight w:val="none"/>
                      <w:lang w:val="en-US" w:eastAsia="zh-CN"/>
                    </w:rPr>
                    <w:t>原有</w:t>
                  </w:r>
                </w:p>
              </w:tc>
            </w:tr>
            <w:tr w14:paraId="5969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exact"/>
                <w:jc w:val="center"/>
              </w:trPr>
              <w:tc>
                <w:tcPr>
                  <w:tcW w:w="524" w:type="pct"/>
                  <w:vMerge w:val="continue"/>
                  <w:tcBorders>
                    <w:tl2br w:val="nil"/>
                    <w:tr2bl w:val="nil"/>
                  </w:tcBorders>
                  <w:noWrap w:val="0"/>
                  <w:vAlign w:val="center"/>
                </w:tcPr>
                <w:p w14:paraId="4DA3AB70">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541" w:type="pct"/>
                  <w:tcBorders>
                    <w:tl2br w:val="nil"/>
                    <w:tr2bl w:val="nil"/>
                  </w:tcBorders>
                  <w:noWrap w:val="0"/>
                  <w:vAlign w:val="center"/>
                </w:tcPr>
                <w:p w14:paraId="339828C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压缩空气</w:t>
                  </w:r>
                </w:p>
              </w:tc>
              <w:tc>
                <w:tcPr>
                  <w:tcW w:w="1287" w:type="pct"/>
                  <w:tcBorders>
                    <w:tl2br w:val="nil"/>
                    <w:tr2bl w:val="nil"/>
                  </w:tcBorders>
                  <w:noWrap w:val="0"/>
                  <w:vAlign w:val="center"/>
                </w:tcPr>
                <w:p w14:paraId="43903547">
                  <w:pPr>
                    <w:pStyle w:val="16"/>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配有2台240Nm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/h螺杆式空压机（一用一备）</w:t>
                  </w:r>
                </w:p>
              </w:tc>
              <w:tc>
                <w:tcPr>
                  <w:tcW w:w="1215" w:type="pct"/>
                  <w:tcBorders>
                    <w:tl2br w:val="nil"/>
                    <w:tr2bl w:val="nil"/>
                  </w:tcBorders>
                  <w:shd w:val="clear" w:color="auto" w:fill="auto"/>
                  <w:noWrap w:val="0"/>
                  <w:vAlign w:val="center"/>
                </w:tcPr>
                <w:p w14:paraId="09F52C90">
                  <w:pPr>
                    <w:pStyle w:val="16"/>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w:t>
                  </w:r>
                </w:p>
              </w:tc>
              <w:tc>
                <w:tcPr>
                  <w:tcW w:w="1101" w:type="pct"/>
                  <w:tcBorders>
                    <w:tl2br w:val="nil"/>
                    <w:tr2bl w:val="nil"/>
                  </w:tcBorders>
                  <w:shd w:val="clear" w:color="auto" w:fill="auto"/>
                  <w:noWrap w:val="0"/>
                  <w:vAlign w:val="center"/>
                </w:tcPr>
                <w:p w14:paraId="2AB131A2">
                  <w:pPr>
                    <w:pStyle w:val="16"/>
                    <w:keepNext w:val="0"/>
                    <w:keepLines w:val="0"/>
                    <w:suppressLineNumbers w:val="0"/>
                    <w:adjustRightInd w:val="0"/>
                    <w:snapToGrid w:val="0"/>
                    <w:spacing w:before="0" w:beforeAutospacing="0" w:after="0" w:afterAutospacing="0" w:line="240" w:lineRule="exact"/>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配有2台240Nm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/h螺杆式空压机（一用一备）</w:t>
                  </w:r>
                </w:p>
              </w:tc>
              <w:tc>
                <w:tcPr>
                  <w:tcW w:w="330" w:type="pct"/>
                  <w:tcBorders>
                    <w:tl2br w:val="nil"/>
                    <w:tr2bl w:val="nil"/>
                  </w:tcBorders>
                  <w:shd w:val="clear" w:color="auto" w:fill="auto"/>
                  <w:noWrap w:val="0"/>
                  <w:vAlign w:val="center"/>
                </w:tcPr>
                <w:p w14:paraId="12DAB4A2">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szCs w:val="21"/>
                      <w:highlight w:val="none"/>
                      <w:lang w:val="en-US" w:eastAsia="zh-CN"/>
                    </w:rPr>
                  </w:pPr>
                  <w:r>
                    <w:rPr>
                      <w:rFonts w:hint="eastAsia" w:ascii="Times New Roman"/>
                      <w:color w:val="auto"/>
                      <w:highlight w:val="none"/>
                      <w:lang w:val="en-US" w:eastAsia="zh-CN"/>
                    </w:rPr>
                    <w:t>原有</w:t>
                  </w:r>
                </w:p>
              </w:tc>
            </w:tr>
            <w:tr w14:paraId="7101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exact"/>
                <w:jc w:val="center"/>
              </w:trPr>
              <w:tc>
                <w:tcPr>
                  <w:tcW w:w="524" w:type="pct"/>
                  <w:vMerge w:val="continue"/>
                  <w:tcBorders>
                    <w:tl2br w:val="nil"/>
                    <w:tr2bl w:val="nil"/>
                  </w:tcBorders>
                  <w:noWrap w:val="0"/>
                  <w:vAlign w:val="center"/>
                </w:tcPr>
                <w:p w14:paraId="781938EB">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541" w:type="pct"/>
                  <w:tcBorders>
                    <w:tl2br w:val="nil"/>
                    <w:tr2bl w:val="nil"/>
                  </w:tcBorders>
                  <w:noWrap w:val="0"/>
                  <w:vAlign w:val="center"/>
                </w:tcPr>
                <w:p w14:paraId="77AFFCC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制冷</w:t>
                  </w:r>
                </w:p>
              </w:tc>
              <w:tc>
                <w:tcPr>
                  <w:tcW w:w="1287" w:type="pct"/>
                  <w:tcBorders>
                    <w:tl2br w:val="nil"/>
                    <w:tr2bl w:val="nil"/>
                  </w:tcBorders>
                  <w:noWrap w:val="0"/>
                  <w:vAlign w:val="center"/>
                </w:tcPr>
                <w:p w14:paraId="5EFC078F">
                  <w:pPr>
                    <w:pStyle w:val="16"/>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配有2台500KW冷冻机（一开一备）</w:t>
                  </w:r>
                </w:p>
              </w:tc>
              <w:tc>
                <w:tcPr>
                  <w:tcW w:w="1215" w:type="pct"/>
                  <w:tcBorders>
                    <w:tl2br w:val="nil"/>
                    <w:tr2bl w:val="nil"/>
                  </w:tcBorders>
                  <w:shd w:val="clear" w:color="auto" w:fill="auto"/>
                  <w:noWrap w:val="0"/>
                  <w:vAlign w:val="center"/>
                </w:tcPr>
                <w:p w14:paraId="27378600">
                  <w:pPr>
                    <w:pStyle w:val="16"/>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w:t>
                  </w:r>
                </w:p>
              </w:tc>
              <w:tc>
                <w:tcPr>
                  <w:tcW w:w="1101" w:type="pct"/>
                  <w:tcBorders>
                    <w:tl2br w:val="nil"/>
                    <w:tr2bl w:val="nil"/>
                  </w:tcBorders>
                  <w:shd w:val="clear" w:color="auto" w:fill="auto"/>
                  <w:noWrap w:val="0"/>
                  <w:vAlign w:val="center"/>
                </w:tcPr>
                <w:p w14:paraId="3D24FD6E">
                  <w:pPr>
                    <w:pStyle w:val="16"/>
                    <w:keepNext w:val="0"/>
                    <w:keepLines w:val="0"/>
                    <w:suppressLineNumbers w:val="0"/>
                    <w:adjustRightInd w:val="0"/>
                    <w:snapToGrid w:val="0"/>
                    <w:spacing w:before="0" w:beforeAutospacing="0" w:after="0" w:afterAutospacing="0" w:line="240" w:lineRule="exact"/>
                    <w:ind w:left="0" w:leftChars="0" w:right="0"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配有2台500KW冷冻机（一开一备）</w:t>
                  </w:r>
                </w:p>
              </w:tc>
              <w:tc>
                <w:tcPr>
                  <w:tcW w:w="330" w:type="pct"/>
                  <w:tcBorders>
                    <w:tl2br w:val="nil"/>
                    <w:tr2bl w:val="nil"/>
                  </w:tcBorders>
                  <w:shd w:val="clear" w:color="auto" w:fill="auto"/>
                  <w:noWrap w:val="0"/>
                  <w:vAlign w:val="center"/>
                </w:tcPr>
                <w:p w14:paraId="663A7E41">
                  <w:pPr>
                    <w:keepNext w:val="0"/>
                    <w:keepLines w:val="0"/>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cs="Times New Roman"/>
                      <w:color w:val="auto"/>
                      <w:szCs w:val="21"/>
                      <w:highlight w:val="none"/>
                    </w:rPr>
                  </w:pPr>
                  <w:r>
                    <w:rPr>
                      <w:rFonts w:hint="eastAsia" w:ascii="Times New Roman"/>
                      <w:color w:val="auto"/>
                      <w:highlight w:val="none"/>
                      <w:lang w:val="en-US" w:eastAsia="zh-CN"/>
                    </w:rPr>
                    <w:t>原有</w:t>
                  </w:r>
                </w:p>
              </w:tc>
            </w:tr>
            <w:tr w14:paraId="1697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exact"/>
                <w:jc w:val="center"/>
              </w:trPr>
              <w:tc>
                <w:tcPr>
                  <w:tcW w:w="524" w:type="pct"/>
                  <w:tcBorders>
                    <w:tl2br w:val="nil"/>
                    <w:tr2bl w:val="nil"/>
                  </w:tcBorders>
                  <w:noWrap w:val="0"/>
                  <w:vAlign w:val="center"/>
                </w:tcPr>
                <w:p w14:paraId="63136A8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辅助工程</w:t>
                  </w:r>
                </w:p>
              </w:tc>
              <w:tc>
                <w:tcPr>
                  <w:tcW w:w="541" w:type="pct"/>
                  <w:tcBorders>
                    <w:tl2br w:val="nil"/>
                    <w:tr2bl w:val="nil"/>
                  </w:tcBorders>
                  <w:noWrap w:val="0"/>
                  <w:vAlign w:val="center"/>
                </w:tcPr>
                <w:p w14:paraId="32B2E1A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综合办公楼</w:t>
                  </w:r>
                </w:p>
              </w:tc>
              <w:tc>
                <w:tcPr>
                  <w:tcW w:w="1287" w:type="pct"/>
                  <w:tcBorders>
                    <w:tl2br w:val="nil"/>
                    <w:tr2bl w:val="nil"/>
                  </w:tcBorders>
                  <w:noWrap w:val="0"/>
                  <w:tcMar>
                    <w:left w:w="0" w:type="dxa"/>
                    <w:right w:w="0" w:type="dxa"/>
                  </w:tcMar>
                  <w:vAlign w:val="center"/>
                </w:tcPr>
                <w:p w14:paraId="6BD4AF7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1座，占地面积517m</w:t>
                  </w:r>
                  <w:r>
                    <w:rPr>
                      <w:rFonts w:hint="default" w:ascii="Times New Roman" w:hAnsi="Times New Roman" w:cs="Times New Roman"/>
                      <w:color w:val="auto"/>
                      <w:szCs w:val="21"/>
                      <w:highlight w:val="none"/>
                      <w:vertAlign w:val="superscript"/>
                    </w:rPr>
                    <w:t>2</w:t>
                  </w:r>
                </w:p>
              </w:tc>
              <w:tc>
                <w:tcPr>
                  <w:tcW w:w="1215" w:type="pct"/>
                  <w:tcBorders>
                    <w:tl2br w:val="nil"/>
                    <w:tr2bl w:val="nil"/>
                  </w:tcBorders>
                  <w:shd w:val="clear" w:color="auto" w:fill="auto"/>
                  <w:noWrap w:val="0"/>
                  <w:tcMar>
                    <w:left w:w="0" w:type="dxa"/>
                    <w:right w:w="0" w:type="dxa"/>
                  </w:tcMar>
                  <w:vAlign w:val="center"/>
                </w:tcPr>
                <w:p w14:paraId="77476197">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w:t>
                  </w:r>
                </w:p>
              </w:tc>
              <w:tc>
                <w:tcPr>
                  <w:tcW w:w="1101" w:type="pct"/>
                  <w:tcBorders>
                    <w:tl2br w:val="nil"/>
                    <w:tr2bl w:val="nil"/>
                  </w:tcBorders>
                  <w:shd w:val="clear" w:color="auto" w:fill="auto"/>
                  <w:noWrap w:val="0"/>
                  <w:tcMar>
                    <w:left w:w="0" w:type="dxa"/>
                    <w:right w:w="0" w:type="dxa"/>
                  </w:tcMar>
                  <w:vAlign w:val="center"/>
                </w:tcPr>
                <w:p w14:paraId="3F521026">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1座，占地面积517m</w:t>
                  </w:r>
                  <w:r>
                    <w:rPr>
                      <w:rFonts w:hint="default" w:ascii="Times New Roman" w:hAnsi="Times New Roman" w:cs="Times New Roman"/>
                      <w:color w:val="auto"/>
                      <w:szCs w:val="21"/>
                      <w:highlight w:val="none"/>
                      <w:vertAlign w:val="superscript"/>
                    </w:rPr>
                    <w:t>2</w:t>
                  </w:r>
                </w:p>
              </w:tc>
              <w:tc>
                <w:tcPr>
                  <w:tcW w:w="330" w:type="pct"/>
                  <w:tcBorders>
                    <w:tl2br w:val="nil"/>
                    <w:tr2bl w:val="nil"/>
                  </w:tcBorders>
                  <w:shd w:val="clear" w:color="auto" w:fill="auto"/>
                  <w:noWrap w:val="0"/>
                  <w:tcMar>
                    <w:left w:w="0" w:type="dxa"/>
                    <w:right w:w="0" w:type="dxa"/>
                  </w:tcMar>
                  <w:vAlign w:val="center"/>
                </w:tcPr>
                <w:p w14:paraId="2D49BE51">
                  <w:pPr>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cs="Times New Roman"/>
                      <w:color w:val="auto"/>
                      <w:szCs w:val="21"/>
                      <w:highlight w:val="none"/>
                    </w:rPr>
                  </w:pPr>
                  <w:r>
                    <w:rPr>
                      <w:rFonts w:hint="eastAsia" w:ascii="Times New Roman"/>
                      <w:color w:val="auto"/>
                      <w:highlight w:val="none"/>
                      <w:lang w:val="en-US" w:eastAsia="zh-CN"/>
                    </w:rPr>
                    <w:t>原有</w:t>
                  </w:r>
                </w:p>
              </w:tc>
            </w:tr>
            <w:tr w14:paraId="449A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jc w:val="center"/>
              </w:trPr>
              <w:tc>
                <w:tcPr>
                  <w:tcW w:w="524" w:type="pct"/>
                  <w:vMerge w:val="restart"/>
                  <w:tcBorders>
                    <w:tl2br w:val="nil"/>
                    <w:tr2bl w:val="nil"/>
                  </w:tcBorders>
                  <w:noWrap w:val="0"/>
                  <w:vAlign w:val="center"/>
                </w:tcPr>
                <w:p w14:paraId="1E1F439D">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环保工程</w:t>
                  </w:r>
                </w:p>
              </w:tc>
              <w:tc>
                <w:tcPr>
                  <w:tcW w:w="541" w:type="pct"/>
                  <w:tcBorders>
                    <w:tl2br w:val="nil"/>
                    <w:tr2bl w:val="nil"/>
                  </w:tcBorders>
                  <w:noWrap w:val="0"/>
                  <w:vAlign w:val="center"/>
                </w:tcPr>
                <w:p w14:paraId="30A1EF5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废气</w:t>
                  </w:r>
                </w:p>
              </w:tc>
              <w:tc>
                <w:tcPr>
                  <w:tcW w:w="1287" w:type="pct"/>
                  <w:tcBorders>
                    <w:tl2br w:val="nil"/>
                    <w:tr2bl w:val="nil"/>
                  </w:tcBorders>
                  <w:noWrap w:val="0"/>
                  <w:vAlign w:val="center"/>
                </w:tcPr>
                <w:p w14:paraId="6D60DB2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涉VOCs物料源头管控</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生产工序位于密闭车间</w:t>
                  </w:r>
                  <w:r>
                    <w:rPr>
                      <w:rFonts w:hint="eastAsia" w:cs="Times New Roman"/>
                      <w:color w:val="auto"/>
                      <w:szCs w:val="21"/>
                      <w:highlight w:val="none"/>
                      <w:lang w:val="en-US" w:eastAsia="zh-CN"/>
                    </w:rPr>
                    <w:t>等</w:t>
                  </w:r>
                </w:p>
              </w:tc>
              <w:tc>
                <w:tcPr>
                  <w:tcW w:w="1215" w:type="pct"/>
                  <w:tcBorders>
                    <w:tl2br w:val="nil"/>
                    <w:tr2bl w:val="nil"/>
                  </w:tcBorders>
                  <w:shd w:val="clear" w:color="auto" w:fill="auto"/>
                  <w:noWrap w:val="0"/>
                  <w:vAlign w:val="center"/>
                </w:tcPr>
                <w:p w14:paraId="16A941F0">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涉VOCs物料源头管控</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生产工序位于密闭车间</w:t>
                  </w:r>
                  <w:r>
                    <w:rPr>
                      <w:rFonts w:hint="eastAsia" w:cs="Times New Roman"/>
                      <w:color w:val="auto"/>
                      <w:szCs w:val="21"/>
                      <w:highlight w:val="none"/>
                      <w:lang w:val="en-US" w:eastAsia="zh-CN"/>
                    </w:rPr>
                    <w:t>等</w:t>
                  </w:r>
                </w:p>
              </w:tc>
              <w:tc>
                <w:tcPr>
                  <w:tcW w:w="1101" w:type="pct"/>
                  <w:tcBorders>
                    <w:tl2br w:val="nil"/>
                    <w:tr2bl w:val="nil"/>
                  </w:tcBorders>
                  <w:shd w:val="clear" w:color="auto" w:fill="auto"/>
                  <w:noWrap w:val="0"/>
                  <w:vAlign w:val="center"/>
                </w:tcPr>
                <w:p w14:paraId="01B66442">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涉VOCs物料源头管控</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生产工序位于密闭车间</w:t>
                  </w:r>
                  <w:r>
                    <w:rPr>
                      <w:rFonts w:hint="eastAsia" w:cs="Times New Roman"/>
                      <w:color w:val="auto"/>
                      <w:szCs w:val="21"/>
                      <w:highlight w:val="none"/>
                      <w:lang w:val="en-US" w:eastAsia="zh-CN"/>
                    </w:rPr>
                    <w:t>等</w:t>
                  </w:r>
                </w:p>
              </w:tc>
              <w:tc>
                <w:tcPr>
                  <w:tcW w:w="330" w:type="pct"/>
                  <w:tcBorders>
                    <w:tl2br w:val="nil"/>
                    <w:tr2bl w:val="nil"/>
                  </w:tcBorders>
                  <w:shd w:val="clear" w:color="auto" w:fill="auto"/>
                  <w:noWrap w:val="0"/>
                  <w:vAlign w:val="center"/>
                </w:tcPr>
                <w:p w14:paraId="7C64920A">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依托</w:t>
                  </w:r>
                </w:p>
              </w:tc>
            </w:tr>
            <w:tr w14:paraId="4C41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2" w:hRule="exact"/>
                <w:jc w:val="center"/>
              </w:trPr>
              <w:tc>
                <w:tcPr>
                  <w:tcW w:w="524" w:type="pct"/>
                  <w:vMerge w:val="continue"/>
                  <w:tcBorders>
                    <w:tl2br w:val="nil"/>
                    <w:tr2bl w:val="nil"/>
                  </w:tcBorders>
                  <w:noWrap w:val="0"/>
                  <w:vAlign w:val="center"/>
                </w:tcPr>
                <w:p w14:paraId="2508BEC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noWrap w:val="0"/>
                  <w:vAlign w:val="center"/>
                </w:tcPr>
                <w:p w14:paraId="5B264D5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废水</w:t>
                  </w:r>
                </w:p>
              </w:tc>
              <w:tc>
                <w:tcPr>
                  <w:tcW w:w="1287" w:type="pct"/>
                  <w:tcBorders>
                    <w:tl2br w:val="nil"/>
                    <w:tr2bl w:val="nil"/>
                  </w:tcBorders>
                  <w:shd w:val="clear" w:color="auto" w:fill="auto"/>
                  <w:noWrap w:val="0"/>
                  <w:vAlign w:val="center"/>
                </w:tcPr>
                <w:p w14:paraId="55254CFF">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项目雨污分流，雨水经厂区内部雨水管</w:t>
                  </w:r>
                  <w:r>
                    <w:rPr>
                      <w:rFonts w:hint="eastAsia" w:ascii="Times New Roman"/>
                      <w:color w:val="FF0000"/>
                      <w:highlight w:val="none"/>
                      <w:lang w:val="en-US" w:eastAsia="zh-CN"/>
                    </w:rPr>
                    <w:t>线排入园</w:t>
                  </w:r>
                  <w:r>
                    <w:rPr>
                      <w:rFonts w:hint="eastAsia" w:ascii="Times New Roman"/>
                      <w:color w:val="auto"/>
                      <w:highlight w:val="none"/>
                      <w:lang w:val="en-US" w:eastAsia="zh-CN"/>
                    </w:rPr>
                    <w:t>区配套雨水管网；生活污水经化粪池预处理后经污水管网排入东泽污水处理厂</w:t>
                  </w:r>
                </w:p>
              </w:tc>
              <w:tc>
                <w:tcPr>
                  <w:tcW w:w="1215" w:type="pct"/>
                  <w:tcBorders>
                    <w:tl2br w:val="nil"/>
                    <w:tr2bl w:val="nil"/>
                  </w:tcBorders>
                  <w:shd w:val="clear" w:color="auto" w:fill="auto"/>
                  <w:noWrap w:val="0"/>
                  <w:vAlign w:val="center"/>
                </w:tcPr>
                <w:p w14:paraId="7B19EEEA">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本项目新增工业废水，蒸汽凝结水回用于地面冲洗，地面冲洗废水经污水管网排入东泽污水处理厂</w:t>
                  </w:r>
                </w:p>
              </w:tc>
              <w:tc>
                <w:tcPr>
                  <w:tcW w:w="1101" w:type="pct"/>
                  <w:tcBorders>
                    <w:tl2br w:val="nil"/>
                    <w:tr2bl w:val="nil"/>
                  </w:tcBorders>
                  <w:shd w:val="clear" w:color="auto" w:fill="auto"/>
                  <w:noWrap w:val="0"/>
                  <w:vAlign w:val="center"/>
                </w:tcPr>
                <w:p w14:paraId="51CF467B">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olor w:val="auto"/>
                      <w:highlight w:val="none"/>
                      <w:lang w:val="en-US" w:eastAsia="zh-CN"/>
                    </w:rPr>
                    <w:t>项目雨污分流，雨水经厂区内部雨水</w:t>
                  </w:r>
                  <w:r>
                    <w:rPr>
                      <w:rFonts w:hint="eastAsia" w:ascii="Times New Roman"/>
                      <w:color w:val="FF0000"/>
                      <w:highlight w:val="none"/>
                      <w:lang w:val="en-US" w:eastAsia="zh-CN"/>
                    </w:rPr>
                    <w:t>管线排入园</w:t>
                  </w:r>
                  <w:r>
                    <w:rPr>
                      <w:rFonts w:hint="eastAsia" w:ascii="Times New Roman"/>
                      <w:color w:val="auto"/>
                      <w:highlight w:val="none"/>
                      <w:lang w:val="en-US" w:eastAsia="zh-CN"/>
                    </w:rPr>
                    <w:t>区配套雨水管网；生活污水经化粪池预处理后经污水管网排入东泽污水处理厂</w:t>
                  </w:r>
                </w:p>
              </w:tc>
              <w:tc>
                <w:tcPr>
                  <w:tcW w:w="330" w:type="pct"/>
                  <w:tcBorders>
                    <w:tl2br w:val="nil"/>
                    <w:tr2bl w:val="nil"/>
                  </w:tcBorders>
                  <w:shd w:val="clear" w:color="auto" w:fill="auto"/>
                  <w:noWrap w:val="0"/>
                  <w:vAlign w:val="center"/>
                </w:tcPr>
                <w:p w14:paraId="1C61A4EE">
                  <w:pPr>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依托</w:t>
                  </w:r>
                </w:p>
              </w:tc>
            </w:tr>
            <w:tr w14:paraId="25C6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524" w:type="pct"/>
                  <w:vMerge w:val="continue"/>
                  <w:tcBorders>
                    <w:tl2br w:val="nil"/>
                    <w:tr2bl w:val="nil"/>
                  </w:tcBorders>
                  <w:noWrap w:val="0"/>
                  <w:vAlign w:val="center"/>
                </w:tcPr>
                <w:p w14:paraId="1CB9E14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noWrap w:val="0"/>
                  <w:vAlign w:val="center"/>
                </w:tcPr>
                <w:p w14:paraId="4A25D940">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噪声</w:t>
                  </w:r>
                </w:p>
              </w:tc>
              <w:tc>
                <w:tcPr>
                  <w:tcW w:w="1287" w:type="pct"/>
                  <w:tcBorders>
                    <w:tl2br w:val="nil"/>
                    <w:tr2bl w:val="nil"/>
                  </w:tcBorders>
                  <w:noWrap w:val="0"/>
                  <w:vAlign w:val="center"/>
                </w:tcPr>
                <w:p w14:paraId="2EA2BCC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基础减振、建筑隔声</w:t>
                  </w:r>
                </w:p>
              </w:tc>
              <w:tc>
                <w:tcPr>
                  <w:tcW w:w="1215" w:type="pct"/>
                  <w:tcBorders>
                    <w:tl2br w:val="nil"/>
                    <w:tr2bl w:val="nil"/>
                  </w:tcBorders>
                  <w:shd w:val="clear" w:color="auto" w:fill="auto"/>
                  <w:noWrap w:val="0"/>
                  <w:vAlign w:val="center"/>
                </w:tcPr>
                <w:p w14:paraId="69ED956E">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基础减振、建筑隔声</w:t>
                  </w:r>
                </w:p>
              </w:tc>
              <w:tc>
                <w:tcPr>
                  <w:tcW w:w="1101" w:type="pct"/>
                  <w:tcBorders>
                    <w:tl2br w:val="nil"/>
                    <w:tr2bl w:val="nil"/>
                  </w:tcBorders>
                  <w:shd w:val="clear" w:color="auto" w:fill="auto"/>
                  <w:noWrap w:val="0"/>
                  <w:vAlign w:val="center"/>
                </w:tcPr>
                <w:p w14:paraId="7AF702BC">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基础减振、建筑隔声</w:t>
                  </w:r>
                </w:p>
              </w:tc>
              <w:tc>
                <w:tcPr>
                  <w:tcW w:w="330" w:type="pct"/>
                  <w:tcBorders>
                    <w:tl2br w:val="nil"/>
                    <w:tr2bl w:val="nil"/>
                  </w:tcBorders>
                  <w:shd w:val="clear" w:color="auto" w:fill="auto"/>
                  <w:noWrap w:val="0"/>
                  <w:vAlign w:val="center"/>
                </w:tcPr>
                <w:p w14:paraId="12153274">
                  <w:pPr>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cs="Times New Roman"/>
                      <w:color w:val="auto"/>
                      <w:szCs w:val="21"/>
                      <w:highlight w:val="none"/>
                      <w:lang w:val="en-US" w:eastAsia="zh-CN"/>
                    </w:rPr>
                  </w:pPr>
                  <w:r>
                    <w:rPr>
                      <w:rFonts w:hint="eastAsia" w:ascii="Times New Roman"/>
                      <w:color w:val="auto"/>
                      <w:highlight w:val="none"/>
                      <w:lang w:val="en-US" w:eastAsia="zh-CN"/>
                    </w:rPr>
                    <w:t>原有</w:t>
                  </w:r>
                </w:p>
              </w:tc>
            </w:tr>
            <w:tr w14:paraId="73EB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exact"/>
                <w:jc w:val="center"/>
              </w:trPr>
              <w:tc>
                <w:tcPr>
                  <w:tcW w:w="524" w:type="pct"/>
                  <w:vMerge w:val="continue"/>
                  <w:tcBorders>
                    <w:tl2br w:val="nil"/>
                    <w:tr2bl w:val="nil"/>
                  </w:tcBorders>
                  <w:noWrap w:val="0"/>
                  <w:vAlign w:val="center"/>
                </w:tcPr>
                <w:p w14:paraId="421E5CA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vMerge w:val="restart"/>
                  <w:tcBorders>
                    <w:tl2br w:val="nil"/>
                    <w:tr2bl w:val="nil"/>
                  </w:tcBorders>
                  <w:noWrap w:val="0"/>
                  <w:vAlign w:val="center"/>
                </w:tcPr>
                <w:p w14:paraId="66DE664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固废</w:t>
                  </w:r>
                </w:p>
              </w:tc>
              <w:tc>
                <w:tcPr>
                  <w:tcW w:w="1287" w:type="pct"/>
                  <w:tcBorders>
                    <w:tl2br w:val="nil"/>
                    <w:tr2bl w:val="nil"/>
                  </w:tcBorders>
                  <w:noWrap w:val="0"/>
                  <w:vAlign w:val="center"/>
                </w:tcPr>
                <w:p w14:paraId="1D1DE291">
                  <w:pPr>
                    <w:pStyle w:val="8"/>
                    <w:keepNext w:val="0"/>
                    <w:keepLines w:val="0"/>
                    <w:suppressLineNumbers w:val="0"/>
                    <w:adjustRightInd w:val="0"/>
                    <w:snapToGrid w:val="0"/>
                    <w:spacing w:before="0" w:beforeAutospacing="0" w:after="0" w:afterAutospacing="0" w:line="240" w:lineRule="exact"/>
                    <w:ind w:left="0" w:right="0" w:firstLine="0" w:firstLineChars="0"/>
                    <w:jc w:val="both"/>
                    <w:rPr>
                      <w:rFonts w:hint="eastAsia" w:cs="Times New Roman"/>
                      <w:color w:val="auto"/>
                      <w:sz w:val="21"/>
                      <w:szCs w:val="21"/>
                      <w:highlight w:val="none"/>
                      <w:vertAlign w:val="superscript"/>
                      <w:lang w:val="en-US" w:eastAsia="zh-CN"/>
                    </w:rPr>
                  </w:pPr>
                  <w:r>
                    <w:rPr>
                      <w:rFonts w:hint="eastAsia" w:cs="Times New Roman"/>
                      <w:color w:val="auto"/>
                      <w:sz w:val="21"/>
                      <w:szCs w:val="21"/>
                      <w:highlight w:val="none"/>
                      <w:lang w:val="en-US" w:eastAsia="zh-CN"/>
                    </w:rPr>
                    <w:t>一般固废暂存处：10m</w:t>
                  </w:r>
                  <w:r>
                    <w:rPr>
                      <w:rFonts w:hint="eastAsia" w:cs="Times New Roman"/>
                      <w:color w:val="auto"/>
                      <w:sz w:val="21"/>
                      <w:szCs w:val="21"/>
                      <w:highlight w:val="none"/>
                      <w:vertAlign w:val="superscript"/>
                      <w:lang w:val="en-US" w:eastAsia="zh-CN"/>
                    </w:rPr>
                    <w:t>2</w:t>
                  </w:r>
                </w:p>
                <w:p w14:paraId="38DCE5E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default"/>
                      <w:color w:val="auto"/>
                      <w:lang w:val="en-US" w:eastAsia="zh-CN"/>
                    </w:rPr>
                  </w:pPr>
                  <w:r>
                    <w:rPr>
                      <w:rFonts w:hint="eastAsia"/>
                      <w:color w:val="auto"/>
                      <w:sz w:val="21"/>
                      <w:szCs w:val="21"/>
                      <w:lang w:val="en-US" w:eastAsia="zh-CN"/>
                    </w:rPr>
                    <w:t>落地石蜡0.4t/a，集中收集后出售；</w:t>
                  </w:r>
                </w:p>
              </w:tc>
              <w:tc>
                <w:tcPr>
                  <w:tcW w:w="1215" w:type="pct"/>
                  <w:tcBorders>
                    <w:tl2br w:val="nil"/>
                    <w:tr2bl w:val="nil"/>
                  </w:tcBorders>
                  <w:shd w:val="clear" w:color="auto" w:fill="auto"/>
                  <w:noWrap w:val="0"/>
                  <w:vAlign w:val="center"/>
                </w:tcPr>
                <w:p w14:paraId="744304B0">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eastAsia" w:cs="Times New Roman"/>
                      <w:color w:val="auto"/>
                      <w:szCs w:val="21"/>
                      <w:highlight w:val="none"/>
                      <w:vertAlign w:val="superscript"/>
                      <w:lang w:val="en-US" w:eastAsia="zh-CN"/>
                    </w:rPr>
                  </w:pPr>
                  <w:r>
                    <w:rPr>
                      <w:rFonts w:hint="eastAsia" w:cs="Times New Roman"/>
                      <w:color w:val="auto"/>
                      <w:szCs w:val="21"/>
                      <w:highlight w:val="none"/>
                      <w:lang w:val="en-US" w:eastAsia="zh-CN"/>
                    </w:rPr>
                    <w:t>一般固废暂存处：10m</w:t>
                  </w:r>
                  <w:r>
                    <w:rPr>
                      <w:rFonts w:hint="eastAsia" w:cs="Times New Roman"/>
                      <w:color w:val="auto"/>
                      <w:szCs w:val="21"/>
                      <w:highlight w:val="none"/>
                      <w:vertAlign w:val="superscript"/>
                      <w:lang w:val="en-US" w:eastAsia="zh-CN"/>
                    </w:rPr>
                    <w:t>2</w:t>
                  </w:r>
                </w:p>
                <w:p w14:paraId="22EF59ED">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eastAsia"/>
                      <w:color w:val="auto"/>
                      <w:lang w:val="en-US" w:eastAsia="zh-CN"/>
                    </w:rPr>
                  </w:pPr>
                  <w:r>
                    <w:rPr>
                      <w:rFonts w:hint="eastAsia" w:cs="Times New Roman"/>
                      <w:color w:val="auto"/>
                      <w:szCs w:val="21"/>
                      <w:highlight w:val="none"/>
                      <w:vertAlign w:val="baseline"/>
                      <w:lang w:val="en-US" w:eastAsia="zh-CN"/>
                    </w:rPr>
                    <w:t>本项目新增</w:t>
                  </w:r>
                  <w:r>
                    <w:rPr>
                      <w:rFonts w:hint="eastAsia"/>
                      <w:color w:val="auto"/>
                      <w:sz w:val="21"/>
                      <w:szCs w:val="21"/>
                      <w:lang w:val="en-US" w:eastAsia="zh-CN"/>
                    </w:rPr>
                    <w:t>落地石蜡、2.7t/a，集中收集后出售；</w:t>
                  </w:r>
                </w:p>
              </w:tc>
              <w:tc>
                <w:tcPr>
                  <w:tcW w:w="1101" w:type="pct"/>
                  <w:tcBorders>
                    <w:tl2br w:val="nil"/>
                    <w:tr2bl w:val="nil"/>
                  </w:tcBorders>
                  <w:shd w:val="clear" w:color="auto" w:fill="auto"/>
                  <w:noWrap w:val="0"/>
                  <w:vAlign w:val="center"/>
                </w:tcPr>
                <w:p w14:paraId="34718945">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eastAsia" w:cs="Times New Roman"/>
                      <w:color w:val="auto"/>
                      <w:szCs w:val="21"/>
                      <w:highlight w:val="none"/>
                      <w:vertAlign w:val="superscript"/>
                      <w:lang w:val="en-US" w:eastAsia="zh-CN"/>
                    </w:rPr>
                  </w:pPr>
                  <w:r>
                    <w:rPr>
                      <w:rFonts w:hint="eastAsia" w:cs="Times New Roman"/>
                      <w:color w:val="auto"/>
                      <w:szCs w:val="21"/>
                      <w:highlight w:val="none"/>
                      <w:lang w:val="en-US" w:eastAsia="zh-CN"/>
                    </w:rPr>
                    <w:t>一般固废暂存处：10m</w:t>
                  </w:r>
                  <w:r>
                    <w:rPr>
                      <w:rFonts w:hint="eastAsia" w:cs="Times New Roman"/>
                      <w:color w:val="auto"/>
                      <w:szCs w:val="21"/>
                      <w:highlight w:val="none"/>
                      <w:vertAlign w:val="superscript"/>
                      <w:lang w:val="en-US" w:eastAsia="zh-CN"/>
                    </w:rPr>
                    <w:t>2</w:t>
                  </w:r>
                </w:p>
                <w:p w14:paraId="57C23CCA">
                  <w:pPr>
                    <w:pStyle w:val="9"/>
                    <w:keepNext w:val="0"/>
                    <w:keepLines w:val="0"/>
                    <w:suppressLineNumbers w:val="0"/>
                    <w:spacing w:before="0" w:beforeAutospacing="0" w:afterAutospacing="0"/>
                    <w:ind w:left="0" w:leftChars="0" w:right="0" w:firstLine="0" w:firstLineChars="0"/>
                    <w:jc w:val="left"/>
                    <w:rPr>
                      <w:rFonts w:hint="eastAsia"/>
                      <w:color w:val="auto"/>
                      <w:vertAlign w:val="baseline"/>
                      <w:lang w:val="en-US" w:eastAsia="zh-CN"/>
                    </w:rPr>
                  </w:pPr>
                  <w:r>
                    <w:rPr>
                      <w:rFonts w:hint="eastAsia"/>
                      <w:color w:val="auto"/>
                      <w:sz w:val="21"/>
                      <w:szCs w:val="21"/>
                      <w:lang w:val="en-US" w:eastAsia="zh-CN"/>
                    </w:rPr>
                    <w:t>落地石蜡2.9t/a，集中收集后出售（仅物理形态改变）；</w:t>
                  </w:r>
                </w:p>
              </w:tc>
              <w:tc>
                <w:tcPr>
                  <w:tcW w:w="330" w:type="pct"/>
                  <w:tcBorders>
                    <w:tl2br w:val="nil"/>
                    <w:tr2bl w:val="nil"/>
                  </w:tcBorders>
                  <w:shd w:val="clear" w:color="auto" w:fill="auto"/>
                  <w:noWrap w:val="0"/>
                  <w:vAlign w:val="center"/>
                </w:tcPr>
                <w:p w14:paraId="0233C1D5">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依托</w:t>
                  </w:r>
                </w:p>
              </w:tc>
            </w:tr>
            <w:tr w14:paraId="241F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exact"/>
                <w:jc w:val="center"/>
              </w:trPr>
              <w:tc>
                <w:tcPr>
                  <w:tcW w:w="524" w:type="pct"/>
                  <w:vMerge w:val="continue"/>
                  <w:tcBorders>
                    <w:tl2br w:val="nil"/>
                    <w:tr2bl w:val="nil"/>
                  </w:tcBorders>
                  <w:noWrap w:val="0"/>
                  <w:vAlign w:val="center"/>
                </w:tcPr>
                <w:p w14:paraId="7F1BCC8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vMerge w:val="continue"/>
                  <w:tcBorders>
                    <w:tl2br w:val="nil"/>
                    <w:tr2bl w:val="nil"/>
                  </w:tcBorders>
                  <w:noWrap w:val="0"/>
                  <w:vAlign w:val="center"/>
                </w:tcPr>
                <w:p w14:paraId="0E43501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1287" w:type="pct"/>
                  <w:tcBorders>
                    <w:tl2br w:val="nil"/>
                    <w:tr2bl w:val="nil"/>
                  </w:tcBorders>
                  <w:noWrap w:val="0"/>
                  <w:vAlign w:val="center"/>
                </w:tcPr>
                <w:p w14:paraId="2FD0AC88">
                  <w:pPr>
                    <w:pStyle w:val="8"/>
                    <w:keepNext w:val="0"/>
                    <w:keepLines w:val="0"/>
                    <w:suppressLineNumbers w:val="0"/>
                    <w:adjustRightInd w:val="0"/>
                    <w:snapToGrid w:val="0"/>
                    <w:spacing w:before="0" w:beforeAutospacing="0" w:after="0" w:afterAutospacing="0" w:line="240" w:lineRule="exact"/>
                    <w:ind w:left="0" w:right="0" w:firstLine="0" w:firstLineChars="0"/>
                    <w:jc w:val="both"/>
                    <w:rPr>
                      <w:rFonts w:hint="eastAsia" w:cs="Times New Roman"/>
                      <w:color w:val="auto"/>
                      <w:sz w:val="21"/>
                      <w:szCs w:val="21"/>
                      <w:highlight w:val="none"/>
                      <w:vertAlign w:val="superscript"/>
                      <w:lang w:val="en-US" w:eastAsia="zh-CN"/>
                    </w:rPr>
                  </w:pPr>
                  <w:r>
                    <w:rPr>
                      <w:rFonts w:hint="eastAsia" w:cs="Times New Roman"/>
                      <w:color w:val="auto"/>
                      <w:sz w:val="21"/>
                      <w:szCs w:val="21"/>
                      <w:highlight w:val="none"/>
                      <w:lang w:val="en-US" w:eastAsia="zh-CN"/>
                    </w:rPr>
                    <w:t>危废贮存点：2m</w:t>
                  </w:r>
                  <w:r>
                    <w:rPr>
                      <w:rFonts w:hint="eastAsia" w:cs="Times New Roman"/>
                      <w:color w:val="auto"/>
                      <w:sz w:val="21"/>
                      <w:szCs w:val="21"/>
                      <w:highlight w:val="none"/>
                      <w:vertAlign w:val="superscript"/>
                      <w:lang w:val="en-US" w:eastAsia="zh-CN"/>
                    </w:rPr>
                    <w:t>2</w:t>
                  </w:r>
                </w:p>
                <w:p w14:paraId="2B3CA6F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default"/>
                      <w:color w:val="auto"/>
                      <w:sz w:val="21"/>
                      <w:szCs w:val="21"/>
                      <w:lang w:val="en-US" w:eastAsia="zh-CN"/>
                    </w:rPr>
                  </w:pPr>
                  <w:r>
                    <w:rPr>
                      <w:rFonts w:hint="eastAsia"/>
                      <w:color w:val="auto"/>
                      <w:sz w:val="21"/>
                      <w:szCs w:val="21"/>
                      <w:lang w:val="en-US" w:eastAsia="zh-CN"/>
                    </w:rPr>
                    <w:t>废滤网及杂质1.1t/a，废机油0.1t/a，暂存后交有资质单位处理</w:t>
                  </w:r>
                </w:p>
              </w:tc>
              <w:tc>
                <w:tcPr>
                  <w:tcW w:w="1215" w:type="pct"/>
                  <w:tcBorders>
                    <w:tl2br w:val="nil"/>
                    <w:tr2bl w:val="nil"/>
                  </w:tcBorders>
                  <w:shd w:val="clear" w:color="auto" w:fill="auto"/>
                  <w:noWrap w:val="0"/>
                  <w:vAlign w:val="center"/>
                </w:tcPr>
                <w:p w14:paraId="5D696F02">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eastAsia" w:cs="Times New Roman"/>
                      <w:color w:val="auto"/>
                      <w:sz w:val="21"/>
                      <w:szCs w:val="21"/>
                      <w:highlight w:val="none"/>
                      <w:vertAlign w:val="superscript"/>
                      <w:lang w:val="en-US" w:eastAsia="zh-CN"/>
                    </w:rPr>
                  </w:pPr>
                  <w:r>
                    <w:rPr>
                      <w:rFonts w:hint="eastAsia" w:cs="Times New Roman"/>
                      <w:color w:val="auto"/>
                      <w:sz w:val="21"/>
                      <w:szCs w:val="21"/>
                      <w:highlight w:val="none"/>
                      <w:lang w:val="en-US" w:eastAsia="zh-CN"/>
                    </w:rPr>
                    <w:t>危废贮存点：2m</w:t>
                  </w:r>
                  <w:r>
                    <w:rPr>
                      <w:rFonts w:hint="eastAsia" w:cs="Times New Roman"/>
                      <w:color w:val="auto"/>
                      <w:sz w:val="21"/>
                      <w:szCs w:val="21"/>
                      <w:highlight w:val="none"/>
                      <w:vertAlign w:val="superscript"/>
                      <w:lang w:val="en-US" w:eastAsia="zh-CN"/>
                    </w:rPr>
                    <w:t>2</w:t>
                  </w:r>
                </w:p>
                <w:p w14:paraId="354D9649">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left"/>
                    <w:textAlignment w:val="auto"/>
                    <w:rPr>
                      <w:rFonts w:hint="default"/>
                      <w:color w:val="auto"/>
                      <w:sz w:val="21"/>
                      <w:szCs w:val="21"/>
                      <w:lang w:val="en-US" w:eastAsia="zh-CN"/>
                    </w:rPr>
                  </w:pPr>
                  <w:r>
                    <w:rPr>
                      <w:rFonts w:hint="eastAsia"/>
                      <w:color w:val="auto"/>
                      <w:sz w:val="21"/>
                      <w:szCs w:val="21"/>
                      <w:lang w:val="en-US" w:eastAsia="zh-CN"/>
                    </w:rPr>
                    <w:t>新增过滤杂质及过滤网0.35t/a，暂存后交有资质单位处理</w:t>
                  </w:r>
                </w:p>
                <w:p w14:paraId="0E70404A">
                  <w:pPr>
                    <w:pStyle w:val="9"/>
                    <w:keepNext w:val="0"/>
                    <w:keepLines w:val="0"/>
                    <w:suppressLineNumbers w:val="0"/>
                    <w:spacing w:before="0" w:beforeAutospacing="0" w:afterAutospacing="0"/>
                    <w:ind w:left="0" w:leftChars="0" w:right="0" w:firstLine="0" w:firstLineChars="0"/>
                    <w:rPr>
                      <w:rFonts w:hint="eastAsia"/>
                      <w:color w:val="auto"/>
                      <w:sz w:val="21"/>
                      <w:szCs w:val="21"/>
                      <w:lang w:val="en-US" w:eastAsia="zh-CN"/>
                    </w:rPr>
                  </w:pPr>
                </w:p>
              </w:tc>
              <w:tc>
                <w:tcPr>
                  <w:tcW w:w="1101" w:type="pct"/>
                  <w:tcBorders>
                    <w:tl2br w:val="nil"/>
                    <w:tr2bl w:val="nil"/>
                  </w:tcBorders>
                  <w:shd w:val="clear" w:color="auto" w:fill="auto"/>
                  <w:noWrap w:val="0"/>
                  <w:vAlign w:val="center"/>
                </w:tcPr>
                <w:p w14:paraId="7012533F">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eastAsia" w:cs="Times New Roman"/>
                      <w:color w:val="auto"/>
                      <w:sz w:val="21"/>
                      <w:szCs w:val="21"/>
                      <w:highlight w:val="none"/>
                      <w:vertAlign w:val="superscript"/>
                      <w:lang w:val="en-US" w:eastAsia="zh-CN"/>
                    </w:rPr>
                  </w:pPr>
                  <w:r>
                    <w:rPr>
                      <w:rFonts w:hint="eastAsia" w:cs="Times New Roman"/>
                      <w:color w:val="auto"/>
                      <w:sz w:val="21"/>
                      <w:szCs w:val="21"/>
                      <w:highlight w:val="none"/>
                      <w:lang w:val="en-US" w:eastAsia="zh-CN"/>
                    </w:rPr>
                    <w:t>危废贮存点：2m</w:t>
                  </w:r>
                  <w:r>
                    <w:rPr>
                      <w:rFonts w:hint="eastAsia" w:cs="Times New Roman"/>
                      <w:color w:val="auto"/>
                      <w:sz w:val="21"/>
                      <w:szCs w:val="21"/>
                      <w:highlight w:val="none"/>
                      <w:vertAlign w:val="superscript"/>
                      <w:lang w:val="en-US" w:eastAsia="zh-CN"/>
                    </w:rPr>
                    <w:t>2</w:t>
                  </w:r>
                </w:p>
                <w:p w14:paraId="13234A4C">
                  <w:pPr>
                    <w:pStyle w:val="9"/>
                    <w:keepNext w:val="0"/>
                    <w:keepLines w:val="0"/>
                    <w:suppressLineNumbers w:val="0"/>
                    <w:spacing w:before="0" w:beforeAutospacing="0" w:afterAutospacing="0"/>
                    <w:ind w:left="0" w:leftChars="0" w:right="0" w:firstLine="0" w:firstLineChars="0"/>
                    <w:rPr>
                      <w:rFonts w:hint="eastAsia"/>
                      <w:color w:val="auto"/>
                      <w:sz w:val="21"/>
                      <w:szCs w:val="21"/>
                      <w:lang w:val="en-US" w:eastAsia="zh-CN"/>
                    </w:rPr>
                  </w:pPr>
                  <w:r>
                    <w:rPr>
                      <w:rFonts w:hint="eastAsia"/>
                      <w:color w:val="auto"/>
                      <w:sz w:val="21"/>
                      <w:szCs w:val="21"/>
                      <w:lang w:val="en-US" w:eastAsia="zh-CN"/>
                    </w:rPr>
                    <w:t>废滤网及杂质1.45t/a，废机油0.1t/a，暂存后交有资质单位处理</w:t>
                  </w:r>
                </w:p>
              </w:tc>
              <w:tc>
                <w:tcPr>
                  <w:tcW w:w="330" w:type="pct"/>
                  <w:tcBorders>
                    <w:tl2br w:val="nil"/>
                    <w:tr2bl w:val="nil"/>
                  </w:tcBorders>
                  <w:shd w:val="clear" w:color="auto" w:fill="auto"/>
                  <w:noWrap w:val="0"/>
                  <w:vAlign w:val="center"/>
                </w:tcPr>
                <w:p w14:paraId="4CB3057F">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依托</w:t>
                  </w:r>
                </w:p>
              </w:tc>
            </w:tr>
            <w:tr w14:paraId="7AC7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7" w:hRule="exact"/>
                <w:jc w:val="center"/>
              </w:trPr>
              <w:tc>
                <w:tcPr>
                  <w:tcW w:w="524" w:type="pct"/>
                  <w:vMerge w:val="continue"/>
                  <w:tcBorders>
                    <w:tl2br w:val="nil"/>
                    <w:tr2bl w:val="nil"/>
                  </w:tcBorders>
                  <w:noWrap w:val="0"/>
                  <w:vAlign w:val="center"/>
                </w:tcPr>
                <w:p w14:paraId="102B3ED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tcBorders>
                    <w:tl2br w:val="nil"/>
                    <w:tr2bl w:val="nil"/>
                  </w:tcBorders>
                  <w:noWrap w:val="0"/>
                  <w:vAlign w:val="center"/>
                </w:tcPr>
                <w:p w14:paraId="5930B48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地下水</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土壤</w:t>
                  </w:r>
                </w:p>
              </w:tc>
              <w:tc>
                <w:tcPr>
                  <w:tcW w:w="1287" w:type="pct"/>
                  <w:tcBorders>
                    <w:tl2br w:val="nil"/>
                    <w:tr2bl w:val="nil"/>
                  </w:tcBorders>
                  <w:noWrap w:val="0"/>
                  <w:vAlign w:val="center"/>
                </w:tcPr>
                <w:p w14:paraId="477C6912">
                  <w:pPr>
                    <w:pStyle w:val="8"/>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地面分区防渗处理</w:t>
                  </w:r>
                </w:p>
                <w:p w14:paraId="0D86859E">
                  <w:pPr>
                    <w:pStyle w:val="9"/>
                    <w:keepNext w:val="0"/>
                    <w:keepLines w:val="0"/>
                    <w:pageBreakBefore w:val="0"/>
                    <w:suppressLineNumbers w:val="0"/>
                    <w:kinsoku/>
                    <w:wordWrap/>
                    <w:overflowPunct/>
                    <w:topLinePunct w:val="0"/>
                    <w:autoSpaceDE/>
                    <w:autoSpaceDN/>
                    <w:bidi w:val="0"/>
                    <w:spacing w:before="0" w:beforeAutospacing="0" w:afterAutospacing="0" w:line="240" w:lineRule="auto"/>
                    <w:ind w:left="0" w:leftChars="0" w:right="0" w:firstLine="0" w:firstLineChars="0"/>
                    <w:jc w:val="left"/>
                    <w:textAlignment w:val="auto"/>
                    <w:rPr>
                      <w:rFonts w:hint="eastAsia"/>
                      <w:color w:val="auto"/>
                      <w:sz w:val="21"/>
                      <w:szCs w:val="21"/>
                      <w:lang w:eastAsia="zh-CN"/>
                    </w:rPr>
                  </w:pPr>
                  <w:r>
                    <w:rPr>
                      <w:rFonts w:hint="eastAsia"/>
                      <w:color w:val="auto"/>
                      <w:sz w:val="21"/>
                      <w:szCs w:val="21"/>
                      <w:lang w:val="en-US" w:eastAsia="zh-CN"/>
                    </w:rPr>
                    <w:t>重点防渗区：</w:t>
                  </w:r>
                  <w:r>
                    <w:rPr>
                      <w:rFonts w:hint="default"/>
                      <w:color w:val="auto"/>
                      <w:sz w:val="21"/>
                      <w:szCs w:val="21"/>
                    </w:rPr>
                    <w:t>生产车间、罐区</w:t>
                  </w:r>
                  <w:r>
                    <w:rPr>
                      <w:rFonts w:hint="eastAsia"/>
                      <w:color w:val="auto"/>
                      <w:sz w:val="21"/>
                      <w:szCs w:val="21"/>
                      <w:lang w:eastAsia="zh-CN"/>
                    </w:rPr>
                    <w:t>（</w:t>
                  </w:r>
                  <w:r>
                    <w:rPr>
                      <w:rFonts w:hint="eastAsia"/>
                      <w:color w:val="auto"/>
                      <w:sz w:val="21"/>
                      <w:szCs w:val="21"/>
                      <w:lang w:val="en-US" w:eastAsia="zh-CN"/>
                    </w:rPr>
                    <w:t>A、B</w:t>
                  </w:r>
                  <w:r>
                    <w:rPr>
                      <w:rFonts w:hint="eastAsia"/>
                      <w:color w:val="auto"/>
                      <w:sz w:val="21"/>
                      <w:szCs w:val="21"/>
                      <w:lang w:eastAsia="zh-CN"/>
                    </w:rPr>
                    <w:t>）</w:t>
                  </w:r>
                  <w:r>
                    <w:rPr>
                      <w:rFonts w:hint="default"/>
                      <w:color w:val="auto"/>
                      <w:sz w:val="21"/>
                      <w:szCs w:val="21"/>
                    </w:rPr>
                    <w:t>、危废贮存点</w:t>
                  </w:r>
                  <w:r>
                    <w:rPr>
                      <w:rFonts w:hint="default"/>
                      <w:color w:val="auto"/>
                      <w:sz w:val="21"/>
                      <w:szCs w:val="21"/>
                    </w:rPr>
                    <w:tab/>
                  </w:r>
                  <w:r>
                    <w:rPr>
                      <w:rFonts w:hint="eastAsia"/>
                      <w:color w:val="auto"/>
                      <w:sz w:val="21"/>
                      <w:szCs w:val="21"/>
                      <w:lang w:eastAsia="zh-CN"/>
                    </w:rPr>
                    <w:t>（</w:t>
                  </w:r>
                  <w:r>
                    <w:rPr>
                      <w:rFonts w:hint="default"/>
                      <w:color w:val="auto"/>
                      <w:sz w:val="21"/>
                      <w:szCs w:val="21"/>
                    </w:rPr>
                    <w:t>防渗性能不应低于6.0m厚、渗透系数为1.0×10</w:t>
                  </w:r>
                  <w:r>
                    <w:rPr>
                      <w:rFonts w:hint="default"/>
                      <w:color w:val="auto"/>
                      <w:sz w:val="21"/>
                      <w:szCs w:val="21"/>
                      <w:vertAlign w:val="superscript"/>
                    </w:rPr>
                    <w:t>-10</w:t>
                  </w:r>
                  <w:r>
                    <w:rPr>
                      <w:rFonts w:hint="default"/>
                      <w:color w:val="auto"/>
                      <w:sz w:val="21"/>
                      <w:szCs w:val="21"/>
                    </w:rPr>
                    <w:t>cm/s的粘土层的防渗性能</w:t>
                  </w:r>
                  <w:r>
                    <w:rPr>
                      <w:rFonts w:hint="eastAsia"/>
                      <w:color w:val="auto"/>
                      <w:sz w:val="21"/>
                      <w:szCs w:val="21"/>
                      <w:lang w:eastAsia="zh-CN"/>
                    </w:rPr>
                    <w:t>）</w:t>
                  </w:r>
                </w:p>
                <w:p w14:paraId="65B7BB8A">
                  <w:pPr>
                    <w:pStyle w:val="11"/>
                    <w:keepNext w:val="0"/>
                    <w:keepLines w:val="0"/>
                    <w:pageBreakBefore w:val="0"/>
                    <w:suppressLineNumbers w:val="0"/>
                    <w:kinsoku/>
                    <w:wordWrap/>
                    <w:overflowPunct/>
                    <w:topLinePunct w:val="0"/>
                    <w:autoSpaceDE/>
                    <w:autoSpaceDN/>
                    <w:bidi w:val="0"/>
                    <w:spacing w:beforeAutospacing="0" w:afterAutospacing="0" w:line="240" w:lineRule="auto"/>
                    <w:ind w:left="0" w:leftChars="0" w:right="0" w:firstLine="0" w:firstLineChars="0"/>
                    <w:jc w:val="left"/>
                    <w:textAlignment w:val="auto"/>
                    <w:rPr>
                      <w:rFonts w:hint="default"/>
                      <w:color w:val="auto"/>
                      <w:lang w:val="en-US"/>
                    </w:rPr>
                  </w:pPr>
                  <w:r>
                    <w:rPr>
                      <w:rFonts w:hint="eastAsia"/>
                      <w:color w:val="auto"/>
                      <w:sz w:val="21"/>
                      <w:szCs w:val="21"/>
                      <w:lang w:val="en-US" w:eastAsia="zh-CN"/>
                    </w:rPr>
                    <w:t>一般防渗区：厂区除绿化、道路及重点防渗区外其它区域（防渗性能不应低于1.5m厚、渗透系数为1.0×10</w:t>
                  </w:r>
                  <w:r>
                    <w:rPr>
                      <w:rFonts w:hint="eastAsia"/>
                      <w:color w:val="auto"/>
                      <w:sz w:val="21"/>
                      <w:szCs w:val="21"/>
                      <w:vertAlign w:val="superscript"/>
                      <w:lang w:val="en-US" w:eastAsia="zh-CN"/>
                    </w:rPr>
                    <w:t>-7</w:t>
                  </w:r>
                  <w:r>
                    <w:rPr>
                      <w:rFonts w:hint="eastAsia"/>
                      <w:color w:val="auto"/>
                      <w:sz w:val="21"/>
                      <w:szCs w:val="21"/>
                      <w:lang w:val="en-US" w:eastAsia="zh-CN"/>
                    </w:rPr>
                    <w:t>cm/s的粘土层的防渗性能）</w:t>
                  </w:r>
                </w:p>
              </w:tc>
              <w:tc>
                <w:tcPr>
                  <w:tcW w:w="1215" w:type="pct"/>
                  <w:tcBorders>
                    <w:tl2br w:val="nil"/>
                    <w:tr2bl w:val="nil"/>
                  </w:tcBorders>
                  <w:shd w:val="clear" w:color="auto" w:fill="auto"/>
                  <w:noWrap w:val="0"/>
                  <w:vAlign w:val="center"/>
                </w:tcPr>
                <w:p w14:paraId="61188012">
                  <w:pPr>
                    <w:pStyle w:val="8"/>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地面分区防渗处理</w:t>
                  </w:r>
                </w:p>
                <w:p w14:paraId="16CDBE42">
                  <w:pPr>
                    <w:pStyle w:val="9"/>
                    <w:keepNext w:val="0"/>
                    <w:keepLines w:val="0"/>
                    <w:pageBreakBefore w:val="0"/>
                    <w:suppressLineNumbers w:val="0"/>
                    <w:kinsoku/>
                    <w:wordWrap/>
                    <w:overflowPunct/>
                    <w:topLinePunct w:val="0"/>
                    <w:autoSpaceDE/>
                    <w:autoSpaceDN/>
                    <w:bidi w:val="0"/>
                    <w:spacing w:before="0" w:beforeAutospacing="0" w:afterAutospacing="0" w:line="240" w:lineRule="auto"/>
                    <w:ind w:left="0" w:leftChars="0" w:right="0" w:firstLine="0" w:firstLineChars="0"/>
                    <w:textAlignment w:val="auto"/>
                    <w:rPr>
                      <w:rFonts w:hint="eastAsia"/>
                      <w:color w:val="auto"/>
                      <w:sz w:val="21"/>
                      <w:szCs w:val="21"/>
                      <w:lang w:val="en-US" w:eastAsia="zh-CN"/>
                    </w:rPr>
                  </w:pPr>
                  <w:r>
                    <w:rPr>
                      <w:rFonts w:hint="eastAsia"/>
                      <w:color w:val="auto"/>
                      <w:sz w:val="21"/>
                      <w:szCs w:val="21"/>
                      <w:lang w:val="en-US" w:eastAsia="zh-CN"/>
                    </w:rPr>
                    <w:t>重点防渗区：</w:t>
                  </w:r>
                  <w:r>
                    <w:rPr>
                      <w:rFonts w:hint="default"/>
                      <w:color w:val="auto"/>
                      <w:sz w:val="21"/>
                      <w:szCs w:val="21"/>
                      <w:lang w:val="en-US" w:eastAsia="zh-CN"/>
                    </w:rPr>
                    <w:t>生产车间、罐</w:t>
                  </w:r>
                  <w:r>
                    <w:rPr>
                      <w:rFonts w:hint="eastAsia"/>
                      <w:color w:val="auto"/>
                      <w:sz w:val="21"/>
                      <w:szCs w:val="21"/>
                      <w:lang w:val="en-US" w:eastAsia="zh-CN"/>
                    </w:rPr>
                    <w:t>区C</w:t>
                  </w:r>
                  <w:r>
                    <w:rPr>
                      <w:rFonts w:hint="default"/>
                      <w:color w:val="auto"/>
                      <w:sz w:val="21"/>
                      <w:szCs w:val="21"/>
                      <w:lang w:val="en-US" w:eastAsia="zh-CN"/>
                    </w:rPr>
                    <w:t>（11座23m</w:t>
                  </w:r>
                  <w:r>
                    <w:rPr>
                      <w:rFonts w:hint="default"/>
                      <w:color w:val="auto"/>
                      <w:sz w:val="21"/>
                      <w:szCs w:val="21"/>
                      <w:vertAlign w:val="superscript"/>
                      <w:lang w:val="en-US" w:eastAsia="zh-CN"/>
                    </w:rPr>
                    <w:t>3</w:t>
                  </w:r>
                  <w:r>
                    <w:rPr>
                      <w:rFonts w:hint="default"/>
                      <w:color w:val="auto"/>
                      <w:sz w:val="21"/>
                      <w:szCs w:val="21"/>
                      <w:lang w:val="en-US" w:eastAsia="zh-CN"/>
                    </w:rPr>
                    <w:t>微晶蜡储罐）、危废贮存</w:t>
                  </w:r>
                  <w:r>
                    <w:rPr>
                      <w:rFonts w:hint="eastAsia"/>
                      <w:color w:val="auto"/>
                      <w:sz w:val="21"/>
                      <w:szCs w:val="21"/>
                      <w:lang w:val="en-US" w:eastAsia="zh-CN"/>
                    </w:rPr>
                    <w:t>点（</w:t>
                  </w:r>
                  <w:r>
                    <w:rPr>
                      <w:rFonts w:hint="default"/>
                      <w:color w:val="auto"/>
                      <w:sz w:val="21"/>
                      <w:szCs w:val="21"/>
                      <w:lang w:val="en-US" w:eastAsia="zh-CN"/>
                    </w:rPr>
                    <w:t>防渗性能不应低于6.0m厚、渗透系数为1.0×10-10cm/s的粘土层的防渗性能</w:t>
                  </w:r>
                  <w:r>
                    <w:rPr>
                      <w:rFonts w:hint="eastAsia"/>
                      <w:color w:val="auto"/>
                      <w:sz w:val="21"/>
                      <w:szCs w:val="21"/>
                      <w:lang w:val="en-US" w:eastAsia="zh-CN"/>
                    </w:rPr>
                    <w:t>）</w:t>
                  </w:r>
                </w:p>
                <w:p w14:paraId="07DB7DB9">
                  <w:pPr>
                    <w:pStyle w:val="11"/>
                    <w:keepNext w:val="0"/>
                    <w:keepLines w:val="0"/>
                    <w:pageBreakBefore w:val="0"/>
                    <w:suppressLineNumbers w:val="0"/>
                    <w:kinsoku/>
                    <w:wordWrap/>
                    <w:overflowPunct/>
                    <w:topLinePunct w:val="0"/>
                    <w:autoSpaceDE/>
                    <w:autoSpaceDN/>
                    <w:bidi w:val="0"/>
                    <w:spacing w:beforeAutospacing="0" w:afterAutospacing="0" w:line="240" w:lineRule="auto"/>
                    <w:ind w:left="0" w:leftChars="0" w:right="0" w:firstLine="0" w:firstLineChars="0"/>
                    <w:textAlignment w:val="auto"/>
                    <w:rPr>
                      <w:rFonts w:hint="default"/>
                      <w:color w:val="auto"/>
                      <w:lang w:val="en-US" w:eastAsia="zh-CN"/>
                    </w:rPr>
                  </w:pPr>
                  <w:r>
                    <w:rPr>
                      <w:rFonts w:hint="eastAsia"/>
                      <w:color w:val="auto"/>
                      <w:sz w:val="21"/>
                      <w:szCs w:val="21"/>
                      <w:lang w:val="en-US" w:eastAsia="zh-CN"/>
                    </w:rPr>
                    <w:t>一般防渗区：厂区除绿化、道路及重点防渗区外其它区域（防渗性能不应低于1.5m厚、渗透系数为1.0×10</w:t>
                  </w:r>
                  <w:r>
                    <w:rPr>
                      <w:rFonts w:hint="eastAsia"/>
                      <w:color w:val="auto"/>
                      <w:sz w:val="21"/>
                      <w:szCs w:val="21"/>
                      <w:vertAlign w:val="superscript"/>
                      <w:lang w:val="en-US" w:eastAsia="zh-CN"/>
                    </w:rPr>
                    <w:t>-7</w:t>
                  </w:r>
                  <w:r>
                    <w:rPr>
                      <w:rFonts w:hint="eastAsia"/>
                      <w:color w:val="auto"/>
                      <w:sz w:val="21"/>
                      <w:szCs w:val="21"/>
                      <w:lang w:val="en-US" w:eastAsia="zh-CN"/>
                    </w:rPr>
                    <w:t>cm/s的粘土层的防渗性能）</w:t>
                  </w:r>
                </w:p>
              </w:tc>
              <w:tc>
                <w:tcPr>
                  <w:tcW w:w="1101" w:type="pct"/>
                  <w:tcBorders>
                    <w:tl2br w:val="nil"/>
                    <w:tr2bl w:val="nil"/>
                  </w:tcBorders>
                  <w:shd w:val="clear" w:color="auto" w:fill="auto"/>
                  <w:noWrap w:val="0"/>
                  <w:vAlign w:val="center"/>
                </w:tcPr>
                <w:p w14:paraId="61E478DE">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地面分区防渗处理</w:t>
                  </w:r>
                </w:p>
                <w:p w14:paraId="25805882">
                  <w:pPr>
                    <w:pStyle w:val="9"/>
                    <w:keepNext w:val="0"/>
                    <w:keepLines w:val="0"/>
                    <w:pageBreakBefore w:val="0"/>
                    <w:suppressLineNumbers w:val="0"/>
                    <w:kinsoku/>
                    <w:wordWrap/>
                    <w:overflowPunct/>
                    <w:topLinePunct w:val="0"/>
                    <w:autoSpaceDE/>
                    <w:autoSpaceDN/>
                    <w:bidi w:val="0"/>
                    <w:spacing w:before="0" w:beforeAutospacing="0" w:afterAutospacing="0" w:line="240" w:lineRule="auto"/>
                    <w:ind w:left="0" w:leftChars="0" w:right="0" w:firstLine="0" w:firstLineChars="0"/>
                    <w:jc w:val="left"/>
                    <w:textAlignment w:val="auto"/>
                    <w:rPr>
                      <w:rFonts w:hint="eastAsia"/>
                      <w:color w:val="auto"/>
                      <w:sz w:val="21"/>
                      <w:szCs w:val="21"/>
                      <w:lang w:eastAsia="zh-CN"/>
                    </w:rPr>
                  </w:pPr>
                  <w:r>
                    <w:rPr>
                      <w:rFonts w:hint="eastAsia"/>
                      <w:color w:val="auto"/>
                      <w:sz w:val="21"/>
                      <w:szCs w:val="21"/>
                      <w:lang w:val="en-US" w:eastAsia="zh-CN"/>
                    </w:rPr>
                    <w:t>重点防渗区：</w:t>
                  </w:r>
                  <w:r>
                    <w:rPr>
                      <w:rFonts w:hint="default"/>
                      <w:color w:val="auto"/>
                      <w:sz w:val="21"/>
                      <w:szCs w:val="21"/>
                    </w:rPr>
                    <w:t>生产车间、罐区</w:t>
                  </w:r>
                  <w:r>
                    <w:rPr>
                      <w:rFonts w:hint="eastAsia"/>
                      <w:color w:val="auto"/>
                      <w:sz w:val="21"/>
                      <w:szCs w:val="21"/>
                      <w:lang w:eastAsia="zh-CN"/>
                    </w:rPr>
                    <w:t>（</w:t>
                  </w:r>
                  <w:r>
                    <w:rPr>
                      <w:rFonts w:hint="eastAsia"/>
                      <w:color w:val="auto"/>
                      <w:sz w:val="21"/>
                      <w:szCs w:val="21"/>
                      <w:lang w:val="en-US" w:eastAsia="zh-CN"/>
                    </w:rPr>
                    <w:t>A、B、C</w:t>
                  </w:r>
                  <w:r>
                    <w:rPr>
                      <w:rFonts w:hint="eastAsia"/>
                      <w:color w:val="auto"/>
                      <w:sz w:val="21"/>
                      <w:szCs w:val="21"/>
                      <w:lang w:eastAsia="zh-CN"/>
                    </w:rPr>
                    <w:t>）</w:t>
                  </w:r>
                  <w:r>
                    <w:rPr>
                      <w:rFonts w:hint="default"/>
                      <w:color w:val="auto"/>
                      <w:sz w:val="21"/>
                      <w:szCs w:val="21"/>
                    </w:rPr>
                    <w:t>、危废贮存点</w:t>
                  </w:r>
                  <w:r>
                    <w:rPr>
                      <w:rFonts w:hint="default"/>
                      <w:color w:val="auto"/>
                      <w:sz w:val="21"/>
                      <w:szCs w:val="21"/>
                    </w:rPr>
                    <w:tab/>
                  </w:r>
                  <w:r>
                    <w:rPr>
                      <w:rFonts w:hint="eastAsia"/>
                      <w:color w:val="auto"/>
                      <w:sz w:val="21"/>
                      <w:szCs w:val="21"/>
                      <w:lang w:eastAsia="zh-CN"/>
                    </w:rPr>
                    <w:t>（</w:t>
                  </w:r>
                  <w:r>
                    <w:rPr>
                      <w:rFonts w:hint="default"/>
                      <w:color w:val="auto"/>
                      <w:sz w:val="21"/>
                      <w:szCs w:val="21"/>
                    </w:rPr>
                    <w:t>防渗性能不应低于6.0m厚、渗透系数为1.0×10</w:t>
                  </w:r>
                  <w:r>
                    <w:rPr>
                      <w:rFonts w:hint="default"/>
                      <w:color w:val="auto"/>
                      <w:sz w:val="21"/>
                      <w:szCs w:val="21"/>
                      <w:vertAlign w:val="superscript"/>
                    </w:rPr>
                    <w:t>-10</w:t>
                  </w:r>
                  <w:r>
                    <w:rPr>
                      <w:rFonts w:hint="default"/>
                      <w:color w:val="auto"/>
                      <w:sz w:val="21"/>
                      <w:szCs w:val="21"/>
                    </w:rPr>
                    <w:t>cm/s的粘土层的防渗性能</w:t>
                  </w:r>
                  <w:r>
                    <w:rPr>
                      <w:rFonts w:hint="eastAsia"/>
                      <w:color w:val="auto"/>
                      <w:sz w:val="21"/>
                      <w:szCs w:val="21"/>
                      <w:lang w:eastAsia="zh-CN"/>
                    </w:rPr>
                    <w:t>）</w:t>
                  </w:r>
                </w:p>
                <w:p w14:paraId="2C4F7756">
                  <w:pPr>
                    <w:pStyle w:val="9"/>
                    <w:keepNext w:val="0"/>
                    <w:keepLines w:val="0"/>
                    <w:suppressLineNumbers w:val="0"/>
                    <w:spacing w:before="0" w:beforeAutospacing="0" w:afterAutospacing="0"/>
                    <w:ind w:left="0" w:leftChars="0" w:right="0" w:firstLine="0" w:firstLineChars="0"/>
                    <w:rPr>
                      <w:rFonts w:hint="default"/>
                      <w:color w:val="auto"/>
                      <w:lang w:val="en-US" w:eastAsia="zh-CN"/>
                    </w:rPr>
                  </w:pPr>
                  <w:r>
                    <w:rPr>
                      <w:rFonts w:hint="eastAsia"/>
                      <w:color w:val="auto"/>
                      <w:sz w:val="21"/>
                      <w:szCs w:val="21"/>
                      <w:lang w:val="en-US" w:eastAsia="zh-CN"/>
                    </w:rPr>
                    <w:t>一般防渗区：厂区除绿化、道路及重点防渗区外其它区域（防渗性能不应低于1.5m厚、渗透系数为1.0×10</w:t>
                  </w:r>
                  <w:r>
                    <w:rPr>
                      <w:rFonts w:hint="eastAsia"/>
                      <w:color w:val="auto"/>
                      <w:sz w:val="21"/>
                      <w:szCs w:val="21"/>
                      <w:vertAlign w:val="superscript"/>
                      <w:lang w:val="en-US" w:eastAsia="zh-CN"/>
                    </w:rPr>
                    <w:t>-7</w:t>
                  </w:r>
                  <w:r>
                    <w:rPr>
                      <w:rFonts w:hint="eastAsia"/>
                      <w:color w:val="auto"/>
                      <w:sz w:val="21"/>
                      <w:szCs w:val="21"/>
                      <w:lang w:val="en-US" w:eastAsia="zh-CN"/>
                    </w:rPr>
                    <w:t>cm/s的粘土层的防渗性能）</w:t>
                  </w:r>
                </w:p>
              </w:tc>
              <w:tc>
                <w:tcPr>
                  <w:tcW w:w="330" w:type="pct"/>
                  <w:tcBorders>
                    <w:tl2br w:val="nil"/>
                    <w:tr2bl w:val="nil"/>
                  </w:tcBorders>
                  <w:shd w:val="clear" w:color="auto" w:fill="auto"/>
                  <w:noWrap w:val="0"/>
                  <w:vAlign w:val="center"/>
                </w:tcPr>
                <w:p w14:paraId="24402EDC">
                  <w:pPr>
                    <w:pStyle w:val="8"/>
                    <w:keepNext w:val="0"/>
                    <w:keepLines w:val="0"/>
                    <w:suppressLineNumbers w:val="0"/>
                    <w:adjustRightInd w:val="0"/>
                    <w:snapToGri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原有；原料棚及罐区C新增</w:t>
                  </w:r>
                </w:p>
              </w:tc>
            </w:tr>
            <w:tr w14:paraId="03DC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524" w:type="pct"/>
                  <w:vMerge w:val="continue"/>
                  <w:tcBorders>
                    <w:tl2br w:val="nil"/>
                    <w:tr2bl w:val="nil"/>
                  </w:tcBorders>
                  <w:noWrap w:val="0"/>
                  <w:vAlign w:val="center"/>
                </w:tcPr>
                <w:p w14:paraId="19F862A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vMerge w:val="restart"/>
                  <w:tcBorders>
                    <w:tl2br w:val="nil"/>
                    <w:tr2bl w:val="nil"/>
                  </w:tcBorders>
                  <w:noWrap w:val="0"/>
                  <w:vAlign w:val="center"/>
                </w:tcPr>
                <w:p w14:paraId="0FFAEFCE">
                  <w:pPr>
                    <w:pStyle w:val="7"/>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 w:val="21"/>
                      <w:szCs w:val="21"/>
                      <w:highlight w:val="none"/>
                      <w:lang w:val="en-US"/>
                    </w:rPr>
                  </w:pPr>
                  <w:r>
                    <w:rPr>
                      <w:rFonts w:hint="eastAsia" w:ascii="Times New Roman" w:hAnsi="Times New Roman" w:cs="Times New Roman"/>
                      <w:color w:val="auto"/>
                      <w:sz w:val="21"/>
                      <w:szCs w:val="21"/>
                      <w:highlight w:val="none"/>
                      <w:lang w:val="en-US" w:eastAsia="zh-CN"/>
                    </w:rPr>
                    <w:t>环境风险</w:t>
                  </w:r>
                </w:p>
              </w:tc>
              <w:tc>
                <w:tcPr>
                  <w:tcW w:w="1287" w:type="pct"/>
                  <w:tcBorders>
                    <w:tl2br w:val="nil"/>
                    <w:tr2bl w:val="nil"/>
                  </w:tcBorders>
                  <w:noWrap w:val="0"/>
                  <w:vAlign w:val="center"/>
                </w:tcPr>
                <w:p w14:paraId="70492964">
                  <w:pPr>
                    <w:pStyle w:val="8"/>
                    <w:keepNext w:val="0"/>
                    <w:keepLines w:val="0"/>
                    <w:suppressLineNumbers w:val="0"/>
                    <w:adjustRightInd w:val="0"/>
                    <w:snapToGrid w:val="0"/>
                    <w:spacing w:before="0" w:beforeAutospacing="0" w:after="0" w:afterAutospacing="0" w:line="220" w:lineRule="exact"/>
                    <w:ind w:left="0" w:leftChars="0" w:right="0" w:firstLine="0" w:firstLineChars="0"/>
                    <w:jc w:val="center"/>
                    <w:rPr>
                      <w:rFonts w:hint="default"/>
                      <w:color w:val="auto"/>
                      <w:lang w:val="en-US" w:eastAsia="zh-CN"/>
                    </w:rPr>
                  </w:pPr>
                  <w:r>
                    <w:rPr>
                      <w:rFonts w:hint="eastAsia" w:cs="Times New Roman"/>
                      <w:color w:val="auto"/>
                      <w:sz w:val="21"/>
                      <w:szCs w:val="21"/>
                      <w:highlight w:val="none"/>
                      <w:lang w:val="en-US" w:eastAsia="zh-CN"/>
                    </w:rPr>
                    <w:t>罐区A、罐区B：围堰有效容积4480m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高1m</w:t>
                  </w:r>
                  <w:r>
                    <w:rPr>
                      <w:rFonts w:hint="eastAsia" w:cs="Times New Roman"/>
                      <w:color w:val="auto"/>
                      <w:sz w:val="21"/>
                      <w:szCs w:val="21"/>
                      <w:highlight w:val="none"/>
                      <w:lang w:eastAsia="zh-CN"/>
                    </w:rPr>
                    <w:t>；</w:t>
                  </w:r>
                </w:p>
              </w:tc>
              <w:tc>
                <w:tcPr>
                  <w:tcW w:w="1215" w:type="pct"/>
                  <w:tcBorders>
                    <w:tl2br w:val="nil"/>
                    <w:tr2bl w:val="nil"/>
                  </w:tcBorders>
                  <w:shd w:val="clear" w:color="auto" w:fill="auto"/>
                  <w:noWrap w:val="0"/>
                  <w:vAlign w:val="center"/>
                </w:tcPr>
                <w:p w14:paraId="0DD214BC">
                  <w:pPr>
                    <w:pStyle w:val="8"/>
                    <w:keepNext w:val="0"/>
                    <w:keepLines w:val="0"/>
                    <w:suppressLineNumbers w:val="0"/>
                    <w:adjustRightInd w:val="0"/>
                    <w:snapToGrid w:val="0"/>
                    <w:spacing w:before="0" w:beforeAutospacing="0" w:after="0" w:afterAutospacing="0" w:line="220" w:lineRule="exact"/>
                    <w:ind w:left="0" w:leftChars="0" w:right="0" w:rightChars="0" w:firstLine="0" w:firstLineChars="0"/>
                    <w:jc w:val="center"/>
                    <w:rPr>
                      <w:rFonts w:hint="eastAsia" w:ascii="Times New Roman" w:hAnsi="Times New Roman" w:eastAsia="宋体" w:cs="Times New Roman"/>
                      <w:color w:val="auto"/>
                      <w:kern w:val="2"/>
                      <w:sz w:val="21"/>
                      <w:szCs w:val="24"/>
                      <w:lang w:val="en-US" w:eastAsia="zh-CN" w:bidi="ar-SA"/>
                    </w:rPr>
                  </w:pPr>
                  <w:r>
                    <w:rPr>
                      <w:rFonts w:hint="eastAsia" w:cs="Times New Roman"/>
                      <w:color w:val="auto"/>
                      <w:sz w:val="21"/>
                      <w:szCs w:val="21"/>
                      <w:highlight w:val="none"/>
                      <w:lang w:val="en-US" w:eastAsia="zh-CN"/>
                    </w:rPr>
                    <w:t>/</w:t>
                  </w:r>
                </w:p>
              </w:tc>
              <w:tc>
                <w:tcPr>
                  <w:tcW w:w="1101" w:type="pct"/>
                  <w:tcBorders>
                    <w:tl2br w:val="nil"/>
                    <w:tr2bl w:val="nil"/>
                  </w:tcBorders>
                  <w:shd w:val="clear" w:color="auto" w:fill="auto"/>
                  <w:noWrap w:val="0"/>
                  <w:vAlign w:val="center"/>
                </w:tcPr>
                <w:p w14:paraId="281DB4F9">
                  <w:pPr>
                    <w:pStyle w:val="8"/>
                    <w:keepNext w:val="0"/>
                    <w:keepLines w:val="0"/>
                    <w:suppressLineNumbers w:val="0"/>
                    <w:adjustRightInd w:val="0"/>
                    <w:snapToGrid w:val="0"/>
                    <w:spacing w:before="0" w:beforeAutospacing="0" w:after="0" w:afterAutospacing="0" w:line="220" w:lineRule="exact"/>
                    <w:ind w:left="0" w:leftChars="0" w:right="0" w:rightChars="0" w:firstLine="0" w:firstLineChars="0"/>
                    <w:jc w:val="center"/>
                    <w:rPr>
                      <w:rFonts w:hint="eastAsia" w:ascii="Times New Roman" w:hAnsi="Times New Roman" w:eastAsia="宋体" w:cs="Times New Roman"/>
                      <w:color w:val="auto"/>
                      <w:kern w:val="2"/>
                      <w:sz w:val="21"/>
                      <w:szCs w:val="24"/>
                      <w:lang w:val="en-US" w:eastAsia="zh-CN" w:bidi="ar-SA"/>
                    </w:rPr>
                  </w:pPr>
                  <w:r>
                    <w:rPr>
                      <w:rFonts w:hint="eastAsia" w:cs="Times New Roman"/>
                      <w:color w:val="auto"/>
                      <w:sz w:val="21"/>
                      <w:szCs w:val="21"/>
                      <w:highlight w:val="none"/>
                      <w:lang w:val="en-US" w:eastAsia="zh-CN"/>
                    </w:rPr>
                    <w:t>罐区A、罐区B：围堰有效容积4480m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高1m</w:t>
                  </w:r>
                  <w:r>
                    <w:rPr>
                      <w:rFonts w:hint="eastAsia" w:cs="Times New Roman"/>
                      <w:color w:val="auto"/>
                      <w:sz w:val="21"/>
                      <w:szCs w:val="21"/>
                      <w:highlight w:val="none"/>
                      <w:lang w:eastAsia="zh-CN"/>
                    </w:rPr>
                    <w:t>；</w:t>
                  </w:r>
                </w:p>
              </w:tc>
              <w:tc>
                <w:tcPr>
                  <w:tcW w:w="330" w:type="pct"/>
                  <w:tcBorders>
                    <w:tl2br w:val="nil"/>
                    <w:tr2bl w:val="nil"/>
                  </w:tcBorders>
                  <w:shd w:val="clear" w:color="auto" w:fill="auto"/>
                  <w:noWrap w:val="0"/>
                  <w:vAlign w:val="center"/>
                </w:tcPr>
                <w:p w14:paraId="5C330330">
                  <w:pPr>
                    <w:pStyle w:val="8"/>
                    <w:keepNext w:val="0"/>
                    <w:keepLines w:val="0"/>
                    <w:suppressLineNumbers w:val="0"/>
                    <w:adjustRightInd w:val="0"/>
                    <w:snapToGrid w:val="0"/>
                    <w:spacing w:before="0" w:beforeAutospacing="0" w:after="0" w:afterAutospacing="0" w:line="220" w:lineRule="exact"/>
                    <w:ind w:left="0" w:leftChars="0" w:right="0" w:rightChars="0" w:firstLine="0" w:firstLineChars="0"/>
                    <w:jc w:val="center"/>
                    <w:rPr>
                      <w:rFonts w:hint="default" w:cs="Times New Roman"/>
                      <w:color w:val="auto"/>
                      <w:sz w:val="21"/>
                      <w:szCs w:val="21"/>
                      <w:highlight w:val="none"/>
                      <w:lang w:val="en-US" w:eastAsia="zh-CN"/>
                    </w:rPr>
                  </w:pPr>
                  <w:r>
                    <w:rPr>
                      <w:rFonts w:hint="eastAsia" w:ascii="Times New Roman"/>
                      <w:color w:val="auto"/>
                      <w:highlight w:val="none"/>
                      <w:lang w:val="en-US" w:eastAsia="zh-CN"/>
                    </w:rPr>
                    <w:t>原有</w:t>
                  </w:r>
                </w:p>
              </w:tc>
            </w:tr>
            <w:tr w14:paraId="7809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524" w:type="pct"/>
                  <w:vMerge w:val="continue"/>
                  <w:tcBorders>
                    <w:tl2br w:val="nil"/>
                    <w:tr2bl w:val="nil"/>
                  </w:tcBorders>
                  <w:noWrap w:val="0"/>
                  <w:vAlign w:val="center"/>
                </w:tcPr>
                <w:p w14:paraId="0CDC4429">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color w:val="auto"/>
                    </w:rPr>
                  </w:pPr>
                </w:p>
              </w:tc>
              <w:tc>
                <w:tcPr>
                  <w:tcW w:w="541" w:type="pct"/>
                  <w:vMerge w:val="continue"/>
                  <w:tcBorders>
                    <w:tl2br w:val="nil"/>
                    <w:tr2bl w:val="nil"/>
                  </w:tcBorders>
                  <w:noWrap w:val="0"/>
                  <w:vAlign w:val="center"/>
                </w:tcPr>
                <w:p w14:paraId="6614B945">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color w:val="auto"/>
                    </w:rPr>
                  </w:pPr>
                </w:p>
              </w:tc>
              <w:tc>
                <w:tcPr>
                  <w:tcW w:w="1287" w:type="pct"/>
                  <w:tcBorders>
                    <w:tl2br w:val="nil"/>
                    <w:tr2bl w:val="nil"/>
                  </w:tcBorders>
                  <w:noWrap w:val="0"/>
                  <w:vAlign w:val="center"/>
                </w:tcPr>
                <w:p w14:paraId="4CD91C3C">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color w:val="auto"/>
                      <w:lang w:val="en-US" w:eastAsia="zh-CN"/>
                    </w:rPr>
                  </w:pPr>
                  <w:r>
                    <w:rPr>
                      <w:rFonts w:hint="eastAsia"/>
                      <w:color w:val="auto"/>
                      <w:lang w:val="en-US" w:eastAsia="zh-CN"/>
                    </w:rPr>
                    <w:t>/</w:t>
                  </w:r>
                </w:p>
              </w:tc>
              <w:tc>
                <w:tcPr>
                  <w:tcW w:w="1215" w:type="pct"/>
                  <w:tcBorders>
                    <w:tl2br w:val="nil"/>
                    <w:tr2bl w:val="nil"/>
                  </w:tcBorders>
                  <w:shd w:val="clear" w:color="auto" w:fill="auto"/>
                  <w:noWrap w:val="0"/>
                  <w:vAlign w:val="center"/>
                </w:tcPr>
                <w:p w14:paraId="609A3872">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sz w:val="21"/>
                      <w:szCs w:val="21"/>
                      <w:highlight w:val="none"/>
                      <w:lang w:val="en-US" w:eastAsia="zh-CN"/>
                    </w:rPr>
                    <w:t>罐区C：围堰有效容积24m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高</w:t>
                  </w:r>
                  <w:r>
                    <w:rPr>
                      <w:rFonts w:hint="eastAsia" w:cs="Times New Roman"/>
                      <w:color w:val="auto"/>
                      <w:sz w:val="21"/>
                      <w:szCs w:val="21"/>
                      <w:highlight w:val="none"/>
                      <w:lang w:val="en-US" w:eastAsia="zh-CN"/>
                    </w:rPr>
                    <w:t>0.2</w:t>
                  </w:r>
                  <w:r>
                    <w:rPr>
                      <w:rFonts w:hint="default" w:ascii="Times New Roman" w:hAnsi="Times New Roman" w:cs="Times New Roman"/>
                      <w:color w:val="auto"/>
                      <w:sz w:val="21"/>
                      <w:szCs w:val="21"/>
                      <w:highlight w:val="none"/>
                    </w:rPr>
                    <w:t>m</w:t>
                  </w:r>
                  <w:r>
                    <w:rPr>
                      <w:rFonts w:hint="eastAsia" w:cs="Times New Roman"/>
                      <w:color w:val="auto"/>
                      <w:sz w:val="21"/>
                      <w:szCs w:val="21"/>
                      <w:highlight w:val="none"/>
                      <w:lang w:eastAsia="zh-CN"/>
                    </w:rPr>
                    <w:t>；</w:t>
                  </w:r>
                </w:p>
              </w:tc>
              <w:tc>
                <w:tcPr>
                  <w:tcW w:w="1101" w:type="pct"/>
                  <w:tcBorders>
                    <w:tl2br w:val="nil"/>
                    <w:tr2bl w:val="nil"/>
                  </w:tcBorders>
                  <w:shd w:val="clear" w:color="auto" w:fill="auto"/>
                  <w:noWrap w:val="0"/>
                  <w:vAlign w:val="center"/>
                </w:tcPr>
                <w:p w14:paraId="6BE26CEB">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cs="Times New Roman"/>
                      <w:color w:val="auto"/>
                      <w:sz w:val="21"/>
                      <w:szCs w:val="21"/>
                      <w:highlight w:val="none"/>
                      <w:lang w:val="en-US" w:eastAsia="zh-CN"/>
                    </w:rPr>
                    <w:t>罐区C：围堰有效容积24m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高</w:t>
                  </w:r>
                  <w:r>
                    <w:rPr>
                      <w:rFonts w:hint="eastAsia" w:cs="Times New Roman"/>
                      <w:color w:val="auto"/>
                      <w:sz w:val="21"/>
                      <w:szCs w:val="21"/>
                      <w:highlight w:val="none"/>
                      <w:lang w:val="en-US" w:eastAsia="zh-CN"/>
                    </w:rPr>
                    <w:t>0.2</w:t>
                  </w:r>
                  <w:r>
                    <w:rPr>
                      <w:rFonts w:hint="default" w:ascii="Times New Roman" w:hAnsi="Times New Roman" w:cs="Times New Roman"/>
                      <w:color w:val="auto"/>
                      <w:sz w:val="21"/>
                      <w:szCs w:val="21"/>
                      <w:highlight w:val="none"/>
                    </w:rPr>
                    <w:t>m</w:t>
                  </w:r>
                  <w:r>
                    <w:rPr>
                      <w:rFonts w:hint="eastAsia" w:cs="Times New Roman"/>
                      <w:color w:val="auto"/>
                      <w:sz w:val="21"/>
                      <w:szCs w:val="21"/>
                      <w:highlight w:val="none"/>
                      <w:lang w:eastAsia="zh-CN"/>
                    </w:rPr>
                    <w:t>；</w:t>
                  </w:r>
                </w:p>
              </w:tc>
              <w:tc>
                <w:tcPr>
                  <w:tcW w:w="330" w:type="pct"/>
                  <w:tcBorders>
                    <w:tl2br w:val="nil"/>
                    <w:tr2bl w:val="nil"/>
                  </w:tcBorders>
                  <w:shd w:val="clear" w:color="auto" w:fill="auto"/>
                  <w:noWrap w:val="0"/>
                  <w:vAlign w:val="center"/>
                </w:tcPr>
                <w:p w14:paraId="4C2255EF">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新建</w:t>
                  </w:r>
                </w:p>
              </w:tc>
            </w:tr>
            <w:tr w14:paraId="3D95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7" w:hRule="exact"/>
                <w:jc w:val="center"/>
              </w:trPr>
              <w:tc>
                <w:tcPr>
                  <w:tcW w:w="524" w:type="pct"/>
                  <w:vMerge w:val="continue"/>
                  <w:tcBorders>
                    <w:tl2br w:val="nil"/>
                    <w:tr2bl w:val="nil"/>
                  </w:tcBorders>
                  <w:noWrap w:val="0"/>
                  <w:vAlign w:val="center"/>
                </w:tcPr>
                <w:p w14:paraId="22AFEB92">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541" w:type="pct"/>
                  <w:vMerge w:val="continue"/>
                  <w:tcBorders>
                    <w:tl2br w:val="nil"/>
                    <w:tr2bl w:val="nil"/>
                  </w:tcBorders>
                  <w:noWrap w:val="0"/>
                  <w:vAlign w:val="center"/>
                </w:tcPr>
                <w:p w14:paraId="7C7C56AA">
                  <w:pPr>
                    <w:pStyle w:val="7"/>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p>
              </w:tc>
              <w:tc>
                <w:tcPr>
                  <w:tcW w:w="1287" w:type="pct"/>
                  <w:tcBorders>
                    <w:tl2br w:val="nil"/>
                    <w:tr2bl w:val="nil"/>
                  </w:tcBorders>
                  <w:noWrap w:val="0"/>
                  <w:vAlign w:val="center"/>
                </w:tcPr>
                <w:p w14:paraId="22E92ECE">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eastAsia"/>
                      <w:color w:val="auto"/>
                      <w:sz w:val="21"/>
                      <w:szCs w:val="21"/>
                      <w:highlight w:val="none"/>
                      <w:lang w:val="en-US" w:eastAsia="zh-CN"/>
                    </w:rPr>
                  </w:pPr>
                  <w:r>
                    <w:rPr>
                      <w:rFonts w:hint="eastAsia"/>
                      <w:color w:val="auto"/>
                      <w:sz w:val="21"/>
                      <w:szCs w:val="21"/>
                      <w:highlight w:val="none"/>
                      <w:lang w:eastAsia="zh-CN"/>
                    </w:rPr>
                    <w:t>一级：</w:t>
                  </w:r>
                  <w:r>
                    <w:rPr>
                      <w:rFonts w:hint="eastAsia"/>
                      <w:color w:val="auto"/>
                      <w:sz w:val="21"/>
                      <w:szCs w:val="21"/>
                      <w:highlight w:val="none"/>
                      <w:lang w:val="en-US" w:eastAsia="zh-CN"/>
                    </w:rPr>
                    <w:t>围堰/防火堤；</w:t>
                  </w:r>
                </w:p>
                <w:p w14:paraId="3CED6BFC">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eastAsia"/>
                      <w:color w:val="auto"/>
                      <w:sz w:val="21"/>
                      <w:szCs w:val="21"/>
                      <w:highlight w:val="none"/>
                      <w:lang w:eastAsia="zh-CN"/>
                    </w:rPr>
                  </w:pPr>
                  <w:r>
                    <w:rPr>
                      <w:rFonts w:hint="eastAsia"/>
                      <w:color w:val="auto"/>
                      <w:sz w:val="21"/>
                      <w:szCs w:val="21"/>
                      <w:highlight w:val="none"/>
                      <w:lang w:eastAsia="zh-CN"/>
                    </w:rPr>
                    <w:t>二级：切换阀门；</w:t>
                  </w:r>
                </w:p>
                <w:p w14:paraId="06F53BBA">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cs="Times New Roman"/>
                      <w:color w:val="auto"/>
                      <w:szCs w:val="21"/>
                      <w:highlight w:val="none"/>
                    </w:rPr>
                  </w:pPr>
                  <w:r>
                    <w:rPr>
                      <w:rFonts w:hint="eastAsia" w:cs="Times New Roman"/>
                      <w:color w:val="auto"/>
                      <w:sz w:val="21"/>
                      <w:szCs w:val="21"/>
                      <w:highlight w:val="none"/>
                      <w:lang w:val="en-US" w:eastAsia="zh-CN"/>
                    </w:rPr>
                    <w:t>三级：</w:t>
                  </w:r>
                  <w:r>
                    <w:rPr>
                      <w:rFonts w:hint="default" w:ascii="Times New Roman" w:hAnsi="Times New Roman" w:cs="Times New Roman"/>
                      <w:color w:val="auto"/>
                      <w:sz w:val="21"/>
                      <w:szCs w:val="21"/>
                      <w:highlight w:val="none"/>
                    </w:rPr>
                    <w:t>1座1000m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事故池</w:t>
                  </w:r>
                </w:p>
              </w:tc>
              <w:tc>
                <w:tcPr>
                  <w:tcW w:w="1215" w:type="pct"/>
                  <w:tcBorders>
                    <w:tl2br w:val="nil"/>
                    <w:tr2bl w:val="nil"/>
                  </w:tcBorders>
                  <w:shd w:val="clear" w:color="auto" w:fill="auto"/>
                  <w:noWrap w:val="0"/>
                  <w:vAlign w:val="center"/>
                </w:tcPr>
                <w:p w14:paraId="427B60BB">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eastAsia"/>
                      <w:color w:val="auto"/>
                      <w:sz w:val="21"/>
                      <w:szCs w:val="21"/>
                      <w:highlight w:val="none"/>
                      <w:lang w:val="en-US" w:eastAsia="zh-CN"/>
                    </w:rPr>
                  </w:pPr>
                  <w:r>
                    <w:rPr>
                      <w:rFonts w:hint="eastAsia"/>
                      <w:color w:val="auto"/>
                      <w:sz w:val="21"/>
                      <w:szCs w:val="21"/>
                      <w:highlight w:val="none"/>
                      <w:lang w:eastAsia="zh-CN"/>
                    </w:rPr>
                    <w:t>一级：</w:t>
                  </w:r>
                  <w:r>
                    <w:rPr>
                      <w:rFonts w:hint="eastAsia"/>
                      <w:color w:val="auto"/>
                      <w:sz w:val="21"/>
                      <w:szCs w:val="21"/>
                      <w:highlight w:val="none"/>
                      <w:lang w:val="en-US" w:eastAsia="zh-CN"/>
                    </w:rPr>
                    <w:t>围堰/防火堤；</w:t>
                  </w:r>
                </w:p>
                <w:p w14:paraId="3720BAE2">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eastAsia"/>
                      <w:color w:val="auto"/>
                      <w:sz w:val="21"/>
                      <w:szCs w:val="21"/>
                      <w:highlight w:val="none"/>
                      <w:lang w:eastAsia="zh-CN"/>
                    </w:rPr>
                  </w:pPr>
                  <w:r>
                    <w:rPr>
                      <w:rFonts w:hint="eastAsia"/>
                      <w:color w:val="auto"/>
                      <w:sz w:val="21"/>
                      <w:szCs w:val="21"/>
                      <w:highlight w:val="none"/>
                      <w:lang w:eastAsia="zh-CN"/>
                    </w:rPr>
                    <w:t>二级：切换阀门；</w:t>
                  </w:r>
                </w:p>
                <w:p w14:paraId="5F6FE8E2">
                  <w:pPr>
                    <w:pStyle w:val="8"/>
                    <w:keepNext w:val="0"/>
                    <w:keepLines w:val="0"/>
                    <w:suppressLineNumbers w:val="0"/>
                    <w:adjustRightInd w:val="0"/>
                    <w:snapToGrid w:val="0"/>
                    <w:spacing w:before="0" w:beforeAutospacing="0" w:after="0" w:afterAutospacing="0" w:line="22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三级：</w:t>
                  </w:r>
                  <w:r>
                    <w:rPr>
                      <w:rFonts w:hint="default" w:ascii="Times New Roman" w:hAnsi="Times New Roman" w:cs="Times New Roman"/>
                      <w:color w:val="auto"/>
                      <w:sz w:val="21"/>
                      <w:szCs w:val="21"/>
                      <w:highlight w:val="none"/>
                    </w:rPr>
                    <w:t>1座1000m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事故池</w:t>
                  </w:r>
                </w:p>
              </w:tc>
              <w:tc>
                <w:tcPr>
                  <w:tcW w:w="1101" w:type="pct"/>
                  <w:tcBorders>
                    <w:tl2br w:val="nil"/>
                    <w:tr2bl w:val="nil"/>
                  </w:tcBorders>
                  <w:shd w:val="clear" w:color="auto" w:fill="auto"/>
                  <w:noWrap w:val="0"/>
                  <w:vAlign w:val="center"/>
                </w:tcPr>
                <w:p w14:paraId="0A1B0C7D">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eastAsia"/>
                      <w:color w:val="auto"/>
                      <w:sz w:val="21"/>
                      <w:szCs w:val="21"/>
                      <w:highlight w:val="none"/>
                      <w:lang w:val="en-US" w:eastAsia="zh-CN"/>
                    </w:rPr>
                  </w:pPr>
                  <w:r>
                    <w:rPr>
                      <w:rFonts w:hint="eastAsia"/>
                      <w:color w:val="auto"/>
                      <w:sz w:val="21"/>
                      <w:szCs w:val="21"/>
                      <w:highlight w:val="none"/>
                      <w:lang w:eastAsia="zh-CN"/>
                    </w:rPr>
                    <w:t>一级：</w:t>
                  </w:r>
                  <w:r>
                    <w:rPr>
                      <w:rFonts w:hint="eastAsia"/>
                      <w:color w:val="auto"/>
                      <w:sz w:val="21"/>
                      <w:szCs w:val="21"/>
                      <w:highlight w:val="none"/>
                      <w:lang w:val="en-US" w:eastAsia="zh-CN"/>
                    </w:rPr>
                    <w:t>围堰/防火堤；</w:t>
                  </w:r>
                </w:p>
                <w:p w14:paraId="0ECF323D">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eastAsia"/>
                      <w:color w:val="auto"/>
                      <w:sz w:val="21"/>
                      <w:szCs w:val="21"/>
                      <w:highlight w:val="none"/>
                      <w:lang w:eastAsia="zh-CN"/>
                    </w:rPr>
                  </w:pPr>
                  <w:r>
                    <w:rPr>
                      <w:rFonts w:hint="eastAsia"/>
                      <w:color w:val="auto"/>
                      <w:sz w:val="21"/>
                      <w:szCs w:val="21"/>
                      <w:highlight w:val="none"/>
                      <w:lang w:eastAsia="zh-CN"/>
                    </w:rPr>
                    <w:t>二级：切换阀门；</w:t>
                  </w:r>
                </w:p>
                <w:p w14:paraId="46557D06">
                  <w:pPr>
                    <w:pStyle w:val="8"/>
                    <w:keepNext w:val="0"/>
                    <w:keepLines w:val="0"/>
                    <w:suppressLineNumbers w:val="0"/>
                    <w:adjustRightInd w:val="0"/>
                    <w:snapToGrid w:val="0"/>
                    <w:spacing w:before="0" w:beforeAutospacing="0" w:after="0" w:afterAutospacing="0" w:line="22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三级：</w:t>
                  </w:r>
                  <w:r>
                    <w:rPr>
                      <w:rFonts w:hint="default" w:ascii="Times New Roman" w:hAnsi="Times New Roman" w:cs="Times New Roman"/>
                      <w:color w:val="auto"/>
                      <w:sz w:val="21"/>
                      <w:szCs w:val="21"/>
                      <w:highlight w:val="none"/>
                    </w:rPr>
                    <w:t>1座1000m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事故池</w:t>
                  </w:r>
                </w:p>
              </w:tc>
              <w:tc>
                <w:tcPr>
                  <w:tcW w:w="330" w:type="pct"/>
                  <w:tcBorders>
                    <w:tl2br w:val="nil"/>
                    <w:tr2bl w:val="nil"/>
                  </w:tcBorders>
                  <w:shd w:val="clear" w:color="auto" w:fill="auto"/>
                  <w:noWrap w:val="0"/>
                  <w:vAlign w:val="center"/>
                </w:tcPr>
                <w:p w14:paraId="32C96B01">
                  <w:pPr>
                    <w:pStyle w:val="8"/>
                    <w:keepNext w:val="0"/>
                    <w:keepLines w:val="0"/>
                    <w:suppressLineNumbers w:val="0"/>
                    <w:adjustRightInd w:val="0"/>
                    <w:snapToGrid w:val="0"/>
                    <w:spacing w:before="0" w:beforeAutospacing="0" w:after="0" w:afterAutospacing="0" w:line="220" w:lineRule="exact"/>
                    <w:ind w:left="0" w:leftChars="0" w:right="0" w:rightChars="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依托</w:t>
                  </w:r>
                </w:p>
              </w:tc>
            </w:tr>
          </w:tbl>
          <w:p w14:paraId="0C5C039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60" w:lineRule="auto"/>
              <w:ind w:left="0" w:right="0" w:firstLine="480" w:firstLineChars="200"/>
              <w:textAlignment w:val="auto"/>
              <w:rPr>
                <w:color w:val="auto"/>
                <w:sz w:val="24"/>
                <w:highlight w:val="none"/>
              </w:rPr>
            </w:pPr>
            <w:r>
              <w:rPr>
                <w:color w:val="auto"/>
                <w:sz w:val="24"/>
                <w:highlight w:val="none"/>
              </w:rPr>
              <w:t>2、</w:t>
            </w:r>
            <w:r>
              <w:rPr>
                <w:rFonts w:hint="eastAsia"/>
                <w:color w:val="auto"/>
                <w:sz w:val="24"/>
                <w:highlight w:val="none"/>
              </w:rPr>
              <w:t>产品方案</w:t>
            </w:r>
          </w:p>
          <w:p w14:paraId="0D893CA8">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（1）产品种类及产能</w:t>
            </w:r>
          </w:p>
          <w:p w14:paraId="1A2CD78F">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本项目仅对汉圣化工年产10万t特种蜡项目（现有项目）内涉及各产品的石蜡、微晶蜡原料进行精细预处理。本技改项目实施前后产品种类及产能不发生改变。</w:t>
            </w:r>
          </w:p>
          <w:p w14:paraId="764A93E4">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产品明细见下表。</w:t>
            </w:r>
          </w:p>
          <w:p w14:paraId="4B69E19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color w:val="auto"/>
                <w:sz w:val="24"/>
                <w:highlight w:val="none"/>
                <w:lang w:val="en-US" w:eastAsia="zh-CN"/>
              </w:rPr>
            </w:pPr>
            <w:r>
              <w:rPr>
                <w:rFonts w:hint="eastAsia"/>
                <w:color w:val="auto"/>
                <w:sz w:val="24"/>
                <w:highlight w:val="none"/>
                <w:lang w:val="en-US" w:eastAsia="zh-CN"/>
              </w:rPr>
              <w:t>表2-3  主要产品方案表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053"/>
              <w:gridCol w:w="2013"/>
              <w:gridCol w:w="2188"/>
              <w:gridCol w:w="2317"/>
              <w:gridCol w:w="3925"/>
            </w:tblGrid>
            <w:tr w14:paraId="1B07161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25" w:hRule="exact"/>
              </w:trPr>
              <w:tc>
                <w:tcPr>
                  <w:tcW w:w="458" w:type="pct"/>
                  <w:tcBorders>
                    <w:top w:val="single" w:color="auto" w:sz="4" w:space="0"/>
                    <w:left w:val="single" w:color="auto" w:sz="0" w:space="0"/>
                    <w:bottom w:val="single" w:color="auto" w:sz="4" w:space="0"/>
                    <w:right w:val="single" w:color="auto" w:sz="4" w:space="0"/>
                  </w:tcBorders>
                  <w:vAlign w:val="center"/>
                </w:tcPr>
                <w:p w14:paraId="0FCD1D11">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ascii="Times New Roman" w:hAnsi="Times New Roman"/>
                      <w:color w:val="auto"/>
                      <w:sz w:val="21"/>
                      <w:szCs w:val="21"/>
                      <w:highlight w:val="none"/>
                      <w:lang w:eastAsia="zh-CN"/>
                    </w:rPr>
                  </w:pPr>
                  <w:r>
                    <w:rPr>
                      <w:rFonts w:ascii="Times New Roman" w:hAnsi="Times New Roman"/>
                      <w:color w:val="auto"/>
                      <w:sz w:val="21"/>
                      <w:szCs w:val="21"/>
                      <w:highlight w:val="none"/>
                      <w:lang w:eastAsia="zh-CN"/>
                    </w:rPr>
                    <w:t>序号</w:t>
                  </w:r>
                </w:p>
              </w:tc>
              <w:tc>
                <w:tcPr>
                  <w:tcW w:w="875" w:type="pct"/>
                  <w:tcBorders>
                    <w:top w:val="single" w:color="auto" w:sz="4" w:space="0"/>
                    <w:left w:val="single" w:color="auto" w:sz="4" w:space="0"/>
                    <w:bottom w:val="single" w:color="auto" w:sz="4" w:space="0"/>
                    <w:right w:val="single" w:color="auto" w:sz="4" w:space="0"/>
                  </w:tcBorders>
                  <w:vAlign w:val="center"/>
                </w:tcPr>
                <w:p w14:paraId="198C6F2C">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ascii="Times New Roman" w:hAnsi="Times New Roman"/>
                      <w:color w:val="auto"/>
                      <w:sz w:val="21"/>
                      <w:szCs w:val="21"/>
                      <w:highlight w:val="none"/>
                      <w:lang w:eastAsia="zh-CN"/>
                    </w:rPr>
                  </w:pPr>
                  <w:r>
                    <w:rPr>
                      <w:rFonts w:ascii="Times New Roman" w:hAnsi="Times New Roman"/>
                      <w:color w:val="auto"/>
                      <w:sz w:val="21"/>
                      <w:szCs w:val="21"/>
                      <w:highlight w:val="none"/>
                      <w:lang w:eastAsia="zh-CN"/>
                    </w:rPr>
                    <w:t>产品</w:t>
                  </w:r>
                </w:p>
              </w:tc>
              <w:tc>
                <w:tcPr>
                  <w:tcW w:w="951" w:type="pct"/>
                  <w:tcBorders>
                    <w:top w:val="single" w:color="auto" w:sz="4" w:space="0"/>
                    <w:left w:val="single" w:color="auto" w:sz="4" w:space="0"/>
                    <w:bottom w:val="single" w:color="auto" w:sz="4" w:space="0"/>
                    <w:right w:val="single" w:color="auto" w:sz="4" w:space="0"/>
                  </w:tcBorders>
                  <w:vAlign w:val="center"/>
                </w:tcPr>
                <w:p w14:paraId="33AA94FB">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产品产量（t/a）</w:t>
                  </w:r>
                </w:p>
              </w:tc>
              <w:tc>
                <w:tcPr>
                  <w:tcW w:w="1007" w:type="pct"/>
                  <w:tcBorders>
                    <w:top w:val="single" w:color="auto" w:sz="4" w:space="0"/>
                    <w:left w:val="single" w:color="auto" w:sz="4" w:space="0"/>
                    <w:bottom w:val="single" w:color="auto" w:sz="4" w:space="0"/>
                    <w:right w:val="single" w:color="auto" w:sz="4" w:space="0"/>
                  </w:tcBorders>
                  <w:vAlign w:val="center"/>
                </w:tcPr>
                <w:p w14:paraId="49E2754C">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ascii="Times New Roman" w:hAnsi="Times New Roman"/>
                      <w:color w:val="auto"/>
                      <w:sz w:val="21"/>
                      <w:szCs w:val="21"/>
                      <w:highlight w:val="none"/>
                      <w:lang w:eastAsia="zh-CN"/>
                    </w:rPr>
                  </w:pPr>
                  <w:r>
                    <w:rPr>
                      <w:rFonts w:ascii="Times New Roman" w:hAnsi="Times New Roman"/>
                      <w:color w:val="auto"/>
                      <w:sz w:val="21"/>
                      <w:szCs w:val="21"/>
                      <w:highlight w:val="none"/>
                      <w:lang w:eastAsia="zh-CN"/>
                    </w:rPr>
                    <w:t>产品规格</w:t>
                  </w:r>
                </w:p>
              </w:tc>
              <w:tc>
                <w:tcPr>
                  <w:tcW w:w="1706" w:type="pct"/>
                  <w:tcBorders>
                    <w:top w:val="single" w:color="auto" w:sz="4" w:space="0"/>
                    <w:left w:val="single" w:color="auto" w:sz="4" w:space="0"/>
                    <w:bottom w:val="single" w:color="auto" w:sz="4" w:space="0"/>
                    <w:right w:val="single" w:color="auto" w:sz="4" w:space="0"/>
                  </w:tcBorders>
                  <w:vAlign w:val="center"/>
                </w:tcPr>
                <w:p w14:paraId="7E5855E9">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包装</w:t>
                  </w:r>
                  <w:r>
                    <w:rPr>
                      <w:rFonts w:hint="eastAsia" w:ascii="Times New Roman" w:hAnsi="Times New Roman"/>
                      <w:color w:val="auto"/>
                      <w:sz w:val="21"/>
                      <w:szCs w:val="21"/>
                      <w:highlight w:val="none"/>
                      <w:lang w:val="en-US" w:eastAsia="zh-CN"/>
                    </w:rPr>
                    <w:t>及</w:t>
                  </w:r>
                  <w:r>
                    <w:rPr>
                      <w:rFonts w:hint="eastAsia" w:ascii="Times New Roman" w:hAnsi="Times New Roman"/>
                      <w:color w:val="auto"/>
                      <w:sz w:val="21"/>
                      <w:szCs w:val="21"/>
                      <w:highlight w:val="none"/>
                      <w:lang w:eastAsia="zh-CN"/>
                    </w:rPr>
                    <w:t>运输方式</w:t>
                  </w:r>
                </w:p>
              </w:tc>
            </w:tr>
            <w:tr w14:paraId="4EC41A4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458" w:type="pct"/>
                  <w:tcBorders>
                    <w:top w:val="single" w:color="auto" w:sz="4" w:space="0"/>
                    <w:left w:val="single" w:color="auto" w:sz="4" w:space="0"/>
                    <w:bottom w:val="single" w:color="auto" w:sz="4" w:space="0"/>
                    <w:right w:val="single" w:color="auto" w:sz="4" w:space="0"/>
                  </w:tcBorders>
                  <w:vAlign w:val="center"/>
                </w:tcPr>
                <w:p w14:paraId="714394AE">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ascii="Times New Roman" w:hAnsi="Times New Roman"/>
                      <w:color w:val="auto"/>
                      <w:sz w:val="21"/>
                      <w:szCs w:val="21"/>
                      <w:highlight w:val="none"/>
                      <w:lang w:eastAsia="zh-CN"/>
                    </w:rPr>
                  </w:pPr>
                  <w:r>
                    <w:rPr>
                      <w:rFonts w:ascii="Times New Roman" w:hAnsi="Times New Roman"/>
                      <w:color w:val="auto"/>
                      <w:sz w:val="21"/>
                      <w:szCs w:val="21"/>
                      <w:highlight w:val="none"/>
                      <w:lang w:eastAsia="zh-CN"/>
                    </w:rPr>
                    <w:t>1</w:t>
                  </w:r>
                </w:p>
              </w:tc>
              <w:tc>
                <w:tcPr>
                  <w:tcW w:w="875" w:type="pct"/>
                  <w:tcBorders>
                    <w:top w:val="single" w:color="auto" w:sz="4" w:space="0"/>
                    <w:left w:val="single" w:color="auto" w:sz="4" w:space="0"/>
                    <w:bottom w:val="single" w:color="auto" w:sz="4" w:space="0"/>
                    <w:right w:val="single" w:color="auto" w:sz="4" w:space="0"/>
                  </w:tcBorders>
                  <w:shd w:val="clear" w:color="auto" w:fill="auto"/>
                  <w:vAlign w:val="center"/>
                </w:tcPr>
                <w:p w14:paraId="6DB747A4">
                  <w:pPr>
                    <w:pStyle w:val="8"/>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橡胶防护蜡</w:t>
                  </w:r>
                </w:p>
              </w:tc>
              <w:tc>
                <w:tcPr>
                  <w:tcW w:w="951" w:type="pct"/>
                  <w:tcBorders>
                    <w:top w:val="single" w:color="auto" w:sz="4" w:space="0"/>
                    <w:left w:val="single" w:color="auto" w:sz="4" w:space="0"/>
                    <w:bottom w:val="single" w:color="auto" w:sz="4" w:space="0"/>
                    <w:right w:val="single" w:color="auto" w:sz="4" w:space="0"/>
                  </w:tcBorders>
                  <w:shd w:val="clear" w:color="auto" w:fill="auto"/>
                  <w:vAlign w:val="center"/>
                </w:tcPr>
                <w:p w14:paraId="1BF1AC5C">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color w:val="auto"/>
                      <w:kern w:val="0"/>
                      <w:sz w:val="21"/>
                      <w:szCs w:val="21"/>
                      <w:highlight w:val="none"/>
                      <w:lang w:val="en-US" w:eastAsia="zh-CN" w:bidi="en-US"/>
                    </w:rPr>
                  </w:pPr>
                  <w:r>
                    <w:rPr>
                      <w:rFonts w:hint="eastAsia" w:ascii="Times New Roman" w:hAnsi="Times New Roman"/>
                      <w:color w:val="auto"/>
                      <w:sz w:val="21"/>
                      <w:szCs w:val="21"/>
                      <w:highlight w:val="none"/>
                      <w:lang w:val="en-US" w:eastAsia="zh-CN"/>
                    </w:rPr>
                    <w:t>10000</w:t>
                  </w:r>
                </w:p>
              </w:tc>
              <w:tc>
                <w:tcPr>
                  <w:tcW w:w="1007" w:type="pct"/>
                  <w:tcBorders>
                    <w:top w:val="single" w:color="auto" w:sz="4" w:space="0"/>
                    <w:left w:val="single" w:color="auto" w:sz="4" w:space="0"/>
                    <w:bottom w:val="single" w:color="auto" w:sz="4" w:space="0"/>
                    <w:right w:val="single" w:color="auto" w:sz="4" w:space="0"/>
                  </w:tcBorders>
                  <w:shd w:val="clear" w:color="auto" w:fill="auto"/>
                  <w:vAlign w:val="center"/>
                </w:tcPr>
                <w:p w14:paraId="0E5664D0">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color w:val="auto"/>
                      <w:kern w:val="0"/>
                      <w:sz w:val="21"/>
                      <w:szCs w:val="21"/>
                      <w:highlight w:val="none"/>
                      <w:lang w:val="en-US" w:eastAsia="zh-CN" w:bidi="en-US"/>
                    </w:rPr>
                  </w:pPr>
                  <w:r>
                    <w:rPr>
                      <w:rFonts w:hint="eastAsia" w:ascii="Times New Roman" w:hAnsi="Times New Roman"/>
                      <w:color w:val="auto"/>
                      <w:sz w:val="21"/>
                      <w:szCs w:val="21"/>
                      <w:highlight w:val="none"/>
                      <w:lang w:val="en-US" w:eastAsia="zh-CN"/>
                    </w:rPr>
                    <w:t>25kg/袋</w:t>
                  </w:r>
                </w:p>
              </w:tc>
              <w:tc>
                <w:tcPr>
                  <w:tcW w:w="1706" w:type="pct"/>
                  <w:tcBorders>
                    <w:top w:val="single" w:color="auto" w:sz="4" w:space="0"/>
                    <w:left w:val="single" w:color="auto" w:sz="4" w:space="0"/>
                    <w:bottom w:val="single" w:color="auto" w:sz="4" w:space="0"/>
                    <w:right w:val="single" w:color="auto" w:sz="4" w:space="0"/>
                  </w:tcBorders>
                  <w:shd w:val="clear" w:color="auto" w:fill="auto"/>
                  <w:vAlign w:val="center"/>
                </w:tcPr>
                <w:p w14:paraId="2D07B477">
                  <w:pPr>
                    <w:pStyle w:val="8"/>
                    <w:keepNext w:val="0"/>
                    <w:keepLines w:val="0"/>
                    <w:suppressLineNumbers w:val="0"/>
                    <w:adjustRightInd w:val="0"/>
                    <w:snapToGrid w:val="0"/>
                    <w:spacing w:before="0" w:beforeAutospacing="0" w:after="0" w:afterAutospacing="0" w:line="220" w:lineRule="exact"/>
                    <w:ind w:left="0" w:right="0"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全部加工成蜡粒产品，包装后汽车出厂</w:t>
                  </w:r>
                </w:p>
              </w:tc>
            </w:tr>
            <w:tr w14:paraId="0F37062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458" w:type="pct"/>
                  <w:tcBorders>
                    <w:top w:val="single" w:color="auto" w:sz="4" w:space="0"/>
                    <w:left w:val="single" w:color="auto" w:sz="4" w:space="0"/>
                    <w:bottom w:val="single" w:color="auto" w:sz="4" w:space="0"/>
                    <w:right w:val="single" w:color="auto" w:sz="4" w:space="0"/>
                  </w:tcBorders>
                  <w:vAlign w:val="center"/>
                </w:tcPr>
                <w:p w14:paraId="04AB6F8B">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ascii="Times New Roman" w:hAnsi="Times New Roman"/>
                      <w:color w:val="auto"/>
                      <w:sz w:val="21"/>
                      <w:szCs w:val="21"/>
                      <w:highlight w:val="none"/>
                      <w:lang w:eastAsia="zh-CN"/>
                    </w:rPr>
                  </w:pPr>
                  <w:r>
                    <w:rPr>
                      <w:rFonts w:ascii="Times New Roman" w:hAnsi="Times New Roman"/>
                      <w:color w:val="auto"/>
                      <w:sz w:val="21"/>
                      <w:szCs w:val="21"/>
                      <w:highlight w:val="none"/>
                      <w:lang w:eastAsia="zh-CN"/>
                    </w:rPr>
                    <w:t>2</w:t>
                  </w:r>
                </w:p>
              </w:tc>
              <w:tc>
                <w:tcPr>
                  <w:tcW w:w="875" w:type="pct"/>
                  <w:tcBorders>
                    <w:top w:val="single" w:color="auto" w:sz="4" w:space="0"/>
                    <w:left w:val="single" w:color="auto" w:sz="4" w:space="0"/>
                    <w:bottom w:val="single" w:color="auto" w:sz="4" w:space="0"/>
                    <w:right w:val="single" w:color="auto" w:sz="4" w:space="0"/>
                  </w:tcBorders>
                  <w:shd w:val="clear" w:color="auto" w:fill="auto"/>
                  <w:vAlign w:val="center"/>
                </w:tcPr>
                <w:p w14:paraId="1268D1E3">
                  <w:pPr>
                    <w:pStyle w:val="8"/>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包装蜡</w:t>
                  </w:r>
                </w:p>
              </w:tc>
              <w:tc>
                <w:tcPr>
                  <w:tcW w:w="951" w:type="pct"/>
                  <w:tcBorders>
                    <w:top w:val="single" w:color="auto" w:sz="4" w:space="0"/>
                    <w:left w:val="single" w:color="auto" w:sz="4" w:space="0"/>
                    <w:bottom w:val="single" w:color="auto" w:sz="4" w:space="0"/>
                    <w:right w:val="single" w:color="auto" w:sz="4" w:space="0"/>
                  </w:tcBorders>
                  <w:shd w:val="clear" w:color="auto" w:fill="auto"/>
                  <w:vAlign w:val="center"/>
                </w:tcPr>
                <w:p w14:paraId="01A253D5">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hint="eastAsia" w:ascii="Times New Roman" w:hAnsi="Times New Roman" w:eastAsia="宋体" w:cs="Times New Roman"/>
                      <w:color w:val="auto"/>
                      <w:kern w:val="0"/>
                      <w:sz w:val="21"/>
                      <w:szCs w:val="21"/>
                      <w:highlight w:val="none"/>
                      <w:lang w:val="en-US" w:eastAsia="zh-CN" w:bidi="en-US"/>
                    </w:rPr>
                  </w:pPr>
                  <w:r>
                    <w:rPr>
                      <w:rFonts w:hint="eastAsia" w:ascii="Times New Roman" w:hAnsi="Times New Roman"/>
                      <w:color w:val="auto"/>
                      <w:sz w:val="21"/>
                      <w:szCs w:val="21"/>
                      <w:highlight w:val="none"/>
                      <w:lang w:val="en-US" w:eastAsia="zh-CN"/>
                    </w:rPr>
                    <w:t>20000</w:t>
                  </w:r>
                </w:p>
              </w:tc>
              <w:tc>
                <w:tcPr>
                  <w:tcW w:w="1007" w:type="pct"/>
                  <w:tcBorders>
                    <w:top w:val="single" w:color="auto" w:sz="4" w:space="0"/>
                    <w:left w:val="single" w:color="auto" w:sz="4" w:space="0"/>
                    <w:bottom w:val="single" w:color="auto" w:sz="4" w:space="0"/>
                    <w:right w:val="single" w:color="auto" w:sz="4" w:space="0"/>
                  </w:tcBorders>
                  <w:shd w:val="clear" w:color="auto" w:fill="auto"/>
                  <w:vAlign w:val="center"/>
                </w:tcPr>
                <w:p w14:paraId="653F36BA">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eastAsia="宋体" w:cs="Times New Roman"/>
                      <w:color w:val="auto"/>
                      <w:kern w:val="0"/>
                      <w:sz w:val="21"/>
                      <w:szCs w:val="21"/>
                      <w:highlight w:val="none"/>
                      <w:lang w:val="en-US" w:eastAsia="zh-CN" w:bidi="en-US"/>
                    </w:rPr>
                  </w:pPr>
                  <w:r>
                    <w:rPr>
                      <w:rFonts w:hint="eastAsia" w:ascii="Times New Roman" w:hAnsi="Times New Roman"/>
                      <w:color w:val="auto"/>
                      <w:sz w:val="21"/>
                      <w:szCs w:val="21"/>
                      <w:highlight w:val="none"/>
                      <w:lang w:val="en-US" w:eastAsia="zh-CN"/>
                    </w:rPr>
                    <w:t>25kg/袋</w:t>
                  </w:r>
                </w:p>
              </w:tc>
              <w:tc>
                <w:tcPr>
                  <w:tcW w:w="1706" w:type="pct"/>
                  <w:tcBorders>
                    <w:top w:val="single" w:color="auto" w:sz="4" w:space="0"/>
                    <w:left w:val="single" w:color="auto" w:sz="4" w:space="0"/>
                    <w:bottom w:val="single" w:color="auto" w:sz="4" w:space="0"/>
                    <w:right w:val="single" w:color="auto" w:sz="4" w:space="0"/>
                  </w:tcBorders>
                  <w:shd w:val="clear" w:color="auto" w:fill="auto"/>
                  <w:vAlign w:val="center"/>
                </w:tcPr>
                <w:p w14:paraId="477F34BD">
                  <w:pPr>
                    <w:pStyle w:val="8"/>
                    <w:keepNext w:val="0"/>
                    <w:keepLines w:val="0"/>
                    <w:suppressLineNumbers w:val="0"/>
                    <w:adjustRightInd w:val="0"/>
                    <w:snapToGrid w:val="0"/>
                    <w:spacing w:before="0" w:beforeAutospacing="0" w:after="0" w:afterAutospacing="0" w:line="220" w:lineRule="exact"/>
                    <w:ind w:left="0" w:right="0"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全部加工成蜡板产品，包装后汽车出厂</w:t>
                  </w:r>
                </w:p>
              </w:tc>
            </w:tr>
            <w:tr w14:paraId="0AE2009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458" w:type="pct"/>
                  <w:tcBorders>
                    <w:top w:val="single" w:color="auto" w:sz="4" w:space="0"/>
                    <w:left w:val="single" w:color="auto" w:sz="4" w:space="0"/>
                    <w:bottom w:val="single" w:color="auto" w:sz="4" w:space="0"/>
                    <w:right w:val="single" w:color="auto" w:sz="4" w:space="0"/>
                  </w:tcBorders>
                  <w:vAlign w:val="center"/>
                </w:tcPr>
                <w:p w14:paraId="53ADEA85">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Times New Roman" w:hAnsi="Times New Roman"/>
                      <w:color w:val="auto"/>
                      <w:sz w:val="21"/>
                      <w:szCs w:val="21"/>
                      <w:highlight w:val="none"/>
                      <w:lang w:val="en-US" w:eastAsia="zh-CN"/>
                    </w:rPr>
                  </w:pPr>
                  <w:r>
                    <w:rPr>
                      <w:rFonts w:hint="eastAsia" w:ascii="Times New Roman" w:hAnsi="Times New Roman"/>
                      <w:color w:val="auto"/>
                      <w:sz w:val="21"/>
                      <w:szCs w:val="21"/>
                      <w:highlight w:val="none"/>
                      <w:lang w:val="en-US" w:eastAsia="zh-CN"/>
                    </w:rPr>
                    <w:t>3</w:t>
                  </w:r>
                </w:p>
              </w:tc>
              <w:tc>
                <w:tcPr>
                  <w:tcW w:w="875" w:type="pct"/>
                  <w:tcBorders>
                    <w:top w:val="single" w:color="auto" w:sz="4" w:space="0"/>
                    <w:left w:val="single" w:color="auto" w:sz="4" w:space="0"/>
                    <w:bottom w:val="single" w:color="auto" w:sz="4" w:space="0"/>
                    <w:right w:val="single" w:color="auto" w:sz="4" w:space="0"/>
                  </w:tcBorders>
                  <w:shd w:val="clear" w:color="auto" w:fill="auto"/>
                  <w:vAlign w:val="center"/>
                </w:tcPr>
                <w:p w14:paraId="41358371">
                  <w:pPr>
                    <w:pStyle w:val="8"/>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凡士林</w:t>
                  </w:r>
                </w:p>
              </w:tc>
              <w:tc>
                <w:tcPr>
                  <w:tcW w:w="951" w:type="pct"/>
                  <w:tcBorders>
                    <w:top w:val="single" w:color="auto" w:sz="4" w:space="0"/>
                    <w:left w:val="single" w:color="auto" w:sz="4" w:space="0"/>
                    <w:bottom w:val="single" w:color="auto" w:sz="4" w:space="0"/>
                    <w:right w:val="single" w:color="auto" w:sz="4" w:space="0"/>
                  </w:tcBorders>
                  <w:shd w:val="clear" w:color="auto" w:fill="auto"/>
                  <w:vAlign w:val="center"/>
                </w:tcPr>
                <w:p w14:paraId="5A581517">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hint="eastAsia" w:ascii="Times New Roman" w:hAnsi="Times New Roman" w:eastAsia="宋体" w:cs="Times New Roman"/>
                      <w:color w:val="auto"/>
                      <w:kern w:val="0"/>
                      <w:sz w:val="21"/>
                      <w:szCs w:val="21"/>
                      <w:highlight w:val="none"/>
                      <w:lang w:val="en-US" w:eastAsia="zh-CN" w:bidi="en-US"/>
                    </w:rPr>
                  </w:pPr>
                  <w:r>
                    <w:rPr>
                      <w:rFonts w:hint="eastAsia" w:ascii="Times New Roman" w:hAnsi="Times New Roman"/>
                      <w:color w:val="auto"/>
                      <w:sz w:val="21"/>
                      <w:szCs w:val="21"/>
                      <w:highlight w:val="none"/>
                      <w:lang w:val="en-US" w:eastAsia="zh-CN"/>
                    </w:rPr>
                    <w:t>10000</w:t>
                  </w:r>
                </w:p>
              </w:tc>
              <w:tc>
                <w:tcPr>
                  <w:tcW w:w="1007" w:type="pct"/>
                  <w:tcBorders>
                    <w:top w:val="single" w:color="auto" w:sz="4" w:space="0"/>
                    <w:left w:val="single" w:color="auto" w:sz="4" w:space="0"/>
                    <w:bottom w:val="single" w:color="auto" w:sz="4" w:space="0"/>
                    <w:right w:val="single" w:color="auto" w:sz="4" w:space="0"/>
                  </w:tcBorders>
                  <w:shd w:val="clear" w:color="auto" w:fill="auto"/>
                  <w:vAlign w:val="center"/>
                </w:tcPr>
                <w:p w14:paraId="085181B5">
                  <w:pPr>
                    <w:pStyle w:val="7"/>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textAlignment w:val="auto"/>
                    <w:rPr>
                      <w:rFonts w:ascii="Times New Roman" w:hAnsi="Times New Roman" w:eastAsia="宋体" w:cs="Times New Roman"/>
                      <w:color w:val="auto"/>
                      <w:kern w:val="0"/>
                      <w:sz w:val="21"/>
                      <w:szCs w:val="21"/>
                      <w:highlight w:val="none"/>
                      <w:lang w:val="en-US" w:eastAsia="zh-CN" w:bidi="en-US"/>
                    </w:rPr>
                  </w:pPr>
                  <w:r>
                    <w:rPr>
                      <w:rFonts w:hint="eastAsia" w:ascii="Times New Roman" w:hAnsi="Times New Roman"/>
                      <w:color w:val="auto"/>
                      <w:sz w:val="21"/>
                      <w:szCs w:val="21"/>
                      <w:highlight w:val="none"/>
                      <w:lang w:val="en-US" w:eastAsia="zh-CN"/>
                    </w:rPr>
                    <w:t>25kg/袋</w:t>
                  </w:r>
                </w:p>
              </w:tc>
              <w:tc>
                <w:tcPr>
                  <w:tcW w:w="1706" w:type="pct"/>
                  <w:tcBorders>
                    <w:top w:val="single" w:color="auto" w:sz="4" w:space="0"/>
                    <w:left w:val="single" w:color="auto" w:sz="4" w:space="0"/>
                    <w:bottom w:val="single" w:color="auto" w:sz="4" w:space="0"/>
                    <w:right w:val="single" w:color="auto" w:sz="4" w:space="0"/>
                  </w:tcBorders>
                  <w:shd w:val="clear" w:color="auto" w:fill="auto"/>
                  <w:vAlign w:val="center"/>
                </w:tcPr>
                <w:p w14:paraId="71E14B93">
                  <w:pPr>
                    <w:pStyle w:val="8"/>
                    <w:keepNext w:val="0"/>
                    <w:keepLines w:val="0"/>
                    <w:suppressLineNumbers w:val="0"/>
                    <w:adjustRightInd w:val="0"/>
                    <w:snapToGrid w:val="0"/>
                    <w:spacing w:before="0" w:beforeAutospacing="0" w:after="0" w:afterAutospacing="0" w:line="220" w:lineRule="exact"/>
                    <w:ind w:left="0" w:right="0"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全部灌装成桶装或盒装产品，汽车出厂</w:t>
                  </w:r>
                </w:p>
              </w:tc>
            </w:tr>
          </w:tbl>
          <w:p w14:paraId="518105C5">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蜡板每块重5kg，尺寸为480×300×50mm；蜡粒为半球状，粒度为φ2.5-5mm；灌装蜡为纸桶或纸箱包装。</w:t>
            </w:r>
          </w:p>
          <w:p w14:paraId="3EF24FFF">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（2）产品标准</w:t>
            </w:r>
          </w:p>
          <w:p w14:paraId="106790FB">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橡胶防护蜡执行企业标准《橡胶防护蜡》（Q/FSHR28006-2025）；包装蜡执行企业标准《食品包装用调制蜡》（Q/FSHR28003-2025）；</w:t>
            </w:r>
            <w:r>
              <w:rPr>
                <w:rFonts w:hint="eastAsia" w:ascii="宋体" w:hAnsi="宋体"/>
                <w:color w:val="auto"/>
                <w:szCs w:val="21"/>
                <w:highlight w:val="none"/>
              </w:rPr>
              <w:t>凡士林</w:t>
            </w:r>
            <w:r>
              <w:rPr>
                <w:rFonts w:hint="eastAsia"/>
                <w:color w:val="auto"/>
                <w:sz w:val="24"/>
                <w:highlight w:val="none"/>
                <w:lang w:val="en-US" w:eastAsia="zh-CN"/>
              </w:rPr>
              <w:t>执行国家工业用凡士林相关标准《工业凡士林》（NB/SH/T0039-2024）。其中企业标准已经过公示、发布及备案（详见附件）。</w:t>
            </w:r>
          </w:p>
          <w:p w14:paraId="5AB215F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3、主要原辅材料及能源消耗</w:t>
            </w:r>
          </w:p>
          <w:p w14:paraId="6AAB2B47">
            <w:pPr>
              <w:keepNext w:val="0"/>
              <w:keepLines w:val="0"/>
              <w:pageBreakBefore w:val="0"/>
              <w:widowControl w:val="0"/>
              <w:suppressLineNumbers w:val="0"/>
              <w:kinsoku/>
              <w:wordWrap/>
              <w:overflowPunct/>
              <w:topLinePunct w:val="0"/>
              <w:autoSpaceDE w:val="0"/>
              <w:autoSpaceDN w:val="0"/>
              <w:bidi w:val="0"/>
              <w:snapToGrid/>
              <w:spacing w:before="0" w:beforeAutospacing="0" w:after="0" w:afterAutospacing="0" w:line="360" w:lineRule="auto"/>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本项目仅对汉圣化工年产10万t特种蜡项目（现有项目）内涉及各产品的石蜡、微晶蜡原料进行精细预处理。本技改项目实施前后原辅材料种类及消耗量不发生改变。</w:t>
            </w:r>
            <w:r>
              <w:rPr>
                <w:rFonts w:hint="eastAsia"/>
                <w:color w:val="auto"/>
                <w:sz w:val="24"/>
                <w:highlight w:val="none"/>
              </w:rPr>
              <w:t>涉及原辅材料消耗情况见下表。</w:t>
            </w:r>
          </w:p>
          <w:p w14:paraId="64202962">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原料石蜡严格执行</w:t>
            </w:r>
            <w:r>
              <w:rPr>
                <w:rFonts w:hint="default"/>
                <w:color w:val="auto"/>
                <w:sz w:val="24"/>
                <w:highlight w:val="none"/>
                <w:lang w:val="en-US" w:eastAsia="zh-CN"/>
              </w:rPr>
              <w:t>《全精炼石蜡》（GB/T446-2010）</w:t>
            </w:r>
            <w:r>
              <w:rPr>
                <w:rFonts w:hint="eastAsia"/>
                <w:color w:val="auto"/>
                <w:sz w:val="24"/>
                <w:highlight w:val="none"/>
                <w:lang w:val="en-US" w:eastAsia="zh-CN"/>
              </w:rPr>
              <w:t>相关标准。</w:t>
            </w:r>
          </w:p>
          <w:p w14:paraId="095BD0A4">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本项目仅对原料中石油蜡及微晶蜡做调整、其余原辅材料不发生变动。本项目实施后，原辅材料储运发生以下变动：</w:t>
            </w:r>
          </w:p>
          <w:p w14:paraId="5771BAD8">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①原料石油蜡消耗量为33000t/a；将其中14000t/a由液态石油蜡改为固态板蜡，储存于新建的1座占地面积2845.8m</w:t>
            </w:r>
            <w:r>
              <w:rPr>
                <w:rFonts w:hint="eastAsia"/>
                <w:color w:val="auto"/>
                <w:sz w:val="24"/>
                <w:highlight w:val="none"/>
                <w:vertAlign w:val="superscript"/>
                <w:lang w:val="en-US" w:eastAsia="zh-CN"/>
              </w:rPr>
              <w:t>2</w:t>
            </w:r>
            <w:r>
              <w:rPr>
                <w:rFonts w:hint="eastAsia"/>
                <w:color w:val="auto"/>
                <w:sz w:val="24"/>
                <w:highlight w:val="none"/>
                <w:lang w:val="en-US" w:eastAsia="zh-CN"/>
              </w:rPr>
              <w:t>的原材料储存雨棚；其余19000t/a液态石油蜡不改变。</w:t>
            </w:r>
          </w:p>
          <w:p w14:paraId="39107FAD">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lang w:val="en-US" w:eastAsia="zh-CN"/>
              </w:rPr>
              <w:t>②微晶蜡现采用的均为固体微晶蜡，消耗量为2000t/a；预计全部改用为液态微晶蜡，储存于新建的11座有效容积约23m</w:t>
            </w:r>
            <w:r>
              <w:rPr>
                <w:rFonts w:hint="eastAsia"/>
                <w:color w:val="auto"/>
                <w:sz w:val="24"/>
                <w:highlight w:val="none"/>
                <w:vertAlign w:val="superscript"/>
                <w:lang w:val="en-US" w:eastAsia="zh-CN"/>
              </w:rPr>
              <w:t>3</w:t>
            </w:r>
            <w:r>
              <w:rPr>
                <w:rFonts w:hint="eastAsia"/>
                <w:color w:val="auto"/>
                <w:sz w:val="24"/>
                <w:highlight w:val="none"/>
                <w:lang w:val="en-US" w:eastAsia="zh-CN"/>
              </w:rPr>
              <w:t>的储罐。</w:t>
            </w:r>
          </w:p>
          <w:p w14:paraId="6B1EBD4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r>
              <w:rPr>
                <w:color w:val="auto"/>
                <w:sz w:val="24"/>
                <w:highlight w:val="none"/>
              </w:rPr>
              <w:t>表2-</w:t>
            </w:r>
            <w:r>
              <w:rPr>
                <w:rFonts w:hint="eastAsia"/>
                <w:color w:val="auto"/>
                <w:sz w:val="24"/>
                <w:highlight w:val="none"/>
                <w:lang w:val="en-US" w:eastAsia="zh-CN"/>
              </w:rPr>
              <w:t>5</w:t>
            </w:r>
            <w:r>
              <w:rPr>
                <w:color w:val="auto"/>
                <w:sz w:val="24"/>
                <w:highlight w:val="none"/>
              </w:rPr>
              <w:t xml:space="preserve">  </w:t>
            </w:r>
            <w:r>
              <w:rPr>
                <w:rFonts w:hint="eastAsia"/>
                <w:color w:val="auto"/>
                <w:sz w:val="24"/>
                <w:highlight w:val="none"/>
                <w:lang w:val="en-US" w:eastAsia="zh-CN"/>
              </w:rPr>
              <w:t>本项目实施后</w:t>
            </w:r>
            <w:r>
              <w:rPr>
                <w:color w:val="auto"/>
                <w:sz w:val="24"/>
                <w:highlight w:val="none"/>
              </w:rPr>
              <w:t>主要生产原辅料消耗一览表</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425"/>
              <w:gridCol w:w="946"/>
              <w:gridCol w:w="1035"/>
              <w:gridCol w:w="1409"/>
              <w:gridCol w:w="915"/>
              <w:gridCol w:w="1448"/>
              <w:gridCol w:w="584"/>
              <w:gridCol w:w="653"/>
              <w:gridCol w:w="706"/>
              <w:gridCol w:w="425"/>
              <w:gridCol w:w="428"/>
              <w:gridCol w:w="425"/>
              <w:gridCol w:w="428"/>
              <w:gridCol w:w="425"/>
              <w:gridCol w:w="805"/>
            </w:tblGrid>
            <w:tr w14:paraId="30C9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exact"/>
                <w:jc w:val="center"/>
              </w:trPr>
              <w:tc>
                <w:tcPr>
                  <w:tcW w:w="185" w:type="pct"/>
                  <w:vMerge w:val="restart"/>
                  <w:tcBorders>
                    <w:tl2br w:val="nil"/>
                    <w:tr2bl w:val="nil"/>
                  </w:tcBorders>
                  <w:noWrap w:val="0"/>
                  <w:vAlign w:val="center"/>
                </w:tcPr>
                <w:p w14:paraId="25DA867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85" w:type="pct"/>
                  <w:vMerge w:val="restart"/>
                  <w:tcBorders>
                    <w:tl2br w:val="nil"/>
                    <w:tr2bl w:val="nil"/>
                  </w:tcBorders>
                  <w:noWrap w:val="0"/>
                  <w:vAlign w:val="center"/>
                </w:tcPr>
                <w:p w14:paraId="5D980766">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分类</w:t>
                  </w:r>
                </w:p>
              </w:tc>
              <w:tc>
                <w:tcPr>
                  <w:tcW w:w="411" w:type="pct"/>
                  <w:vMerge w:val="restart"/>
                  <w:tcBorders>
                    <w:tl2br w:val="nil"/>
                    <w:tr2bl w:val="nil"/>
                  </w:tcBorders>
                  <w:noWrap w:val="0"/>
                  <w:vAlign w:val="center"/>
                </w:tcPr>
                <w:p w14:paraId="4AF3EC09">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原料名称</w:t>
                  </w:r>
                </w:p>
              </w:tc>
              <w:tc>
                <w:tcPr>
                  <w:tcW w:w="1064" w:type="pct"/>
                  <w:gridSpan w:val="2"/>
                  <w:tcBorders>
                    <w:tl2br w:val="nil"/>
                    <w:tr2bl w:val="nil"/>
                  </w:tcBorders>
                  <w:noWrap w:val="0"/>
                  <w:vAlign w:val="center"/>
                </w:tcPr>
                <w:p w14:paraId="34DEEE5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物理状态</w:t>
                  </w:r>
                </w:p>
              </w:tc>
              <w:tc>
                <w:tcPr>
                  <w:tcW w:w="1029" w:type="pct"/>
                  <w:gridSpan w:val="2"/>
                  <w:tcBorders>
                    <w:tl2br w:val="nil"/>
                    <w:tr2bl w:val="nil"/>
                  </w:tcBorders>
                  <w:noWrap w:val="0"/>
                  <w:vAlign w:val="center"/>
                </w:tcPr>
                <w:p w14:paraId="338E71A3">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储存位置</w:t>
                  </w:r>
                </w:p>
              </w:tc>
              <w:tc>
                <w:tcPr>
                  <w:tcW w:w="254" w:type="pct"/>
                  <w:tcBorders>
                    <w:tl2br w:val="nil"/>
                    <w:tr2bl w:val="nil"/>
                  </w:tcBorders>
                  <w:noWrap w:val="0"/>
                  <w:vAlign w:val="center"/>
                </w:tcPr>
                <w:p w14:paraId="6DDA4743">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充填系数</w:t>
                  </w:r>
                </w:p>
              </w:tc>
              <w:tc>
                <w:tcPr>
                  <w:tcW w:w="591" w:type="pct"/>
                  <w:gridSpan w:val="2"/>
                  <w:tcBorders>
                    <w:tl2br w:val="nil"/>
                    <w:tr2bl w:val="nil"/>
                  </w:tcBorders>
                  <w:noWrap w:val="0"/>
                  <w:vAlign w:val="center"/>
                </w:tcPr>
                <w:p w14:paraId="5F1294D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使用量</w:t>
                  </w:r>
                </w:p>
                <w:p w14:paraId="3FACF8E2">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（t/a）</w:t>
                  </w:r>
                </w:p>
              </w:tc>
              <w:tc>
                <w:tcPr>
                  <w:tcW w:w="371" w:type="pct"/>
                  <w:gridSpan w:val="2"/>
                  <w:tcBorders>
                    <w:tl2br w:val="nil"/>
                    <w:tr2bl w:val="nil"/>
                  </w:tcBorders>
                  <w:noWrap w:val="0"/>
                  <w:vAlign w:val="center"/>
                </w:tcPr>
                <w:p w14:paraId="112B05E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储存天数</w:t>
                  </w:r>
                </w:p>
              </w:tc>
              <w:tc>
                <w:tcPr>
                  <w:tcW w:w="371" w:type="pct"/>
                  <w:gridSpan w:val="2"/>
                  <w:tcBorders>
                    <w:tl2br w:val="nil"/>
                    <w:tr2bl w:val="nil"/>
                  </w:tcBorders>
                  <w:noWrap w:val="0"/>
                  <w:vAlign w:val="center"/>
                </w:tcPr>
                <w:p w14:paraId="100E6C25">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周转</w:t>
                  </w:r>
                  <w:r>
                    <w:rPr>
                      <w:rFonts w:hint="eastAsia" w:cs="Times New Roman"/>
                      <w:color w:val="auto"/>
                      <w:szCs w:val="21"/>
                      <w:highlight w:val="none"/>
                      <w:lang w:val="en-US" w:eastAsia="zh-CN"/>
                    </w:rPr>
                    <w:t>次/</w:t>
                  </w:r>
                  <w:r>
                    <w:rPr>
                      <w:rFonts w:hint="eastAsia" w:ascii="Times New Roman" w:hAnsi="Times New Roman" w:cs="Times New Roman"/>
                      <w:color w:val="auto"/>
                      <w:szCs w:val="21"/>
                      <w:highlight w:val="none"/>
                      <w:lang w:val="en-US" w:eastAsia="zh-CN"/>
                    </w:rPr>
                    <w:t>年</w:t>
                  </w:r>
                </w:p>
              </w:tc>
              <w:tc>
                <w:tcPr>
                  <w:tcW w:w="185" w:type="pct"/>
                  <w:vMerge w:val="restart"/>
                  <w:tcBorders>
                    <w:tl2br w:val="nil"/>
                    <w:tr2bl w:val="nil"/>
                  </w:tcBorders>
                  <w:noWrap w:val="0"/>
                  <w:vAlign w:val="center"/>
                </w:tcPr>
                <w:p w14:paraId="699F446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来源</w:t>
                  </w:r>
                </w:p>
              </w:tc>
              <w:tc>
                <w:tcPr>
                  <w:tcW w:w="350" w:type="pct"/>
                  <w:vMerge w:val="restart"/>
                  <w:tcBorders>
                    <w:tl2br w:val="nil"/>
                    <w:tr2bl w:val="nil"/>
                  </w:tcBorders>
                  <w:noWrap w:val="0"/>
                  <w:vAlign w:val="center"/>
                </w:tcPr>
                <w:p w14:paraId="698223B6">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备注</w:t>
                  </w:r>
                </w:p>
              </w:tc>
            </w:tr>
            <w:tr w14:paraId="3CA7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185" w:type="pct"/>
                  <w:vMerge w:val="continue"/>
                  <w:tcBorders>
                    <w:tl2br w:val="nil"/>
                    <w:tr2bl w:val="nil"/>
                  </w:tcBorders>
                  <w:noWrap w:val="0"/>
                  <w:vAlign w:val="center"/>
                </w:tcPr>
                <w:p w14:paraId="7802994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85" w:type="pct"/>
                  <w:vMerge w:val="continue"/>
                  <w:tcBorders>
                    <w:tl2br w:val="nil"/>
                    <w:tr2bl w:val="nil"/>
                  </w:tcBorders>
                  <w:noWrap w:val="0"/>
                  <w:vAlign w:val="center"/>
                </w:tcPr>
                <w:p w14:paraId="2494C37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11" w:type="pct"/>
                  <w:vMerge w:val="continue"/>
                  <w:tcBorders>
                    <w:tl2br w:val="nil"/>
                    <w:tr2bl w:val="nil"/>
                  </w:tcBorders>
                  <w:noWrap w:val="0"/>
                  <w:vAlign w:val="center"/>
                </w:tcPr>
                <w:p w14:paraId="68BBBB9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0" w:type="pct"/>
                  <w:tcBorders>
                    <w:tl2br w:val="nil"/>
                    <w:tr2bl w:val="nil"/>
                  </w:tcBorders>
                  <w:shd w:val="clear" w:color="auto" w:fill="auto"/>
                  <w:noWrap w:val="0"/>
                  <w:vAlign w:val="center"/>
                </w:tcPr>
                <w:p w14:paraId="5E535D75">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原项目</w:t>
                  </w:r>
                </w:p>
              </w:tc>
              <w:tc>
                <w:tcPr>
                  <w:tcW w:w="613" w:type="pct"/>
                  <w:tcBorders>
                    <w:tl2br w:val="nil"/>
                    <w:tr2bl w:val="nil"/>
                  </w:tcBorders>
                  <w:shd w:val="clear" w:color="auto" w:fill="auto"/>
                  <w:noWrap w:val="0"/>
                  <w:vAlign w:val="center"/>
                </w:tcPr>
                <w:p w14:paraId="3039679B">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本项目实施后</w:t>
                  </w:r>
                </w:p>
              </w:tc>
              <w:tc>
                <w:tcPr>
                  <w:tcW w:w="398" w:type="pct"/>
                  <w:tcBorders>
                    <w:tl2br w:val="nil"/>
                    <w:tr2bl w:val="nil"/>
                  </w:tcBorders>
                  <w:noWrap w:val="0"/>
                  <w:vAlign w:val="center"/>
                </w:tcPr>
                <w:p w14:paraId="52F08E84">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原项目</w:t>
                  </w:r>
                </w:p>
              </w:tc>
              <w:tc>
                <w:tcPr>
                  <w:tcW w:w="630" w:type="pct"/>
                  <w:tcBorders>
                    <w:tl2br w:val="nil"/>
                    <w:tr2bl w:val="nil"/>
                  </w:tcBorders>
                  <w:noWrap w:val="0"/>
                  <w:vAlign w:val="center"/>
                </w:tcPr>
                <w:p w14:paraId="13D01017">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本项目实施后</w:t>
                  </w:r>
                </w:p>
              </w:tc>
              <w:tc>
                <w:tcPr>
                  <w:tcW w:w="254" w:type="pct"/>
                  <w:tcBorders>
                    <w:tl2br w:val="nil"/>
                    <w:tr2bl w:val="nil"/>
                  </w:tcBorders>
                  <w:noWrap w:val="0"/>
                  <w:vAlign w:val="center"/>
                </w:tcPr>
                <w:p w14:paraId="5B6EE755">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284" w:type="pct"/>
                  <w:tcBorders>
                    <w:tl2br w:val="nil"/>
                    <w:tr2bl w:val="nil"/>
                  </w:tcBorders>
                  <w:noWrap w:val="0"/>
                  <w:vAlign w:val="center"/>
                </w:tcPr>
                <w:p w14:paraId="1712D9BB">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原</w:t>
                  </w:r>
                </w:p>
              </w:tc>
              <w:tc>
                <w:tcPr>
                  <w:tcW w:w="307" w:type="pct"/>
                  <w:tcBorders>
                    <w:tl2br w:val="nil"/>
                    <w:tr2bl w:val="nil"/>
                  </w:tcBorders>
                  <w:noWrap w:val="0"/>
                  <w:vAlign w:val="center"/>
                </w:tcPr>
                <w:p w14:paraId="234F2872">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本</w:t>
                  </w:r>
                </w:p>
              </w:tc>
              <w:tc>
                <w:tcPr>
                  <w:tcW w:w="185" w:type="pct"/>
                  <w:tcBorders>
                    <w:tl2br w:val="nil"/>
                    <w:tr2bl w:val="nil"/>
                  </w:tcBorders>
                  <w:noWrap w:val="0"/>
                  <w:vAlign w:val="center"/>
                </w:tcPr>
                <w:p w14:paraId="74AF7687">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原</w:t>
                  </w:r>
                </w:p>
              </w:tc>
              <w:tc>
                <w:tcPr>
                  <w:tcW w:w="186" w:type="pct"/>
                  <w:tcBorders>
                    <w:tl2br w:val="nil"/>
                    <w:tr2bl w:val="nil"/>
                  </w:tcBorders>
                  <w:noWrap w:val="0"/>
                  <w:vAlign w:val="center"/>
                </w:tcPr>
                <w:p w14:paraId="6EDDA86D">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本</w:t>
                  </w:r>
                </w:p>
              </w:tc>
              <w:tc>
                <w:tcPr>
                  <w:tcW w:w="185" w:type="pct"/>
                  <w:tcBorders>
                    <w:tl2br w:val="nil"/>
                    <w:tr2bl w:val="nil"/>
                  </w:tcBorders>
                  <w:noWrap w:val="0"/>
                  <w:vAlign w:val="center"/>
                </w:tcPr>
                <w:p w14:paraId="253BF42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原</w:t>
                  </w:r>
                </w:p>
              </w:tc>
              <w:tc>
                <w:tcPr>
                  <w:tcW w:w="186" w:type="pct"/>
                  <w:tcBorders>
                    <w:tl2br w:val="nil"/>
                    <w:tr2bl w:val="nil"/>
                  </w:tcBorders>
                  <w:noWrap w:val="0"/>
                  <w:vAlign w:val="center"/>
                </w:tcPr>
                <w:p w14:paraId="08AFAE09">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本</w:t>
                  </w:r>
                </w:p>
              </w:tc>
              <w:tc>
                <w:tcPr>
                  <w:tcW w:w="185" w:type="pct"/>
                  <w:vMerge w:val="continue"/>
                  <w:tcBorders>
                    <w:tl2br w:val="nil"/>
                    <w:tr2bl w:val="nil"/>
                  </w:tcBorders>
                  <w:noWrap w:val="0"/>
                  <w:vAlign w:val="center"/>
                </w:tcPr>
                <w:p w14:paraId="1EB77BD9">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c>
                <w:tcPr>
                  <w:tcW w:w="350" w:type="pct"/>
                  <w:vMerge w:val="continue"/>
                  <w:tcBorders>
                    <w:tl2br w:val="nil"/>
                    <w:tr2bl w:val="nil"/>
                  </w:tcBorders>
                  <w:noWrap w:val="0"/>
                  <w:vAlign w:val="center"/>
                </w:tcPr>
                <w:p w14:paraId="634AA061">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r>
            <w:tr w14:paraId="0677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exact"/>
                <w:jc w:val="center"/>
              </w:trPr>
              <w:tc>
                <w:tcPr>
                  <w:tcW w:w="185" w:type="pct"/>
                  <w:vMerge w:val="restart"/>
                  <w:tcBorders>
                    <w:tl2br w:val="nil"/>
                    <w:tr2bl w:val="nil"/>
                  </w:tcBorders>
                  <w:noWrap w:val="0"/>
                  <w:vAlign w:val="center"/>
                </w:tcPr>
                <w:p w14:paraId="45F385E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85" w:type="pct"/>
                  <w:vMerge w:val="restart"/>
                  <w:tcBorders>
                    <w:tl2br w:val="nil"/>
                    <w:tr2bl w:val="nil"/>
                  </w:tcBorders>
                  <w:noWrap w:val="0"/>
                  <w:vAlign w:val="center"/>
                </w:tcPr>
                <w:p w14:paraId="2A236B89">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石油蜡</w:t>
                  </w:r>
                </w:p>
              </w:tc>
              <w:tc>
                <w:tcPr>
                  <w:tcW w:w="411" w:type="pct"/>
                  <w:vMerge w:val="restart"/>
                  <w:tcBorders>
                    <w:tl2br w:val="nil"/>
                    <w:tr2bl w:val="nil"/>
                  </w:tcBorders>
                  <w:noWrap w:val="0"/>
                  <w:vAlign w:val="center"/>
                </w:tcPr>
                <w:p w14:paraId="76ED5E1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全精炼石蜡</w:t>
                  </w:r>
                </w:p>
              </w:tc>
              <w:tc>
                <w:tcPr>
                  <w:tcW w:w="450" w:type="pct"/>
                  <w:vMerge w:val="restart"/>
                  <w:tcBorders>
                    <w:tl2br w:val="nil"/>
                    <w:tr2bl w:val="nil"/>
                  </w:tcBorders>
                  <w:noWrap w:val="0"/>
                  <w:vAlign w:val="center"/>
                </w:tcPr>
                <w:p w14:paraId="1B6BD55D">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613" w:type="pct"/>
                  <w:vMerge w:val="restart"/>
                  <w:tcBorders>
                    <w:tl2br w:val="nil"/>
                    <w:tr2bl w:val="nil"/>
                  </w:tcBorders>
                  <w:noWrap w:val="0"/>
                  <w:vAlign w:val="center"/>
                </w:tcPr>
                <w:p w14:paraId="2E22B182">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固态</w:t>
                  </w:r>
                </w:p>
                <w:p w14:paraId="0778E9E6">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袋装、尺寸约40cm×20cm×5cm‌</w:t>
                  </w:r>
                </w:p>
              </w:tc>
              <w:tc>
                <w:tcPr>
                  <w:tcW w:w="398" w:type="pct"/>
                  <w:vMerge w:val="restart"/>
                  <w:tcBorders>
                    <w:tl2br w:val="nil"/>
                    <w:tr2bl w:val="nil"/>
                  </w:tcBorders>
                  <w:noWrap w:val="0"/>
                  <w:vAlign w:val="center"/>
                </w:tcPr>
                <w:p w14:paraId="3D986102">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c>
                <w:tcPr>
                  <w:tcW w:w="630" w:type="pct"/>
                  <w:tcBorders>
                    <w:tl2br w:val="nil"/>
                    <w:tr2bl w:val="nil"/>
                  </w:tcBorders>
                  <w:noWrap w:val="0"/>
                  <w:vAlign w:val="center"/>
                </w:tcPr>
                <w:p w14:paraId="14D04C0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原材料储存雨棚</w:t>
                  </w:r>
                  <w:r>
                    <w:rPr>
                      <w:rFonts w:hint="eastAsia" w:cs="Times New Roman"/>
                      <w:color w:val="auto"/>
                      <w:szCs w:val="21"/>
                      <w:highlight w:val="none"/>
                      <w:lang w:val="en-US" w:eastAsia="zh-CN"/>
                    </w:rPr>
                    <w:t>（1座，占地面积2845.8m</w:t>
                  </w:r>
                  <w:r>
                    <w:rPr>
                      <w:rFonts w:hint="eastAsia" w:cs="Times New Roman"/>
                      <w:color w:val="auto"/>
                      <w:szCs w:val="21"/>
                      <w:highlight w:val="none"/>
                      <w:vertAlign w:val="superscript"/>
                      <w:lang w:val="en-US" w:eastAsia="zh-CN"/>
                    </w:rPr>
                    <w:t>2</w:t>
                  </w:r>
                  <w:r>
                    <w:rPr>
                      <w:rFonts w:hint="eastAsia" w:cs="Times New Roman"/>
                      <w:color w:val="auto"/>
                      <w:szCs w:val="21"/>
                      <w:highlight w:val="none"/>
                      <w:lang w:val="en-US" w:eastAsia="zh-CN"/>
                    </w:rPr>
                    <w:t>），临时周转</w:t>
                  </w:r>
                </w:p>
              </w:tc>
              <w:tc>
                <w:tcPr>
                  <w:tcW w:w="254" w:type="pct"/>
                  <w:tcBorders>
                    <w:tl2br w:val="nil"/>
                    <w:tr2bl w:val="nil"/>
                  </w:tcBorders>
                  <w:noWrap w:val="0"/>
                  <w:vAlign w:val="center"/>
                </w:tcPr>
                <w:p w14:paraId="19EA4E4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c>
                <w:tcPr>
                  <w:tcW w:w="284" w:type="pct"/>
                  <w:vMerge w:val="restart"/>
                  <w:tcBorders>
                    <w:tl2br w:val="nil"/>
                    <w:tr2bl w:val="nil"/>
                  </w:tcBorders>
                  <w:noWrap w:val="0"/>
                  <w:vAlign w:val="center"/>
                </w:tcPr>
                <w:p w14:paraId="23FE9B2E">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307" w:type="pct"/>
                  <w:vMerge w:val="restart"/>
                  <w:tcBorders>
                    <w:tl2br w:val="nil"/>
                    <w:tr2bl w:val="nil"/>
                  </w:tcBorders>
                  <w:noWrap w:val="0"/>
                  <w:vAlign w:val="center"/>
                </w:tcPr>
                <w:p w14:paraId="2D694BD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14000</w:t>
                  </w:r>
                </w:p>
              </w:tc>
              <w:tc>
                <w:tcPr>
                  <w:tcW w:w="185" w:type="pct"/>
                  <w:tcBorders>
                    <w:tl2br w:val="nil"/>
                    <w:tr2bl w:val="nil"/>
                  </w:tcBorders>
                  <w:noWrap w:val="0"/>
                  <w:vAlign w:val="center"/>
                </w:tcPr>
                <w:p w14:paraId="779F3040">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186" w:type="pct"/>
                  <w:tcBorders>
                    <w:tl2br w:val="nil"/>
                    <w:tr2bl w:val="nil"/>
                  </w:tcBorders>
                  <w:noWrap w:val="0"/>
                  <w:vAlign w:val="center"/>
                </w:tcPr>
                <w:p w14:paraId="0F4D823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c>
                <w:tcPr>
                  <w:tcW w:w="185" w:type="pct"/>
                  <w:tcBorders>
                    <w:tl2br w:val="nil"/>
                    <w:tr2bl w:val="nil"/>
                  </w:tcBorders>
                  <w:noWrap w:val="0"/>
                  <w:vAlign w:val="center"/>
                </w:tcPr>
                <w:p w14:paraId="5A05749C">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186" w:type="pct"/>
                  <w:tcBorders>
                    <w:tl2br w:val="nil"/>
                    <w:tr2bl w:val="nil"/>
                  </w:tcBorders>
                  <w:noWrap w:val="0"/>
                  <w:vAlign w:val="center"/>
                </w:tcPr>
                <w:p w14:paraId="0A1C4742">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c>
                <w:tcPr>
                  <w:tcW w:w="185" w:type="pct"/>
                  <w:vMerge w:val="restart"/>
                  <w:tcBorders>
                    <w:tl2br w:val="nil"/>
                    <w:tr2bl w:val="nil"/>
                  </w:tcBorders>
                  <w:noWrap w:val="0"/>
                  <w:vAlign w:val="center"/>
                </w:tcPr>
                <w:p w14:paraId="68CF785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黑龙江大庆</w:t>
                  </w:r>
                </w:p>
              </w:tc>
              <w:tc>
                <w:tcPr>
                  <w:tcW w:w="350" w:type="pct"/>
                  <w:vMerge w:val="restart"/>
                  <w:tcBorders>
                    <w:tl2br w:val="nil"/>
                    <w:tr2bl w:val="nil"/>
                  </w:tcBorders>
                  <w:noWrap w:val="0"/>
                  <w:vAlign w:val="center"/>
                </w:tcPr>
                <w:p w14:paraId="7723188B">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原材料储存雨棚新建</w:t>
                  </w:r>
                </w:p>
              </w:tc>
            </w:tr>
            <w:tr w14:paraId="3912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185" w:type="pct"/>
                  <w:vMerge w:val="continue"/>
                  <w:tcBorders>
                    <w:tl2br w:val="nil"/>
                    <w:tr2bl w:val="nil"/>
                  </w:tcBorders>
                  <w:noWrap w:val="0"/>
                  <w:vAlign w:val="center"/>
                </w:tcPr>
                <w:p w14:paraId="7D0C9E89">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85" w:type="pct"/>
                  <w:vMerge w:val="continue"/>
                  <w:tcBorders>
                    <w:tl2br w:val="nil"/>
                    <w:tr2bl w:val="nil"/>
                  </w:tcBorders>
                  <w:noWrap w:val="0"/>
                  <w:vAlign w:val="center"/>
                </w:tcPr>
                <w:p w14:paraId="549016A5">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11" w:type="pct"/>
                  <w:vMerge w:val="continue"/>
                  <w:tcBorders>
                    <w:tl2br w:val="nil"/>
                    <w:tr2bl w:val="nil"/>
                  </w:tcBorders>
                  <w:noWrap w:val="0"/>
                  <w:vAlign w:val="center"/>
                </w:tcPr>
                <w:p w14:paraId="5C27479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0" w:type="pct"/>
                  <w:vMerge w:val="continue"/>
                  <w:tcBorders>
                    <w:tl2br w:val="nil"/>
                    <w:tr2bl w:val="nil"/>
                  </w:tcBorders>
                  <w:noWrap w:val="0"/>
                  <w:vAlign w:val="center"/>
                </w:tcPr>
                <w:p w14:paraId="55B10DAE">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cs="Times New Roman"/>
                      <w:color w:val="auto"/>
                      <w:szCs w:val="21"/>
                      <w:highlight w:val="none"/>
                      <w:lang w:val="en-US" w:eastAsia="zh-CN"/>
                    </w:rPr>
                  </w:pPr>
                </w:p>
              </w:tc>
              <w:tc>
                <w:tcPr>
                  <w:tcW w:w="613" w:type="pct"/>
                  <w:vMerge w:val="continue"/>
                  <w:tcBorders>
                    <w:tl2br w:val="nil"/>
                    <w:tr2bl w:val="nil"/>
                  </w:tcBorders>
                  <w:noWrap w:val="0"/>
                  <w:vAlign w:val="center"/>
                </w:tcPr>
                <w:p w14:paraId="703C91DB">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cs="Times New Roman"/>
                      <w:color w:val="auto"/>
                      <w:szCs w:val="21"/>
                      <w:highlight w:val="none"/>
                      <w:lang w:val="en-US" w:eastAsia="zh-CN"/>
                    </w:rPr>
                  </w:pPr>
                </w:p>
              </w:tc>
              <w:tc>
                <w:tcPr>
                  <w:tcW w:w="398" w:type="pct"/>
                  <w:vMerge w:val="continue"/>
                  <w:tcBorders>
                    <w:tl2br w:val="nil"/>
                    <w:tr2bl w:val="nil"/>
                  </w:tcBorders>
                  <w:noWrap w:val="0"/>
                  <w:vAlign w:val="center"/>
                </w:tcPr>
                <w:p w14:paraId="12D65A84">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c>
                <w:tcPr>
                  <w:tcW w:w="630" w:type="pct"/>
                  <w:tcBorders>
                    <w:tl2br w:val="nil"/>
                    <w:tr2bl w:val="nil"/>
                  </w:tcBorders>
                  <w:noWrap w:val="0"/>
                  <w:vAlign w:val="center"/>
                </w:tcPr>
                <w:p w14:paraId="79DF1A9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现有原料库房</w:t>
                  </w:r>
                </w:p>
              </w:tc>
              <w:tc>
                <w:tcPr>
                  <w:tcW w:w="254" w:type="pct"/>
                  <w:tcBorders>
                    <w:tl2br w:val="nil"/>
                    <w:tr2bl w:val="nil"/>
                  </w:tcBorders>
                  <w:noWrap w:val="0"/>
                  <w:vAlign w:val="center"/>
                </w:tcPr>
                <w:p w14:paraId="2411A21C">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284" w:type="pct"/>
                  <w:vMerge w:val="continue"/>
                  <w:tcBorders>
                    <w:tl2br w:val="nil"/>
                    <w:tr2bl w:val="nil"/>
                  </w:tcBorders>
                  <w:noWrap w:val="0"/>
                  <w:vAlign w:val="center"/>
                </w:tcPr>
                <w:p w14:paraId="67B482E3">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c>
                <w:tcPr>
                  <w:tcW w:w="307" w:type="pct"/>
                  <w:vMerge w:val="continue"/>
                  <w:tcBorders>
                    <w:tl2br w:val="nil"/>
                    <w:tr2bl w:val="nil"/>
                  </w:tcBorders>
                  <w:noWrap w:val="0"/>
                  <w:vAlign w:val="center"/>
                </w:tcPr>
                <w:p w14:paraId="104AD31A">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c>
                <w:tcPr>
                  <w:tcW w:w="185" w:type="pct"/>
                  <w:tcBorders>
                    <w:tl2br w:val="nil"/>
                    <w:tr2bl w:val="nil"/>
                  </w:tcBorders>
                  <w:shd w:val="clear" w:color="auto" w:fill="auto"/>
                  <w:noWrap w:val="0"/>
                  <w:vAlign w:val="center"/>
                </w:tcPr>
                <w:p w14:paraId="76CB5AA5">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186" w:type="pct"/>
                  <w:tcBorders>
                    <w:tl2br w:val="nil"/>
                    <w:tr2bl w:val="nil"/>
                  </w:tcBorders>
                  <w:shd w:val="clear" w:color="auto" w:fill="auto"/>
                  <w:noWrap w:val="0"/>
                  <w:vAlign w:val="center"/>
                </w:tcPr>
                <w:p w14:paraId="0C38EBA4">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60</w:t>
                  </w:r>
                </w:p>
              </w:tc>
              <w:tc>
                <w:tcPr>
                  <w:tcW w:w="185" w:type="pct"/>
                  <w:tcBorders>
                    <w:tl2br w:val="nil"/>
                    <w:tr2bl w:val="nil"/>
                  </w:tcBorders>
                  <w:shd w:val="clear" w:color="auto" w:fill="auto"/>
                  <w:noWrap w:val="0"/>
                  <w:vAlign w:val="center"/>
                </w:tcPr>
                <w:p w14:paraId="5F226877">
                  <w:pPr>
                    <w:keepNext w:val="0"/>
                    <w:keepLines w:val="0"/>
                    <w:suppressLineNumbers w:val="0"/>
                    <w:adjustRightInd w:val="0"/>
                    <w:snapToGrid w:val="0"/>
                    <w:spacing w:before="0" w:beforeAutospacing="0" w:after="0" w:afterAutospacing="0" w:line="24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186" w:type="pct"/>
                  <w:tcBorders>
                    <w:tl2br w:val="nil"/>
                    <w:tr2bl w:val="nil"/>
                  </w:tcBorders>
                  <w:shd w:val="clear" w:color="auto" w:fill="auto"/>
                  <w:noWrap w:val="0"/>
                  <w:vAlign w:val="center"/>
                </w:tcPr>
                <w:p w14:paraId="41BFBAF6">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185" w:type="pct"/>
                  <w:vMerge w:val="continue"/>
                  <w:tcBorders>
                    <w:tl2br w:val="nil"/>
                    <w:tr2bl w:val="nil"/>
                  </w:tcBorders>
                  <w:noWrap w:val="0"/>
                  <w:vAlign w:val="center"/>
                </w:tcPr>
                <w:p w14:paraId="5C88585E">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c>
                <w:tcPr>
                  <w:tcW w:w="350" w:type="pct"/>
                  <w:vMerge w:val="continue"/>
                  <w:tcBorders>
                    <w:tl2br w:val="nil"/>
                    <w:tr2bl w:val="nil"/>
                  </w:tcBorders>
                  <w:noWrap w:val="0"/>
                  <w:vAlign w:val="center"/>
                </w:tcPr>
                <w:p w14:paraId="53B986DB">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r>
            <w:tr w14:paraId="7AFC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exact"/>
                <w:jc w:val="center"/>
              </w:trPr>
              <w:tc>
                <w:tcPr>
                  <w:tcW w:w="185" w:type="pct"/>
                  <w:vMerge w:val="continue"/>
                  <w:tcBorders>
                    <w:tl2br w:val="nil"/>
                    <w:tr2bl w:val="nil"/>
                  </w:tcBorders>
                  <w:noWrap w:val="0"/>
                  <w:vAlign w:val="center"/>
                </w:tcPr>
                <w:p w14:paraId="15F20FA2">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85" w:type="pct"/>
                  <w:vMerge w:val="continue"/>
                  <w:tcBorders>
                    <w:tl2br w:val="nil"/>
                    <w:tr2bl w:val="nil"/>
                  </w:tcBorders>
                  <w:noWrap w:val="0"/>
                  <w:vAlign w:val="center"/>
                </w:tcPr>
                <w:p w14:paraId="1347B75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11" w:type="pct"/>
                  <w:vMerge w:val="continue"/>
                  <w:tcBorders>
                    <w:tl2br w:val="nil"/>
                    <w:tr2bl w:val="nil"/>
                  </w:tcBorders>
                  <w:noWrap w:val="0"/>
                  <w:vAlign w:val="center"/>
                </w:tcPr>
                <w:p w14:paraId="7FC3466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0" w:type="pct"/>
                  <w:vMerge w:val="restart"/>
                  <w:tcBorders>
                    <w:tl2br w:val="nil"/>
                    <w:tr2bl w:val="nil"/>
                  </w:tcBorders>
                  <w:noWrap w:val="0"/>
                  <w:vAlign w:val="center"/>
                </w:tcPr>
                <w:p w14:paraId="71FB5132">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cs="Times New Roman"/>
                      <w:color w:val="auto"/>
                      <w:szCs w:val="21"/>
                      <w:highlight w:val="none"/>
                      <w:lang w:val="en-US" w:eastAsia="zh-CN"/>
                    </w:rPr>
                  </w:pPr>
                  <w:r>
                    <w:rPr>
                      <w:rFonts w:hint="eastAsia" w:ascii="Times New Roman"/>
                      <w:color w:val="auto"/>
                      <w:highlight w:val="none"/>
                    </w:rPr>
                    <w:t>白色或淡黄色</w:t>
                  </w:r>
                  <w:r>
                    <w:rPr>
                      <w:rFonts w:hint="eastAsia"/>
                      <w:color w:val="auto"/>
                      <w:highlight w:val="none"/>
                      <w:lang w:eastAsia="zh-CN"/>
                    </w:rPr>
                    <w:t>，</w:t>
                  </w:r>
                  <w:r>
                    <w:rPr>
                      <w:rFonts w:hint="eastAsia" w:ascii="Times New Roman" w:hAnsi="Times New Roman" w:cs="Times New Roman"/>
                      <w:color w:val="auto"/>
                      <w:szCs w:val="21"/>
                      <w:highlight w:val="none"/>
                      <w:lang w:val="en-US" w:eastAsia="zh-CN"/>
                    </w:rPr>
                    <w:t>液态</w:t>
                  </w:r>
                </w:p>
              </w:tc>
              <w:tc>
                <w:tcPr>
                  <w:tcW w:w="613" w:type="pct"/>
                  <w:vMerge w:val="restart"/>
                  <w:tcBorders>
                    <w:tl2br w:val="nil"/>
                    <w:tr2bl w:val="nil"/>
                  </w:tcBorders>
                  <w:noWrap w:val="0"/>
                  <w:vAlign w:val="center"/>
                </w:tcPr>
                <w:p w14:paraId="7077C0F8">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液态</w:t>
                  </w:r>
                </w:p>
              </w:tc>
              <w:tc>
                <w:tcPr>
                  <w:tcW w:w="398" w:type="pct"/>
                  <w:tcBorders>
                    <w:tl2br w:val="nil"/>
                    <w:tr2bl w:val="nil"/>
                  </w:tcBorders>
                  <w:shd w:val="clear" w:color="auto" w:fill="auto"/>
                  <w:noWrap w:val="0"/>
                  <w:vAlign w:val="center"/>
                </w:tcPr>
                <w:p w14:paraId="14518C27">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2座2000m</w:t>
                  </w:r>
                  <w:r>
                    <w:rPr>
                      <w:rFonts w:hint="eastAsia" w:ascii="Times New Roman" w:hAnsi="Times New Roman" w:cs="Times New Roman"/>
                      <w:color w:val="auto"/>
                      <w:szCs w:val="21"/>
                      <w:highlight w:val="none"/>
                      <w:vertAlign w:val="superscript"/>
                      <w:lang w:val="en-US" w:eastAsia="zh-CN"/>
                    </w:rPr>
                    <w:t>3</w:t>
                  </w:r>
                  <w:r>
                    <w:rPr>
                      <w:rFonts w:hint="eastAsia" w:ascii="Times New Roman" w:hAnsi="Times New Roman" w:cs="Times New Roman"/>
                      <w:color w:val="auto"/>
                      <w:szCs w:val="21"/>
                      <w:highlight w:val="none"/>
                      <w:lang w:val="en-US" w:eastAsia="zh-CN"/>
                    </w:rPr>
                    <w:t>储罐</w:t>
                  </w:r>
                </w:p>
              </w:tc>
              <w:tc>
                <w:tcPr>
                  <w:tcW w:w="630" w:type="pct"/>
                  <w:tcBorders>
                    <w:tl2br w:val="nil"/>
                    <w:tr2bl w:val="nil"/>
                  </w:tcBorders>
                  <w:noWrap w:val="0"/>
                  <w:vAlign w:val="center"/>
                </w:tcPr>
                <w:p w14:paraId="1E8C388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2座2000m</w:t>
                  </w:r>
                  <w:r>
                    <w:rPr>
                      <w:rFonts w:hint="eastAsia" w:ascii="Times New Roman" w:hAnsi="Times New Roman" w:cs="Times New Roman"/>
                      <w:color w:val="auto"/>
                      <w:szCs w:val="21"/>
                      <w:highlight w:val="none"/>
                      <w:vertAlign w:val="superscript"/>
                      <w:lang w:val="en-US" w:eastAsia="zh-CN"/>
                    </w:rPr>
                    <w:t>3</w:t>
                  </w:r>
                  <w:r>
                    <w:rPr>
                      <w:rFonts w:hint="eastAsia" w:ascii="Times New Roman" w:hAnsi="Times New Roman" w:cs="Times New Roman"/>
                      <w:color w:val="auto"/>
                      <w:szCs w:val="21"/>
                      <w:highlight w:val="none"/>
                      <w:lang w:val="en-US" w:eastAsia="zh-CN"/>
                    </w:rPr>
                    <w:t>储罐</w:t>
                  </w:r>
                </w:p>
              </w:tc>
              <w:tc>
                <w:tcPr>
                  <w:tcW w:w="254" w:type="pct"/>
                  <w:tcBorders>
                    <w:tl2br w:val="nil"/>
                    <w:tr2bl w:val="nil"/>
                  </w:tcBorders>
                  <w:noWrap w:val="0"/>
                  <w:vAlign w:val="center"/>
                </w:tcPr>
                <w:p w14:paraId="364408A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0.75</w:t>
                  </w:r>
                </w:p>
              </w:tc>
              <w:tc>
                <w:tcPr>
                  <w:tcW w:w="284" w:type="pct"/>
                  <w:tcBorders>
                    <w:tl2br w:val="nil"/>
                    <w:tr2bl w:val="nil"/>
                  </w:tcBorders>
                  <w:noWrap w:val="0"/>
                  <w:vAlign w:val="center"/>
                </w:tcPr>
                <w:p w14:paraId="7222DABE">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21000</w:t>
                  </w:r>
                </w:p>
              </w:tc>
              <w:tc>
                <w:tcPr>
                  <w:tcW w:w="307" w:type="pct"/>
                  <w:tcBorders>
                    <w:tl2br w:val="nil"/>
                    <w:tr2bl w:val="nil"/>
                  </w:tcBorders>
                  <w:noWrap w:val="0"/>
                  <w:vAlign w:val="center"/>
                </w:tcPr>
                <w:p w14:paraId="689C994D">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7000</w:t>
                  </w:r>
                </w:p>
              </w:tc>
              <w:tc>
                <w:tcPr>
                  <w:tcW w:w="185" w:type="pct"/>
                  <w:tcBorders>
                    <w:tl2br w:val="nil"/>
                    <w:tr2bl w:val="nil"/>
                  </w:tcBorders>
                  <w:noWrap w:val="0"/>
                  <w:vAlign w:val="center"/>
                </w:tcPr>
                <w:p w14:paraId="26E308D1">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25</w:t>
                  </w:r>
                </w:p>
              </w:tc>
              <w:tc>
                <w:tcPr>
                  <w:tcW w:w="186" w:type="pct"/>
                  <w:tcBorders>
                    <w:tl2br w:val="nil"/>
                    <w:tr2bl w:val="nil"/>
                  </w:tcBorders>
                  <w:noWrap w:val="0"/>
                  <w:vAlign w:val="center"/>
                </w:tcPr>
                <w:p w14:paraId="214FB84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90</w:t>
                  </w:r>
                </w:p>
              </w:tc>
              <w:tc>
                <w:tcPr>
                  <w:tcW w:w="185" w:type="pct"/>
                  <w:tcBorders>
                    <w:tl2br w:val="nil"/>
                    <w:tr2bl w:val="nil"/>
                  </w:tcBorders>
                  <w:noWrap w:val="0"/>
                  <w:vAlign w:val="center"/>
                </w:tcPr>
                <w:p w14:paraId="4F946858">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10</w:t>
                  </w:r>
                </w:p>
              </w:tc>
              <w:tc>
                <w:tcPr>
                  <w:tcW w:w="186" w:type="pct"/>
                  <w:tcBorders>
                    <w:tl2br w:val="nil"/>
                    <w:tr2bl w:val="nil"/>
                  </w:tcBorders>
                  <w:noWrap w:val="0"/>
                  <w:vAlign w:val="center"/>
                </w:tcPr>
                <w:p w14:paraId="582FCF6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3</w:t>
                  </w:r>
                </w:p>
              </w:tc>
              <w:tc>
                <w:tcPr>
                  <w:tcW w:w="185" w:type="pct"/>
                  <w:tcBorders>
                    <w:tl2br w:val="nil"/>
                    <w:tr2bl w:val="nil"/>
                  </w:tcBorders>
                  <w:noWrap w:val="0"/>
                  <w:vAlign w:val="center"/>
                </w:tcPr>
                <w:p w14:paraId="0C0D87FD">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抚顺石化</w:t>
                  </w:r>
                </w:p>
              </w:tc>
              <w:tc>
                <w:tcPr>
                  <w:tcW w:w="350" w:type="pct"/>
                  <w:tcBorders>
                    <w:tl2br w:val="nil"/>
                    <w:tr2bl w:val="nil"/>
                  </w:tcBorders>
                  <w:noWrap w:val="0"/>
                  <w:vAlign w:val="center"/>
                </w:tcPr>
                <w:p w14:paraId="788FCC8E">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r>
            <w:tr w14:paraId="0DD9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exact"/>
                <w:jc w:val="center"/>
              </w:trPr>
              <w:tc>
                <w:tcPr>
                  <w:tcW w:w="185" w:type="pct"/>
                  <w:vMerge w:val="continue"/>
                  <w:tcBorders>
                    <w:tl2br w:val="nil"/>
                    <w:tr2bl w:val="nil"/>
                  </w:tcBorders>
                  <w:noWrap w:val="0"/>
                  <w:vAlign w:val="center"/>
                </w:tcPr>
                <w:p w14:paraId="3E47CA53">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p>
              </w:tc>
              <w:tc>
                <w:tcPr>
                  <w:tcW w:w="185" w:type="pct"/>
                  <w:vMerge w:val="continue"/>
                  <w:tcBorders>
                    <w:tl2br w:val="nil"/>
                    <w:tr2bl w:val="nil"/>
                  </w:tcBorders>
                  <w:noWrap w:val="0"/>
                  <w:vAlign w:val="center"/>
                </w:tcPr>
                <w:p w14:paraId="65D965D5">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11" w:type="pct"/>
                  <w:vMerge w:val="continue"/>
                  <w:tcBorders>
                    <w:tl2br w:val="nil"/>
                    <w:tr2bl w:val="nil"/>
                  </w:tcBorders>
                  <w:noWrap w:val="0"/>
                  <w:vAlign w:val="center"/>
                </w:tcPr>
                <w:p w14:paraId="7E4C178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0" w:type="pct"/>
                  <w:vMerge w:val="continue"/>
                  <w:tcBorders>
                    <w:tl2br w:val="nil"/>
                    <w:tr2bl w:val="nil"/>
                  </w:tcBorders>
                  <w:noWrap w:val="0"/>
                  <w:vAlign w:val="center"/>
                </w:tcPr>
                <w:p w14:paraId="1E332B60">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p>
              </w:tc>
              <w:tc>
                <w:tcPr>
                  <w:tcW w:w="613" w:type="pct"/>
                  <w:vMerge w:val="continue"/>
                  <w:tcBorders>
                    <w:tl2br w:val="nil"/>
                    <w:tr2bl w:val="nil"/>
                  </w:tcBorders>
                  <w:noWrap w:val="0"/>
                  <w:vAlign w:val="center"/>
                </w:tcPr>
                <w:p w14:paraId="493DC0FD">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p>
              </w:tc>
              <w:tc>
                <w:tcPr>
                  <w:tcW w:w="398" w:type="pct"/>
                  <w:tcBorders>
                    <w:tl2br w:val="nil"/>
                    <w:tr2bl w:val="nil"/>
                  </w:tcBorders>
                  <w:shd w:val="clear" w:color="auto" w:fill="auto"/>
                  <w:noWrap w:val="0"/>
                  <w:vAlign w:val="center"/>
                </w:tcPr>
                <w:p w14:paraId="5372E335">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2座2650m</w:t>
                  </w:r>
                  <w:r>
                    <w:rPr>
                      <w:rFonts w:hint="eastAsia" w:ascii="Times New Roman" w:hAnsi="Times New Roman" w:cs="Times New Roman"/>
                      <w:color w:val="auto"/>
                      <w:szCs w:val="21"/>
                      <w:highlight w:val="none"/>
                      <w:vertAlign w:val="superscript"/>
                      <w:lang w:val="en-US" w:eastAsia="zh-CN"/>
                    </w:rPr>
                    <w:t>3</w:t>
                  </w:r>
                  <w:r>
                    <w:rPr>
                      <w:rFonts w:hint="eastAsia" w:ascii="Times New Roman" w:hAnsi="Times New Roman" w:cs="Times New Roman"/>
                      <w:color w:val="auto"/>
                      <w:szCs w:val="21"/>
                      <w:highlight w:val="none"/>
                      <w:lang w:val="en-US" w:eastAsia="zh-CN"/>
                    </w:rPr>
                    <w:t>储罐</w:t>
                  </w:r>
                </w:p>
              </w:tc>
              <w:tc>
                <w:tcPr>
                  <w:tcW w:w="630" w:type="pct"/>
                  <w:tcBorders>
                    <w:tl2br w:val="nil"/>
                    <w:tr2bl w:val="nil"/>
                  </w:tcBorders>
                  <w:noWrap w:val="0"/>
                  <w:vAlign w:val="center"/>
                </w:tcPr>
                <w:p w14:paraId="4A4C4356">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2座2650m</w:t>
                  </w:r>
                  <w:r>
                    <w:rPr>
                      <w:rFonts w:hint="eastAsia" w:ascii="Times New Roman" w:hAnsi="Times New Roman" w:cs="Times New Roman"/>
                      <w:color w:val="auto"/>
                      <w:szCs w:val="21"/>
                      <w:highlight w:val="none"/>
                      <w:vertAlign w:val="superscript"/>
                      <w:lang w:val="en-US" w:eastAsia="zh-CN"/>
                    </w:rPr>
                    <w:t>3</w:t>
                  </w:r>
                  <w:r>
                    <w:rPr>
                      <w:rFonts w:hint="eastAsia" w:ascii="Times New Roman" w:hAnsi="Times New Roman" w:cs="Times New Roman"/>
                      <w:color w:val="auto"/>
                      <w:szCs w:val="21"/>
                      <w:highlight w:val="none"/>
                      <w:lang w:val="en-US" w:eastAsia="zh-CN"/>
                    </w:rPr>
                    <w:t>储罐</w:t>
                  </w:r>
                </w:p>
              </w:tc>
              <w:tc>
                <w:tcPr>
                  <w:tcW w:w="254" w:type="pct"/>
                  <w:tcBorders>
                    <w:tl2br w:val="nil"/>
                    <w:tr2bl w:val="nil"/>
                  </w:tcBorders>
                  <w:noWrap w:val="0"/>
                  <w:vAlign w:val="center"/>
                </w:tcPr>
                <w:p w14:paraId="12F766D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0.75</w:t>
                  </w:r>
                </w:p>
              </w:tc>
              <w:tc>
                <w:tcPr>
                  <w:tcW w:w="284" w:type="pct"/>
                  <w:tcBorders>
                    <w:tl2br w:val="nil"/>
                    <w:tr2bl w:val="nil"/>
                  </w:tcBorders>
                  <w:noWrap w:val="0"/>
                  <w:vAlign w:val="center"/>
                </w:tcPr>
                <w:p w14:paraId="271B0EC9">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12000</w:t>
                  </w:r>
                </w:p>
              </w:tc>
              <w:tc>
                <w:tcPr>
                  <w:tcW w:w="307" w:type="pct"/>
                  <w:tcBorders>
                    <w:tl2br w:val="nil"/>
                    <w:tr2bl w:val="nil"/>
                  </w:tcBorders>
                  <w:noWrap w:val="0"/>
                  <w:vAlign w:val="center"/>
                </w:tcPr>
                <w:p w14:paraId="239EE39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12000</w:t>
                  </w:r>
                </w:p>
              </w:tc>
              <w:tc>
                <w:tcPr>
                  <w:tcW w:w="185" w:type="pct"/>
                  <w:tcBorders>
                    <w:tl2br w:val="nil"/>
                    <w:tr2bl w:val="nil"/>
                  </w:tcBorders>
                  <w:noWrap w:val="0"/>
                  <w:vAlign w:val="center"/>
                </w:tcPr>
                <w:p w14:paraId="0C0723D7">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35</w:t>
                  </w:r>
                </w:p>
              </w:tc>
              <w:tc>
                <w:tcPr>
                  <w:tcW w:w="186" w:type="pct"/>
                  <w:tcBorders>
                    <w:tl2br w:val="nil"/>
                    <w:tr2bl w:val="nil"/>
                  </w:tcBorders>
                  <w:noWrap w:val="0"/>
                  <w:vAlign w:val="center"/>
                </w:tcPr>
                <w:p w14:paraId="7926FD9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35</w:t>
                  </w:r>
                </w:p>
              </w:tc>
              <w:tc>
                <w:tcPr>
                  <w:tcW w:w="185" w:type="pct"/>
                  <w:tcBorders>
                    <w:tl2br w:val="nil"/>
                    <w:tr2bl w:val="nil"/>
                  </w:tcBorders>
                  <w:noWrap w:val="0"/>
                  <w:vAlign w:val="center"/>
                </w:tcPr>
                <w:p w14:paraId="3F7D2A92">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8</w:t>
                  </w:r>
                </w:p>
              </w:tc>
              <w:tc>
                <w:tcPr>
                  <w:tcW w:w="186" w:type="pct"/>
                  <w:tcBorders>
                    <w:tl2br w:val="nil"/>
                    <w:tr2bl w:val="nil"/>
                  </w:tcBorders>
                  <w:noWrap w:val="0"/>
                  <w:vAlign w:val="center"/>
                </w:tcPr>
                <w:p w14:paraId="358AEBF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8</w:t>
                  </w:r>
                </w:p>
              </w:tc>
              <w:tc>
                <w:tcPr>
                  <w:tcW w:w="185" w:type="pct"/>
                  <w:tcBorders>
                    <w:tl2br w:val="nil"/>
                    <w:tr2bl w:val="nil"/>
                  </w:tcBorders>
                  <w:noWrap w:val="0"/>
                  <w:vAlign w:val="center"/>
                </w:tcPr>
                <w:p w14:paraId="11F6556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德国汉圣总部</w:t>
                  </w:r>
                </w:p>
              </w:tc>
              <w:tc>
                <w:tcPr>
                  <w:tcW w:w="350" w:type="pct"/>
                  <w:tcBorders>
                    <w:tl2br w:val="nil"/>
                    <w:tr2bl w:val="nil"/>
                  </w:tcBorders>
                  <w:noWrap w:val="0"/>
                  <w:vAlign w:val="center"/>
                </w:tcPr>
                <w:p w14:paraId="64EA914A">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r>
            <w:tr w14:paraId="1B0A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exact"/>
                <w:jc w:val="center"/>
              </w:trPr>
              <w:tc>
                <w:tcPr>
                  <w:tcW w:w="185" w:type="pct"/>
                  <w:vMerge w:val="restart"/>
                  <w:tcBorders>
                    <w:tl2br w:val="nil"/>
                    <w:tr2bl w:val="nil"/>
                  </w:tcBorders>
                  <w:noWrap w:val="0"/>
                  <w:vAlign w:val="center"/>
                </w:tcPr>
                <w:p w14:paraId="4EB8726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85" w:type="pct"/>
                  <w:vMerge w:val="restart"/>
                  <w:tcBorders>
                    <w:tl2br w:val="nil"/>
                    <w:tr2bl w:val="nil"/>
                  </w:tcBorders>
                  <w:noWrap w:val="0"/>
                  <w:vAlign w:val="center"/>
                </w:tcPr>
                <w:p w14:paraId="005C4EC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改性剂</w:t>
                  </w:r>
                </w:p>
              </w:tc>
              <w:tc>
                <w:tcPr>
                  <w:tcW w:w="411" w:type="pct"/>
                  <w:tcBorders>
                    <w:tl2br w:val="nil"/>
                    <w:tr2bl w:val="nil"/>
                  </w:tcBorders>
                  <w:shd w:val="clear" w:color="auto" w:fill="auto"/>
                  <w:noWrap w:val="0"/>
                  <w:vAlign w:val="center"/>
                </w:tcPr>
                <w:p w14:paraId="589D5C0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微晶蜡</w:t>
                  </w:r>
                </w:p>
              </w:tc>
              <w:tc>
                <w:tcPr>
                  <w:tcW w:w="450" w:type="pct"/>
                  <w:tcBorders>
                    <w:tl2br w:val="nil"/>
                    <w:tr2bl w:val="nil"/>
                  </w:tcBorders>
                  <w:shd w:val="clear" w:color="auto" w:fill="auto"/>
                  <w:noWrap w:val="0"/>
                  <w:vAlign w:val="center"/>
                </w:tcPr>
                <w:p w14:paraId="0BEBEFE1">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ascii="Times New Roman"/>
                      <w:color w:val="auto"/>
                      <w:highlight w:val="none"/>
                    </w:rPr>
                    <w:t>白色或淡黄色</w:t>
                  </w:r>
                  <w:r>
                    <w:rPr>
                      <w:rFonts w:hint="eastAsia"/>
                      <w:color w:val="auto"/>
                      <w:highlight w:val="none"/>
                      <w:lang w:eastAsia="zh-CN"/>
                    </w:rPr>
                    <w:t>，</w:t>
                  </w:r>
                  <w:r>
                    <w:rPr>
                      <w:rFonts w:hint="eastAsia" w:cs="Times New Roman"/>
                      <w:color w:val="auto"/>
                      <w:szCs w:val="21"/>
                      <w:highlight w:val="none"/>
                      <w:lang w:val="en-US" w:eastAsia="zh-CN"/>
                    </w:rPr>
                    <w:t>固态</w:t>
                  </w:r>
                </w:p>
              </w:tc>
              <w:tc>
                <w:tcPr>
                  <w:tcW w:w="613" w:type="pct"/>
                  <w:tcBorders>
                    <w:tl2br w:val="nil"/>
                    <w:tr2bl w:val="nil"/>
                  </w:tcBorders>
                  <w:shd w:val="clear" w:color="auto" w:fill="auto"/>
                  <w:noWrap w:val="0"/>
                  <w:vAlign w:val="center"/>
                </w:tcPr>
                <w:p w14:paraId="07CF0A1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白色、淡黄色、红、棕，液态</w:t>
                  </w:r>
                </w:p>
              </w:tc>
              <w:tc>
                <w:tcPr>
                  <w:tcW w:w="398" w:type="pct"/>
                  <w:tcBorders>
                    <w:tl2br w:val="nil"/>
                    <w:tr2bl w:val="nil"/>
                  </w:tcBorders>
                  <w:shd w:val="clear" w:color="auto" w:fill="auto"/>
                  <w:noWrap w:val="0"/>
                  <w:vAlign w:val="center"/>
                </w:tcPr>
                <w:p w14:paraId="74337D5D">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库房</w:t>
                  </w:r>
                </w:p>
              </w:tc>
              <w:tc>
                <w:tcPr>
                  <w:tcW w:w="630" w:type="pct"/>
                  <w:tcBorders>
                    <w:tl2br w:val="nil"/>
                    <w:tr2bl w:val="nil"/>
                  </w:tcBorders>
                  <w:shd w:val="clear" w:color="auto" w:fill="auto"/>
                  <w:noWrap w:val="0"/>
                  <w:vAlign w:val="center"/>
                </w:tcPr>
                <w:p w14:paraId="057E2987">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11座23</w:t>
                  </w:r>
                  <w:r>
                    <w:rPr>
                      <w:rFonts w:hint="eastAsia" w:ascii="Times New Roman" w:hAnsi="Times New Roman" w:cs="Times New Roman"/>
                      <w:color w:val="auto"/>
                      <w:szCs w:val="21"/>
                      <w:highlight w:val="none"/>
                      <w:lang w:val="en-US" w:eastAsia="zh-CN"/>
                    </w:rPr>
                    <w:t>m</w:t>
                  </w:r>
                  <w:r>
                    <w:rPr>
                      <w:rFonts w:hint="eastAsia" w:ascii="Times New Roman" w:hAnsi="Times New Roman" w:cs="Times New Roman"/>
                      <w:color w:val="auto"/>
                      <w:szCs w:val="21"/>
                      <w:highlight w:val="none"/>
                      <w:vertAlign w:val="superscript"/>
                      <w:lang w:val="en-US" w:eastAsia="zh-CN"/>
                    </w:rPr>
                    <w:t>3</w:t>
                  </w:r>
                  <w:r>
                    <w:rPr>
                      <w:rFonts w:hint="eastAsia" w:ascii="Times New Roman" w:hAnsi="Times New Roman" w:cs="Times New Roman"/>
                      <w:color w:val="auto"/>
                      <w:szCs w:val="21"/>
                      <w:highlight w:val="none"/>
                      <w:lang w:val="en-US" w:eastAsia="zh-CN"/>
                    </w:rPr>
                    <w:t>储罐</w:t>
                  </w:r>
                </w:p>
              </w:tc>
              <w:tc>
                <w:tcPr>
                  <w:tcW w:w="254" w:type="pct"/>
                  <w:tcBorders>
                    <w:tl2br w:val="nil"/>
                    <w:tr2bl w:val="nil"/>
                  </w:tcBorders>
                  <w:shd w:val="clear" w:color="auto" w:fill="auto"/>
                  <w:noWrap w:val="0"/>
                  <w:vAlign w:val="center"/>
                </w:tcPr>
                <w:p w14:paraId="2E5F953F">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0.75</w:t>
                  </w:r>
                </w:p>
              </w:tc>
              <w:tc>
                <w:tcPr>
                  <w:tcW w:w="284" w:type="pct"/>
                  <w:tcBorders>
                    <w:tl2br w:val="nil"/>
                    <w:tr2bl w:val="nil"/>
                  </w:tcBorders>
                  <w:shd w:val="clear" w:color="auto" w:fill="auto"/>
                  <w:noWrap w:val="0"/>
                  <w:vAlign w:val="center"/>
                </w:tcPr>
                <w:p w14:paraId="62AEA039">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2000</w:t>
                  </w:r>
                </w:p>
              </w:tc>
              <w:tc>
                <w:tcPr>
                  <w:tcW w:w="307" w:type="pct"/>
                  <w:tcBorders>
                    <w:tl2br w:val="nil"/>
                    <w:tr2bl w:val="nil"/>
                  </w:tcBorders>
                  <w:shd w:val="clear" w:color="auto" w:fill="auto"/>
                  <w:noWrap w:val="0"/>
                  <w:vAlign w:val="center"/>
                </w:tcPr>
                <w:p w14:paraId="73CEB2E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2000</w:t>
                  </w:r>
                </w:p>
              </w:tc>
              <w:tc>
                <w:tcPr>
                  <w:tcW w:w="185" w:type="pct"/>
                  <w:tcBorders>
                    <w:tl2br w:val="nil"/>
                    <w:tr2bl w:val="nil"/>
                  </w:tcBorders>
                  <w:shd w:val="clear" w:color="auto" w:fill="auto"/>
                  <w:noWrap w:val="0"/>
                  <w:vAlign w:val="center"/>
                </w:tcPr>
                <w:p w14:paraId="51AC5C9F">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60</w:t>
                  </w:r>
                </w:p>
              </w:tc>
              <w:tc>
                <w:tcPr>
                  <w:tcW w:w="186" w:type="pct"/>
                  <w:tcBorders>
                    <w:tl2br w:val="nil"/>
                    <w:tr2bl w:val="nil"/>
                  </w:tcBorders>
                  <w:shd w:val="clear" w:color="auto" w:fill="auto"/>
                  <w:noWrap w:val="0"/>
                  <w:vAlign w:val="center"/>
                </w:tcPr>
                <w:p w14:paraId="6A46CBB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29</w:t>
                  </w:r>
                </w:p>
              </w:tc>
              <w:tc>
                <w:tcPr>
                  <w:tcW w:w="185" w:type="pct"/>
                  <w:tcBorders>
                    <w:tl2br w:val="nil"/>
                    <w:tr2bl w:val="nil"/>
                  </w:tcBorders>
                  <w:shd w:val="clear" w:color="auto" w:fill="auto"/>
                  <w:noWrap w:val="0"/>
                  <w:vAlign w:val="center"/>
                </w:tcPr>
                <w:p w14:paraId="77512B6D">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186" w:type="pct"/>
                  <w:tcBorders>
                    <w:tl2br w:val="nil"/>
                    <w:tr2bl w:val="nil"/>
                  </w:tcBorders>
                  <w:shd w:val="clear" w:color="auto" w:fill="auto"/>
                  <w:noWrap w:val="0"/>
                  <w:vAlign w:val="center"/>
                </w:tcPr>
                <w:p w14:paraId="329E0BE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185" w:type="pct"/>
                  <w:tcBorders>
                    <w:tl2br w:val="nil"/>
                    <w:tr2bl w:val="nil"/>
                  </w:tcBorders>
                  <w:shd w:val="clear" w:color="auto" w:fill="auto"/>
                  <w:noWrap w:val="0"/>
                  <w:vAlign w:val="center"/>
                </w:tcPr>
                <w:p w14:paraId="09A4B7F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外购</w:t>
                  </w:r>
                </w:p>
              </w:tc>
              <w:tc>
                <w:tcPr>
                  <w:tcW w:w="350" w:type="pct"/>
                  <w:tcBorders>
                    <w:tl2br w:val="nil"/>
                    <w:tr2bl w:val="nil"/>
                  </w:tcBorders>
                  <w:shd w:val="clear" w:color="auto" w:fill="auto"/>
                  <w:noWrap w:val="0"/>
                  <w:vAlign w:val="center"/>
                </w:tcPr>
                <w:p w14:paraId="4213DACA">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szCs w:val="21"/>
                      <w:highlight w:val="none"/>
                      <w:lang w:val="en-US" w:eastAsia="zh-CN"/>
                    </w:rPr>
                    <w:t>11座23</w:t>
                  </w:r>
                  <w:r>
                    <w:rPr>
                      <w:rFonts w:hint="eastAsia" w:ascii="Times New Roman" w:hAnsi="Times New Roman" w:cs="Times New Roman"/>
                      <w:color w:val="auto"/>
                      <w:szCs w:val="21"/>
                      <w:highlight w:val="none"/>
                      <w:lang w:val="en-US" w:eastAsia="zh-CN"/>
                    </w:rPr>
                    <w:t>m</w:t>
                  </w:r>
                  <w:r>
                    <w:rPr>
                      <w:rFonts w:hint="eastAsia" w:ascii="Times New Roman" w:hAnsi="Times New Roman" w:cs="Times New Roman"/>
                      <w:color w:val="auto"/>
                      <w:szCs w:val="21"/>
                      <w:highlight w:val="none"/>
                      <w:vertAlign w:val="superscript"/>
                      <w:lang w:val="en-US" w:eastAsia="zh-CN"/>
                    </w:rPr>
                    <w:t>3</w:t>
                  </w:r>
                  <w:r>
                    <w:rPr>
                      <w:rFonts w:hint="eastAsia" w:ascii="Times New Roman" w:hAnsi="Times New Roman" w:cs="Times New Roman"/>
                      <w:color w:val="auto"/>
                      <w:szCs w:val="21"/>
                      <w:highlight w:val="none"/>
                      <w:lang w:val="en-US" w:eastAsia="zh-CN"/>
                    </w:rPr>
                    <w:t>储罐</w:t>
                  </w:r>
                  <w:r>
                    <w:rPr>
                      <w:rFonts w:hint="eastAsia" w:cs="Times New Roman"/>
                      <w:color w:val="auto"/>
                      <w:szCs w:val="21"/>
                      <w:highlight w:val="none"/>
                      <w:lang w:val="en-US" w:eastAsia="zh-CN"/>
                    </w:rPr>
                    <w:t>（不锈钢、固定顶罐）新建</w:t>
                  </w:r>
                </w:p>
              </w:tc>
            </w:tr>
            <w:tr w14:paraId="47B0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exact"/>
                <w:jc w:val="center"/>
              </w:trPr>
              <w:tc>
                <w:tcPr>
                  <w:tcW w:w="185" w:type="pct"/>
                  <w:vMerge w:val="continue"/>
                  <w:tcBorders>
                    <w:tl2br w:val="nil"/>
                    <w:tr2bl w:val="nil"/>
                  </w:tcBorders>
                  <w:noWrap w:val="0"/>
                  <w:vAlign w:val="center"/>
                </w:tcPr>
                <w:p w14:paraId="58F9DBE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85" w:type="pct"/>
                  <w:vMerge w:val="continue"/>
                  <w:tcBorders>
                    <w:tl2br w:val="nil"/>
                    <w:tr2bl w:val="nil"/>
                  </w:tcBorders>
                  <w:noWrap w:val="0"/>
                  <w:vAlign w:val="center"/>
                </w:tcPr>
                <w:p w14:paraId="16539B8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11" w:type="pct"/>
                  <w:tcBorders>
                    <w:tl2br w:val="nil"/>
                    <w:tr2bl w:val="nil"/>
                  </w:tcBorders>
                  <w:shd w:val="clear" w:color="auto" w:fill="auto"/>
                  <w:noWrap w:val="0"/>
                  <w:vAlign w:val="center"/>
                </w:tcPr>
                <w:p w14:paraId="4E5283A5">
                  <w:pPr>
                    <w:keepNext w:val="0"/>
                    <w:keepLines w:val="0"/>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EVA蜡</w:t>
                  </w:r>
                </w:p>
              </w:tc>
              <w:tc>
                <w:tcPr>
                  <w:tcW w:w="450" w:type="pct"/>
                  <w:tcBorders>
                    <w:tl2br w:val="nil"/>
                    <w:tr2bl w:val="nil"/>
                  </w:tcBorders>
                  <w:shd w:val="clear" w:color="auto" w:fill="auto"/>
                  <w:noWrap w:val="0"/>
                  <w:vAlign w:val="center"/>
                </w:tcPr>
                <w:p w14:paraId="6801E4A0">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白色，固态</w:t>
                  </w:r>
                </w:p>
              </w:tc>
              <w:tc>
                <w:tcPr>
                  <w:tcW w:w="613" w:type="pct"/>
                  <w:tcBorders>
                    <w:tl2br w:val="nil"/>
                    <w:tr2bl w:val="nil"/>
                  </w:tcBorders>
                  <w:shd w:val="clear" w:color="auto" w:fill="auto"/>
                  <w:noWrap w:val="0"/>
                  <w:vAlign w:val="center"/>
                </w:tcPr>
                <w:p w14:paraId="444DEE9F">
                  <w:pPr>
                    <w:keepNext w:val="0"/>
                    <w:keepLines w:val="0"/>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一致</w:t>
                  </w:r>
                </w:p>
              </w:tc>
              <w:tc>
                <w:tcPr>
                  <w:tcW w:w="398" w:type="pct"/>
                  <w:tcBorders>
                    <w:tl2br w:val="nil"/>
                    <w:tr2bl w:val="nil"/>
                  </w:tcBorders>
                  <w:shd w:val="clear" w:color="auto" w:fill="auto"/>
                  <w:noWrap w:val="0"/>
                  <w:vAlign w:val="center"/>
                </w:tcPr>
                <w:p w14:paraId="4D36F492">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库房</w:t>
                  </w:r>
                </w:p>
              </w:tc>
              <w:tc>
                <w:tcPr>
                  <w:tcW w:w="630" w:type="pct"/>
                  <w:tcBorders>
                    <w:tl2br w:val="nil"/>
                    <w:tr2bl w:val="nil"/>
                  </w:tcBorders>
                  <w:shd w:val="clear" w:color="auto" w:fill="auto"/>
                  <w:noWrap w:val="0"/>
                  <w:vAlign w:val="center"/>
                </w:tcPr>
                <w:p w14:paraId="4BF9AD2C">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一致</w:t>
                  </w:r>
                </w:p>
              </w:tc>
              <w:tc>
                <w:tcPr>
                  <w:tcW w:w="254" w:type="pct"/>
                  <w:tcBorders>
                    <w:tl2br w:val="nil"/>
                    <w:tr2bl w:val="nil"/>
                  </w:tcBorders>
                  <w:shd w:val="clear" w:color="auto" w:fill="auto"/>
                  <w:noWrap w:val="0"/>
                  <w:vAlign w:val="center"/>
                </w:tcPr>
                <w:p w14:paraId="1BE10D68">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284" w:type="pct"/>
                  <w:tcBorders>
                    <w:tl2br w:val="nil"/>
                    <w:tr2bl w:val="nil"/>
                  </w:tcBorders>
                  <w:shd w:val="clear" w:color="auto" w:fill="auto"/>
                  <w:noWrap w:val="0"/>
                  <w:vAlign w:val="center"/>
                </w:tcPr>
                <w:p w14:paraId="5DC5EB82">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2000</w:t>
                  </w:r>
                </w:p>
              </w:tc>
              <w:tc>
                <w:tcPr>
                  <w:tcW w:w="307" w:type="pct"/>
                  <w:tcBorders>
                    <w:tl2br w:val="nil"/>
                    <w:tr2bl w:val="nil"/>
                  </w:tcBorders>
                  <w:shd w:val="clear" w:color="auto" w:fill="auto"/>
                  <w:noWrap w:val="0"/>
                  <w:vAlign w:val="center"/>
                </w:tcPr>
                <w:p w14:paraId="65E1C9F9">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2000</w:t>
                  </w:r>
                </w:p>
              </w:tc>
              <w:tc>
                <w:tcPr>
                  <w:tcW w:w="185" w:type="pct"/>
                  <w:tcBorders>
                    <w:tl2br w:val="nil"/>
                    <w:tr2bl w:val="nil"/>
                  </w:tcBorders>
                  <w:shd w:val="clear" w:color="auto" w:fill="auto"/>
                  <w:noWrap w:val="0"/>
                  <w:vAlign w:val="center"/>
                </w:tcPr>
                <w:p w14:paraId="4278FF2C">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60</w:t>
                  </w:r>
                </w:p>
              </w:tc>
              <w:tc>
                <w:tcPr>
                  <w:tcW w:w="186" w:type="pct"/>
                  <w:tcBorders>
                    <w:tl2br w:val="nil"/>
                    <w:tr2bl w:val="nil"/>
                  </w:tcBorders>
                  <w:shd w:val="clear" w:color="auto" w:fill="auto"/>
                  <w:noWrap w:val="0"/>
                  <w:vAlign w:val="center"/>
                </w:tcPr>
                <w:p w14:paraId="49A05117">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60</w:t>
                  </w:r>
                </w:p>
              </w:tc>
              <w:tc>
                <w:tcPr>
                  <w:tcW w:w="185" w:type="pct"/>
                  <w:tcBorders>
                    <w:tl2br w:val="nil"/>
                    <w:tr2bl w:val="nil"/>
                  </w:tcBorders>
                  <w:shd w:val="clear" w:color="auto" w:fill="auto"/>
                  <w:noWrap w:val="0"/>
                  <w:vAlign w:val="center"/>
                </w:tcPr>
                <w:p w14:paraId="6CB1B735">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186" w:type="pct"/>
                  <w:tcBorders>
                    <w:tl2br w:val="nil"/>
                    <w:tr2bl w:val="nil"/>
                  </w:tcBorders>
                  <w:shd w:val="clear" w:color="auto" w:fill="auto"/>
                  <w:noWrap w:val="0"/>
                  <w:vAlign w:val="center"/>
                </w:tcPr>
                <w:p w14:paraId="26A1E333">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185" w:type="pct"/>
                  <w:tcBorders>
                    <w:tl2br w:val="nil"/>
                    <w:tr2bl w:val="nil"/>
                  </w:tcBorders>
                  <w:shd w:val="clear" w:color="auto" w:fill="auto"/>
                  <w:noWrap w:val="0"/>
                  <w:vAlign w:val="center"/>
                </w:tcPr>
                <w:p w14:paraId="0813954B">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外购</w:t>
                  </w:r>
                </w:p>
              </w:tc>
              <w:tc>
                <w:tcPr>
                  <w:tcW w:w="350" w:type="pct"/>
                  <w:tcBorders>
                    <w:tl2br w:val="nil"/>
                    <w:tr2bl w:val="nil"/>
                  </w:tcBorders>
                  <w:shd w:val="clear" w:color="auto" w:fill="auto"/>
                  <w:noWrap w:val="0"/>
                  <w:vAlign w:val="center"/>
                </w:tcPr>
                <w:p w14:paraId="2FF887D0">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r>
            <w:tr w14:paraId="7A16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jc w:val="center"/>
              </w:trPr>
              <w:tc>
                <w:tcPr>
                  <w:tcW w:w="185" w:type="pct"/>
                  <w:vMerge w:val="continue"/>
                  <w:tcBorders>
                    <w:tl2br w:val="nil"/>
                    <w:tr2bl w:val="nil"/>
                  </w:tcBorders>
                  <w:noWrap w:val="0"/>
                  <w:vAlign w:val="center"/>
                </w:tcPr>
                <w:p w14:paraId="635FA57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85" w:type="pct"/>
                  <w:vMerge w:val="continue"/>
                  <w:tcBorders>
                    <w:tl2br w:val="nil"/>
                    <w:tr2bl w:val="nil"/>
                  </w:tcBorders>
                  <w:noWrap w:val="0"/>
                  <w:vAlign w:val="center"/>
                </w:tcPr>
                <w:p w14:paraId="63DDBD1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11" w:type="pct"/>
                  <w:tcBorders>
                    <w:tl2br w:val="nil"/>
                    <w:tr2bl w:val="nil"/>
                  </w:tcBorders>
                  <w:shd w:val="clear" w:color="auto" w:fill="auto"/>
                  <w:noWrap w:val="0"/>
                  <w:vAlign w:val="center"/>
                </w:tcPr>
                <w:p w14:paraId="00D3F925">
                  <w:pPr>
                    <w:keepNext w:val="0"/>
                    <w:keepLines w:val="0"/>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特种油</w:t>
                  </w:r>
                </w:p>
              </w:tc>
              <w:tc>
                <w:tcPr>
                  <w:tcW w:w="450" w:type="pct"/>
                  <w:tcBorders>
                    <w:tl2br w:val="nil"/>
                    <w:tr2bl w:val="nil"/>
                  </w:tcBorders>
                  <w:shd w:val="clear" w:color="auto" w:fill="auto"/>
                  <w:noWrap w:val="0"/>
                  <w:vAlign w:val="center"/>
                </w:tcPr>
                <w:p w14:paraId="58B25B7B">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淡黄色，液态</w:t>
                  </w:r>
                </w:p>
              </w:tc>
              <w:tc>
                <w:tcPr>
                  <w:tcW w:w="613" w:type="pct"/>
                  <w:tcBorders>
                    <w:tl2br w:val="nil"/>
                    <w:tr2bl w:val="nil"/>
                  </w:tcBorders>
                  <w:shd w:val="clear" w:color="auto" w:fill="auto"/>
                  <w:noWrap w:val="0"/>
                  <w:vAlign w:val="center"/>
                </w:tcPr>
                <w:p w14:paraId="1CBE0CAE">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一致</w:t>
                  </w:r>
                </w:p>
              </w:tc>
              <w:tc>
                <w:tcPr>
                  <w:tcW w:w="398" w:type="pct"/>
                  <w:tcBorders>
                    <w:tl2br w:val="nil"/>
                    <w:tr2bl w:val="nil"/>
                  </w:tcBorders>
                  <w:shd w:val="clear" w:color="auto" w:fill="auto"/>
                  <w:noWrap w:val="0"/>
                  <w:vAlign w:val="center"/>
                </w:tcPr>
                <w:p w14:paraId="2BA3AB97">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w:t>
                  </w:r>
                  <w:r>
                    <w:rPr>
                      <w:rFonts w:hint="default" w:ascii="Times New Roman" w:hAnsi="Times New Roman" w:cs="Times New Roman"/>
                      <w:color w:val="auto"/>
                      <w:szCs w:val="21"/>
                      <w:highlight w:val="none"/>
                      <w:lang w:val="en-US" w:eastAsia="zh-CN"/>
                    </w:rPr>
                    <w:t>座2000m</w:t>
                  </w:r>
                  <w:r>
                    <w:rPr>
                      <w:rFonts w:hint="default" w:ascii="Times New Roman" w:hAnsi="Times New Roman"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lang w:val="en-US" w:eastAsia="zh-CN"/>
                    </w:rPr>
                    <w:t>储罐</w:t>
                  </w:r>
                </w:p>
              </w:tc>
              <w:tc>
                <w:tcPr>
                  <w:tcW w:w="630" w:type="pct"/>
                  <w:tcBorders>
                    <w:tl2br w:val="nil"/>
                    <w:tr2bl w:val="nil"/>
                  </w:tcBorders>
                  <w:shd w:val="clear" w:color="auto" w:fill="auto"/>
                  <w:noWrap w:val="0"/>
                  <w:vAlign w:val="center"/>
                </w:tcPr>
                <w:p w14:paraId="3C441C33">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一致</w:t>
                  </w:r>
                </w:p>
              </w:tc>
              <w:tc>
                <w:tcPr>
                  <w:tcW w:w="254" w:type="pct"/>
                  <w:tcBorders>
                    <w:tl2br w:val="nil"/>
                    <w:tr2bl w:val="nil"/>
                  </w:tcBorders>
                  <w:shd w:val="clear" w:color="auto" w:fill="auto"/>
                  <w:noWrap w:val="0"/>
                  <w:vAlign w:val="center"/>
                </w:tcPr>
                <w:p w14:paraId="22E57373">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0.75</w:t>
                  </w:r>
                </w:p>
              </w:tc>
              <w:tc>
                <w:tcPr>
                  <w:tcW w:w="284" w:type="pct"/>
                  <w:tcBorders>
                    <w:tl2br w:val="nil"/>
                    <w:tr2bl w:val="nil"/>
                  </w:tcBorders>
                  <w:shd w:val="clear" w:color="auto" w:fill="auto"/>
                  <w:noWrap w:val="0"/>
                  <w:vAlign w:val="center"/>
                </w:tcPr>
                <w:p w14:paraId="7E25D163">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2985</w:t>
                  </w:r>
                </w:p>
              </w:tc>
              <w:tc>
                <w:tcPr>
                  <w:tcW w:w="307" w:type="pct"/>
                  <w:tcBorders>
                    <w:tl2br w:val="nil"/>
                    <w:tr2bl w:val="nil"/>
                  </w:tcBorders>
                  <w:shd w:val="clear" w:color="auto" w:fill="auto"/>
                  <w:noWrap w:val="0"/>
                  <w:vAlign w:val="center"/>
                </w:tcPr>
                <w:p w14:paraId="692B2B7F">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2985</w:t>
                  </w:r>
                </w:p>
              </w:tc>
              <w:tc>
                <w:tcPr>
                  <w:tcW w:w="185" w:type="pct"/>
                  <w:tcBorders>
                    <w:tl2br w:val="nil"/>
                    <w:tr2bl w:val="nil"/>
                  </w:tcBorders>
                  <w:shd w:val="clear" w:color="auto" w:fill="auto"/>
                  <w:noWrap w:val="0"/>
                  <w:vAlign w:val="center"/>
                </w:tcPr>
                <w:p w14:paraId="4AF1C0F5">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113</w:t>
                  </w:r>
                </w:p>
              </w:tc>
              <w:tc>
                <w:tcPr>
                  <w:tcW w:w="186" w:type="pct"/>
                  <w:tcBorders>
                    <w:tl2br w:val="nil"/>
                    <w:tr2bl w:val="nil"/>
                  </w:tcBorders>
                  <w:shd w:val="clear" w:color="auto" w:fill="auto"/>
                  <w:noWrap w:val="0"/>
                  <w:vAlign w:val="center"/>
                </w:tcPr>
                <w:p w14:paraId="3FB4B43A">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113</w:t>
                  </w:r>
                </w:p>
              </w:tc>
              <w:tc>
                <w:tcPr>
                  <w:tcW w:w="185" w:type="pct"/>
                  <w:tcBorders>
                    <w:tl2br w:val="nil"/>
                    <w:tr2bl w:val="nil"/>
                  </w:tcBorders>
                  <w:shd w:val="clear" w:color="auto" w:fill="auto"/>
                  <w:noWrap w:val="0"/>
                  <w:vAlign w:val="center"/>
                </w:tcPr>
                <w:p w14:paraId="30E9C64E">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c>
                <w:tcPr>
                  <w:tcW w:w="186" w:type="pct"/>
                  <w:tcBorders>
                    <w:tl2br w:val="nil"/>
                    <w:tr2bl w:val="nil"/>
                  </w:tcBorders>
                  <w:shd w:val="clear" w:color="auto" w:fill="auto"/>
                  <w:noWrap w:val="0"/>
                  <w:vAlign w:val="center"/>
                </w:tcPr>
                <w:p w14:paraId="15844419">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c>
                <w:tcPr>
                  <w:tcW w:w="185" w:type="pct"/>
                  <w:tcBorders>
                    <w:tl2br w:val="nil"/>
                    <w:tr2bl w:val="nil"/>
                  </w:tcBorders>
                  <w:shd w:val="clear" w:color="auto" w:fill="auto"/>
                  <w:noWrap w:val="0"/>
                  <w:vAlign w:val="center"/>
                </w:tcPr>
                <w:p w14:paraId="1920BECC">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外购</w:t>
                  </w:r>
                </w:p>
              </w:tc>
              <w:tc>
                <w:tcPr>
                  <w:tcW w:w="350" w:type="pct"/>
                  <w:tcBorders>
                    <w:tl2br w:val="nil"/>
                    <w:tr2bl w:val="nil"/>
                  </w:tcBorders>
                  <w:shd w:val="clear" w:color="auto" w:fill="auto"/>
                  <w:noWrap w:val="0"/>
                  <w:vAlign w:val="center"/>
                </w:tcPr>
                <w:p w14:paraId="2D91E1E6">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r>
            <w:tr w14:paraId="6CB7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exact"/>
                <w:jc w:val="center"/>
              </w:trPr>
              <w:tc>
                <w:tcPr>
                  <w:tcW w:w="185" w:type="pct"/>
                  <w:vMerge w:val="restart"/>
                  <w:tcBorders>
                    <w:tl2br w:val="nil"/>
                    <w:tr2bl w:val="nil"/>
                  </w:tcBorders>
                  <w:noWrap w:val="0"/>
                  <w:vAlign w:val="center"/>
                </w:tcPr>
                <w:p w14:paraId="36511DC3">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w:t>
                  </w:r>
                </w:p>
              </w:tc>
              <w:tc>
                <w:tcPr>
                  <w:tcW w:w="185" w:type="pct"/>
                  <w:vMerge w:val="restart"/>
                  <w:tcBorders>
                    <w:tl2br w:val="nil"/>
                    <w:tr2bl w:val="nil"/>
                  </w:tcBorders>
                  <w:noWrap w:val="0"/>
                  <w:vAlign w:val="center"/>
                </w:tcPr>
                <w:p w14:paraId="6E88B7C5">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添加剂</w:t>
                  </w:r>
                </w:p>
              </w:tc>
              <w:tc>
                <w:tcPr>
                  <w:tcW w:w="411" w:type="pct"/>
                  <w:tcBorders>
                    <w:tl2br w:val="nil"/>
                    <w:tr2bl w:val="nil"/>
                  </w:tcBorders>
                  <w:shd w:val="clear" w:color="auto" w:fill="auto"/>
                  <w:noWrap w:val="0"/>
                  <w:vAlign w:val="center"/>
                </w:tcPr>
                <w:p w14:paraId="6F6B30BC">
                  <w:pPr>
                    <w:keepNext w:val="0"/>
                    <w:keepLines w:val="0"/>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抗氧剂（2,4叔丁基酚）</w:t>
                  </w:r>
                </w:p>
              </w:tc>
              <w:tc>
                <w:tcPr>
                  <w:tcW w:w="450" w:type="pct"/>
                  <w:tcBorders>
                    <w:tl2br w:val="nil"/>
                    <w:tr2bl w:val="nil"/>
                  </w:tcBorders>
                  <w:shd w:val="clear" w:color="auto" w:fill="auto"/>
                  <w:noWrap w:val="0"/>
                  <w:vAlign w:val="center"/>
                </w:tcPr>
                <w:p w14:paraId="553133D0">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无色或淡黄色，液体</w:t>
                  </w:r>
                </w:p>
              </w:tc>
              <w:tc>
                <w:tcPr>
                  <w:tcW w:w="613" w:type="pct"/>
                  <w:tcBorders>
                    <w:tl2br w:val="nil"/>
                    <w:tr2bl w:val="nil"/>
                  </w:tcBorders>
                  <w:shd w:val="clear" w:color="auto" w:fill="auto"/>
                  <w:noWrap w:val="0"/>
                  <w:vAlign w:val="center"/>
                </w:tcPr>
                <w:p w14:paraId="38AAC3E6">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一致</w:t>
                  </w:r>
                </w:p>
              </w:tc>
              <w:tc>
                <w:tcPr>
                  <w:tcW w:w="398" w:type="pct"/>
                  <w:tcBorders>
                    <w:tl2br w:val="nil"/>
                    <w:tr2bl w:val="nil"/>
                  </w:tcBorders>
                  <w:shd w:val="clear" w:color="auto" w:fill="auto"/>
                  <w:noWrap w:val="0"/>
                  <w:vAlign w:val="center"/>
                </w:tcPr>
                <w:p w14:paraId="483A6061">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w:t>
                  </w:r>
                  <w:r>
                    <w:rPr>
                      <w:rFonts w:hint="default" w:ascii="Times New Roman" w:hAnsi="Times New Roman" w:cs="Times New Roman"/>
                      <w:color w:val="auto"/>
                      <w:szCs w:val="21"/>
                      <w:highlight w:val="none"/>
                      <w:lang w:val="en-US" w:eastAsia="zh-CN"/>
                    </w:rPr>
                    <w:t>座</w:t>
                  </w:r>
                  <w:r>
                    <w:rPr>
                      <w:rFonts w:hint="eastAsia" w:cs="Times New Roman"/>
                      <w:color w:val="auto"/>
                      <w:szCs w:val="21"/>
                      <w:highlight w:val="none"/>
                      <w:lang w:val="en-US" w:eastAsia="zh-CN"/>
                    </w:rPr>
                    <w:t>137</w:t>
                  </w:r>
                  <w:r>
                    <w:rPr>
                      <w:rFonts w:hint="default" w:ascii="Times New Roman" w:hAnsi="Times New Roman" w:cs="Times New Roman"/>
                      <w:color w:val="auto"/>
                      <w:szCs w:val="21"/>
                      <w:highlight w:val="none"/>
                      <w:lang w:val="en-US" w:eastAsia="zh-CN"/>
                    </w:rPr>
                    <w:t>m</w:t>
                  </w:r>
                  <w:r>
                    <w:rPr>
                      <w:rFonts w:hint="default" w:ascii="Times New Roman" w:hAnsi="Times New Roman"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lang w:val="en-US" w:eastAsia="zh-CN"/>
                    </w:rPr>
                    <w:t>储罐</w:t>
                  </w:r>
                </w:p>
              </w:tc>
              <w:tc>
                <w:tcPr>
                  <w:tcW w:w="630" w:type="pct"/>
                  <w:tcBorders>
                    <w:tl2br w:val="nil"/>
                    <w:tr2bl w:val="nil"/>
                  </w:tcBorders>
                  <w:shd w:val="clear" w:color="auto" w:fill="auto"/>
                  <w:noWrap w:val="0"/>
                  <w:vAlign w:val="center"/>
                </w:tcPr>
                <w:p w14:paraId="6C64AE2D">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一致</w:t>
                  </w:r>
                </w:p>
              </w:tc>
              <w:tc>
                <w:tcPr>
                  <w:tcW w:w="254" w:type="pct"/>
                  <w:tcBorders>
                    <w:tl2br w:val="nil"/>
                    <w:tr2bl w:val="nil"/>
                  </w:tcBorders>
                  <w:shd w:val="clear" w:color="auto" w:fill="auto"/>
                  <w:noWrap w:val="0"/>
                  <w:vAlign w:val="center"/>
                </w:tcPr>
                <w:p w14:paraId="322C7EBA">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0.072</w:t>
                  </w:r>
                </w:p>
              </w:tc>
              <w:tc>
                <w:tcPr>
                  <w:tcW w:w="284" w:type="pct"/>
                  <w:tcBorders>
                    <w:tl2br w:val="nil"/>
                    <w:tr2bl w:val="nil"/>
                  </w:tcBorders>
                  <w:shd w:val="clear" w:color="auto" w:fill="auto"/>
                  <w:noWrap w:val="0"/>
                  <w:vAlign w:val="center"/>
                </w:tcPr>
                <w:p w14:paraId="06BA0595">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w:t>
                  </w:r>
                </w:p>
              </w:tc>
              <w:tc>
                <w:tcPr>
                  <w:tcW w:w="307" w:type="pct"/>
                  <w:tcBorders>
                    <w:tl2br w:val="nil"/>
                    <w:tr2bl w:val="nil"/>
                  </w:tcBorders>
                  <w:shd w:val="clear" w:color="auto" w:fill="auto"/>
                  <w:noWrap w:val="0"/>
                  <w:vAlign w:val="center"/>
                </w:tcPr>
                <w:p w14:paraId="2D5574B7">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w:t>
                  </w:r>
                </w:p>
              </w:tc>
              <w:tc>
                <w:tcPr>
                  <w:tcW w:w="185" w:type="pct"/>
                  <w:tcBorders>
                    <w:tl2br w:val="nil"/>
                    <w:tr2bl w:val="nil"/>
                  </w:tcBorders>
                  <w:shd w:val="clear" w:color="auto" w:fill="auto"/>
                  <w:noWrap w:val="0"/>
                  <w:vAlign w:val="center"/>
                </w:tcPr>
                <w:p w14:paraId="2744CC26">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250</w:t>
                  </w:r>
                </w:p>
              </w:tc>
              <w:tc>
                <w:tcPr>
                  <w:tcW w:w="186" w:type="pct"/>
                  <w:tcBorders>
                    <w:tl2br w:val="nil"/>
                    <w:tr2bl w:val="nil"/>
                  </w:tcBorders>
                  <w:shd w:val="clear" w:color="auto" w:fill="auto"/>
                  <w:noWrap w:val="0"/>
                  <w:vAlign w:val="center"/>
                </w:tcPr>
                <w:p w14:paraId="325580D8">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250</w:t>
                  </w:r>
                </w:p>
              </w:tc>
              <w:tc>
                <w:tcPr>
                  <w:tcW w:w="185" w:type="pct"/>
                  <w:tcBorders>
                    <w:tl2br w:val="nil"/>
                    <w:tr2bl w:val="nil"/>
                  </w:tcBorders>
                  <w:shd w:val="clear" w:color="auto" w:fill="auto"/>
                  <w:noWrap w:val="0"/>
                  <w:vAlign w:val="center"/>
                </w:tcPr>
                <w:p w14:paraId="220DD2C0">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186" w:type="pct"/>
                  <w:tcBorders>
                    <w:tl2br w:val="nil"/>
                    <w:tr2bl w:val="nil"/>
                  </w:tcBorders>
                  <w:shd w:val="clear" w:color="auto" w:fill="auto"/>
                  <w:noWrap w:val="0"/>
                  <w:vAlign w:val="center"/>
                </w:tcPr>
                <w:p w14:paraId="0BCEFEB2">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185" w:type="pct"/>
                  <w:tcBorders>
                    <w:tl2br w:val="nil"/>
                    <w:tr2bl w:val="nil"/>
                  </w:tcBorders>
                  <w:shd w:val="clear" w:color="auto" w:fill="auto"/>
                  <w:noWrap w:val="0"/>
                  <w:vAlign w:val="center"/>
                </w:tcPr>
                <w:p w14:paraId="0DBE18B3">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外购</w:t>
                  </w:r>
                </w:p>
              </w:tc>
              <w:tc>
                <w:tcPr>
                  <w:tcW w:w="350" w:type="pct"/>
                  <w:tcBorders>
                    <w:tl2br w:val="nil"/>
                    <w:tr2bl w:val="nil"/>
                  </w:tcBorders>
                  <w:shd w:val="clear" w:color="auto" w:fill="auto"/>
                  <w:noWrap w:val="0"/>
                  <w:vAlign w:val="center"/>
                </w:tcPr>
                <w:p w14:paraId="77370D7A">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r>
            <w:tr w14:paraId="5327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jc w:val="center"/>
              </w:trPr>
              <w:tc>
                <w:tcPr>
                  <w:tcW w:w="185" w:type="pct"/>
                  <w:vMerge w:val="continue"/>
                  <w:tcBorders>
                    <w:tl2br w:val="nil"/>
                    <w:tr2bl w:val="nil"/>
                  </w:tcBorders>
                  <w:noWrap w:val="0"/>
                  <w:vAlign w:val="center"/>
                </w:tcPr>
                <w:p w14:paraId="494BFFB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85" w:type="pct"/>
                  <w:vMerge w:val="continue"/>
                  <w:tcBorders>
                    <w:tl2br w:val="nil"/>
                    <w:tr2bl w:val="nil"/>
                  </w:tcBorders>
                  <w:noWrap w:val="0"/>
                  <w:vAlign w:val="center"/>
                </w:tcPr>
                <w:p w14:paraId="08A9A9E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11" w:type="pct"/>
                  <w:tcBorders>
                    <w:tl2br w:val="nil"/>
                    <w:tr2bl w:val="nil"/>
                  </w:tcBorders>
                  <w:shd w:val="clear" w:color="auto" w:fill="auto"/>
                  <w:noWrap w:val="0"/>
                  <w:vAlign w:val="center"/>
                </w:tcPr>
                <w:p w14:paraId="6E232B2B">
                  <w:pPr>
                    <w:keepNext w:val="0"/>
                    <w:keepLines w:val="0"/>
                    <w:suppressLineNumbers w:val="0"/>
                    <w:adjustRightInd w:val="0"/>
                    <w:snapToGrid w:val="0"/>
                    <w:spacing w:before="0" w:beforeAutospacing="0" w:after="0" w:afterAutospacing="0" w:line="24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香精</w:t>
                  </w:r>
                </w:p>
              </w:tc>
              <w:tc>
                <w:tcPr>
                  <w:tcW w:w="450" w:type="pct"/>
                  <w:tcBorders>
                    <w:tl2br w:val="nil"/>
                    <w:tr2bl w:val="nil"/>
                  </w:tcBorders>
                  <w:shd w:val="clear" w:color="auto" w:fill="auto"/>
                  <w:noWrap w:val="0"/>
                  <w:vAlign w:val="center"/>
                </w:tcPr>
                <w:p w14:paraId="5E8A43A9">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液态</w:t>
                  </w:r>
                </w:p>
              </w:tc>
              <w:tc>
                <w:tcPr>
                  <w:tcW w:w="613" w:type="pct"/>
                  <w:tcBorders>
                    <w:tl2br w:val="nil"/>
                    <w:tr2bl w:val="nil"/>
                  </w:tcBorders>
                  <w:shd w:val="clear" w:color="auto" w:fill="auto"/>
                  <w:noWrap w:val="0"/>
                  <w:vAlign w:val="center"/>
                </w:tcPr>
                <w:p w14:paraId="4131A6C5">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一致</w:t>
                  </w:r>
                </w:p>
              </w:tc>
              <w:tc>
                <w:tcPr>
                  <w:tcW w:w="398" w:type="pct"/>
                  <w:tcBorders>
                    <w:tl2br w:val="nil"/>
                    <w:tr2bl w:val="nil"/>
                  </w:tcBorders>
                  <w:shd w:val="clear" w:color="auto" w:fill="auto"/>
                  <w:noWrap w:val="0"/>
                  <w:vAlign w:val="center"/>
                </w:tcPr>
                <w:p w14:paraId="4EE1AE28">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桶装</w:t>
                  </w:r>
                </w:p>
                <w:p w14:paraId="4B93B492">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库房</w:t>
                  </w:r>
                </w:p>
              </w:tc>
              <w:tc>
                <w:tcPr>
                  <w:tcW w:w="630" w:type="pct"/>
                  <w:tcBorders>
                    <w:tl2br w:val="nil"/>
                    <w:tr2bl w:val="nil"/>
                  </w:tcBorders>
                  <w:shd w:val="clear" w:color="auto" w:fill="auto"/>
                  <w:noWrap w:val="0"/>
                  <w:vAlign w:val="center"/>
                </w:tcPr>
                <w:p w14:paraId="0D59D80A">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一致</w:t>
                  </w:r>
                </w:p>
              </w:tc>
              <w:tc>
                <w:tcPr>
                  <w:tcW w:w="254" w:type="pct"/>
                  <w:tcBorders>
                    <w:tl2br w:val="nil"/>
                    <w:tr2bl w:val="nil"/>
                  </w:tcBorders>
                  <w:shd w:val="clear" w:color="auto" w:fill="auto"/>
                  <w:noWrap w:val="0"/>
                  <w:vAlign w:val="center"/>
                </w:tcPr>
                <w:p w14:paraId="53012B34">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284" w:type="pct"/>
                  <w:tcBorders>
                    <w:tl2br w:val="nil"/>
                    <w:tr2bl w:val="nil"/>
                  </w:tcBorders>
                  <w:shd w:val="clear" w:color="auto" w:fill="auto"/>
                  <w:noWrap w:val="0"/>
                  <w:vAlign w:val="center"/>
                </w:tcPr>
                <w:p w14:paraId="2629DC92">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307" w:type="pct"/>
                  <w:tcBorders>
                    <w:tl2br w:val="nil"/>
                    <w:tr2bl w:val="nil"/>
                  </w:tcBorders>
                  <w:shd w:val="clear" w:color="auto" w:fill="auto"/>
                  <w:noWrap w:val="0"/>
                  <w:vAlign w:val="center"/>
                </w:tcPr>
                <w:p w14:paraId="78A1B9CC">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185" w:type="pct"/>
                  <w:tcBorders>
                    <w:tl2br w:val="nil"/>
                    <w:tr2bl w:val="nil"/>
                  </w:tcBorders>
                  <w:shd w:val="clear" w:color="auto" w:fill="auto"/>
                  <w:noWrap w:val="0"/>
                  <w:vAlign w:val="center"/>
                </w:tcPr>
                <w:p w14:paraId="3E0D26A0">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50</w:t>
                  </w:r>
                </w:p>
              </w:tc>
              <w:tc>
                <w:tcPr>
                  <w:tcW w:w="186" w:type="pct"/>
                  <w:tcBorders>
                    <w:tl2br w:val="nil"/>
                    <w:tr2bl w:val="nil"/>
                  </w:tcBorders>
                  <w:shd w:val="clear" w:color="auto" w:fill="auto"/>
                  <w:noWrap w:val="0"/>
                  <w:vAlign w:val="center"/>
                </w:tcPr>
                <w:p w14:paraId="44F2E494">
                  <w:pPr>
                    <w:keepNext w:val="0"/>
                    <w:keepLines w:val="0"/>
                    <w:suppressLineNumbers w:val="0"/>
                    <w:adjustRightInd w:val="0"/>
                    <w:snapToGrid w:val="0"/>
                    <w:spacing w:before="0" w:beforeAutospacing="0" w:after="0" w:afterAutospacing="0" w:line="240" w:lineRule="exact"/>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50</w:t>
                  </w:r>
                </w:p>
              </w:tc>
              <w:tc>
                <w:tcPr>
                  <w:tcW w:w="185" w:type="pct"/>
                  <w:tcBorders>
                    <w:tl2br w:val="nil"/>
                    <w:tr2bl w:val="nil"/>
                  </w:tcBorders>
                  <w:shd w:val="clear" w:color="auto" w:fill="auto"/>
                  <w:noWrap w:val="0"/>
                  <w:vAlign w:val="center"/>
                </w:tcPr>
                <w:p w14:paraId="3851A35F">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186" w:type="pct"/>
                  <w:tcBorders>
                    <w:tl2br w:val="nil"/>
                    <w:tr2bl w:val="nil"/>
                  </w:tcBorders>
                  <w:shd w:val="clear" w:color="auto" w:fill="auto"/>
                  <w:noWrap w:val="0"/>
                  <w:vAlign w:val="center"/>
                </w:tcPr>
                <w:p w14:paraId="137064A0">
                  <w:pPr>
                    <w:keepNext w:val="0"/>
                    <w:keepLines w:val="0"/>
                    <w:suppressLineNumbers w:val="0"/>
                    <w:adjustRightInd w:val="0"/>
                    <w:snapToGrid w:val="0"/>
                    <w:spacing w:before="0" w:beforeAutospacing="0" w:after="0" w:afterAutospacing="0" w:line="240" w:lineRule="exact"/>
                    <w:ind w:left="0" w:right="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185" w:type="pct"/>
                  <w:tcBorders>
                    <w:tl2br w:val="nil"/>
                    <w:tr2bl w:val="nil"/>
                  </w:tcBorders>
                  <w:shd w:val="clear" w:color="auto" w:fill="auto"/>
                  <w:noWrap w:val="0"/>
                  <w:vAlign w:val="center"/>
                </w:tcPr>
                <w:p w14:paraId="5DABAD17">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外购</w:t>
                  </w:r>
                </w:p>
              </w:tc>
              <w:tc>
                <w:tcPr>
                  <w:tcW w:w="350" w:type="pct"/>
                  <w:tcBorders>
                    <w:tl2br w:val="nil"/>
                    <w:tr2bl w:val="nil"/>
                  </w:tcBorders>
                  <w:shd w:val="clear" w:color="auto" w:fill="auto"/>
                  <w:noWrap w:val="0"/>
                  <w:vAlign w:val="center"/>
                </w:tcPr>
                <w:p w14:paraId="2AF8D399">
                  <w:pPr>
                    <w:keepNext w:val="0"/>
                    <w:keepLines w:val="0"/>
                    <w:suppressLineNumbers w:val="0"/>
                    <w:adjustRightInd w:val="0"/>
                    <w:snapToGrid w:val="0"/>
                    <w:spacing w:before="0" w:beforeAutospacing="0" w:after="0" w:afterAutospacing="0" w:line="240" w:lineRule="exact"/>
                    <w:ind w:left="0" w:right="0"/>
                    <w:jc w:val="center"/>
                    <w:rPr>
                      <w:rFonts w:hint="eastAsia" w:cs="Times New Roman"/>
                      <w:color w:val="auto"/>
                      <w:szCs w:val="21"/>
                      <w:highlight w:val="none"/>
                      <w:lang w:val="en-US" w:eastAsia="zh-CN"/>
                    </w:rPr>
                  </w:pPr>
                </w:p>
              </w:tc>
            </w:tr>
          </w:tbl>
          <w:p w14:paraId="1A441116">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p>
          <w:p w14:paraId="4F23406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p>
          <w:p w14:paraId="00C9FCFE">
            <w:pPr>
              <w:pStyle w:val="25"/>
              <w:keepNext w:val="0"/>
              <w:keepLines w:val="0"/>
              <w:suppressLineNumbers w:val="0"/>
              <w:ind w:left="0" w:right="0"/>
              <w:jc w:val="both"/>
              <w:outlineLvl w:val="0"/>
              <w:rPr>
                <w:rFonts w:ascii="Times New Roman" w:hAnsi="Times New Roman" w:eastAsia="黑体"/>
                <w:snapToGrid w:val="0"/>
                <w:color w:val="auto"/>
                <w:sz w:val="30"/>
                <w:szCs w:val="30"/>
                <w:highlight w:val="none"/>
                <w:vertAlign w:val="baseline"/>
              </w:rPr>
            </w:pPr>
          </w:p>
        </w:tc>
      </w:tr>
    </w:tbl>
    <w:p w14:paraId="2368CBE0">
      <w:pPr>
        <w:pStyle w:val="25"/>
        <w:jc w:val="center"/>
        <w:outlineLvl w:val="0"/>
        <w:rPr>
          <w:rFonts w:ascii="Times New Roman" w:hAnsi="Times New Roman" w:eastAsia="黑体"/>
          <w:snapToGrid w:val="0"/>
          <w:color w:val="auto"/>
          <w:sz w:val="30"/>
          <w:szCs w:val="30"/>
          <w:highlight w:val="none"/>
        </w:rPr>
        <w:sectPr>
          <w:pgSz w:w="16840" w:h="11907" w:orient="landscape"/>
          <w:pgMar w:top="1531" w:right="1701" w:bottom="1531" w:left="2127" w:header="851" w:footer="851" w:gutter="0"/>
          <w:pgBorders>
            <w:top w:val="none" w:sz="0" w:space="0"/>
            <w:left w:val="none" w:sz="0" w:space="0"/>
            <w:bottom w:val="none" w:sz="0" w:space="0"/>
            <w:right w:val="none" w:sz="0" w:space="0"/>
          </w:pgBorders>
          <w:cols w:space="720" w:num="1"/>
          <w:docGrid w:linePitch="312" w:charSpace="0"/>
        </w:sect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8109"/>
      </w:tblGrid>
      <w:tr w14:paraId="1191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Borders>
              <w:tl2br w:val="nil"/>
              <w:tr2bl w:val="nil"/>
            </w:tcBorders>
          </w:tcPr>
          <w:p w14:paraId="1485A9E3">
            <w:pPr>
              <w:pStyle w:val="25"/>
              <w:keepNext w:val="0"/>
              <w:keepLines w:val="0"/>
              <w:suppressLineNumbers w:val="0"/>
              <w:ind w:left="0" w:right="0"/>
              <w:jc w:val="both"/>
              <w:outlineLvl w:val="0"/>
              <w:rPr>
                <w:rFonts w:ascii="Times New Roman" w:hAnsi="Times New Roman" w:eastAsia="黑体"/>
                <w:snapToGrid w:val="0"/>
                <w:color w:val="auto"/>
                <w:sz w:val="30"/>
                <w:szCs w:val="30"/>
                <w:highlight w:val="none"/>
                <w:vertAlign w:val="baseline"/>
              </w:rPr>
            </w:pPr>
          </w:p>
        </w:tc>
        <w:tc>
          <w:tcPr>
            <w:tcW w:w="8063" w:type="dxa"/>
            <w:tcBorders>
              <w:tl2br w:val="nil"/>
              <w:tr2bl w:val="nil"/>
            </w:tcBorders>
          </w:tcPr>
          <w:p w14:paraId="7A97411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r>
              <w:rPr>
                <w:rFonts w:hint="eastAsia"/>
                <w:color w:val="auto"/>
                <w:sz w:val="24"/>
                <w:highlight w:val="none"/>
              </w:rPr>
              <w:t>表2-</w:t>
            </w:r>
            <w:r>
              <w:rPr>
                <w:rFonts w:hint="eastAsia"/>
                <w:color w:val="auto"/>
                <w:sz w:val="24"/>
                <w:highlight w:val="none"/>
                <w:lang w:val="en-US" w:eastAsia="zh-CN"/>
              </w:rPr>
              <w:t xml:space="preserve">7  </w:t>
            </w:r>
            <w:r>
              <w:rPr>
                <w:rFonts w:hint="eastAsia"/>
                <w:color w:val="auto"/>
                <w:sz w:val="24"/>
                <w:highlight w:val="none"/>
              </w:rPr>
              <w:t>主要原料理化性质</w:t>
            </w:r>
          </w:p>
          <w:tbl>
            <w:tblPr>
              <w:tblStyle w:val="27"/>
              <w:tblW w:w="7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1040"/>
              <w:gridCol w:w="2793"/>
              <w:gridCol w:w="2794"/>
            </w:tblGrid>
            <w:tr w14:paraId="47BC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tcBorders>
                    <w:tl2br w:val="nil"/>
                    <w:tr2bl w:val="nil"/>
                  </w:tcBorders>
                  <w:vAlign w:val="center"/>
                </w:tcPr>
                <w:p w14:paraId="17A957F1">
                  <w:pPr>
                    <w:pStyle w:val="48"/>
                    <w:keepNext w:val="0"/>
                    <w:keepLines w:val="0"/>
                    <w:suppressLineNumbers w:val="0"/>
                    <w:spacing w:before="31" w:beforeAutospacing="0" w:after="31" w:afterAutospacing="0"/>
                    <w:ind w:right="0"/>
                    <w:rPr>
                      <w:rFonts w:hint="default" w:ascii="Times New Roman" w:eastAsia="宋体"/>
                      <w:b w:val="0"/>
                      <w:bCs w:val="0"/>
                      <w:color w:val="auto"/>
                      <w:highlight w:val="none"/>
                      <w:lang w:val="en-US" w:eastAsia="zh-CN"/>
                    </w:rPr>
                  </w:pPr>
                  <w:r>
                    <w:rPr>
                      <w:rFonts w:hint="eastAsia" w:ascii="Times New Roman"/>
                      <w:b w:val="0"/>
                      <w:bCs w:val="0"/>
                      <w:color w:val="auto"/>
                      <w:highlight w:val="none"/>
                      <w:lang w:val="en-US" w:eastAsia="zh-CN"/>
                    </w:rPr>
                    <w:t>原料名称</w:t>
                  </w:r>
                </w:p>
              </w:tc>
              <w:tc>
                <w:tcPr>
                  <w:tcW w:w="1040" w:type="dxa"/>
                  <w:tcBorders>
                    <w:tl2br w:val="nil"/>
                    <w:tr2bl w:val="nil"/>
                  </w:tcBorders>
                  <w:vAlign w:val="center"/>
                </w:tcPr>
                <w:p w14:paraId="569F75C4">
                  <w:pPr>
                    <w:pStyle w:val="48"/>
                    <w:keepNext w:val="0"/>
                    <w:keepLines w:val="0"/>
                    <w:suppressLineNumbers w:val="0"/>
                    <w:spacing w:before="31" w:beforeAutospacing="0" w:after="31" w:afterAutospacing="0"/>
                    <w:ind w:right="0"/>
                    <w:rPr>
                      <w:rFonts w:ascii="Times New Roman"/>
                      <w:b w:val="0"/>
                      <w:bCs w:val="0"/>
                      <w:color w:val="auto"/>
                      <w:highlight w:val="none"/>
                    </w:rPr>
                  </w:pPr>
                  <w:r>
                    <w:rPr>
                      <w:rFonts w:ascii="Times New Roman"/>
                      <w:b w:val="0"/>
                      <w:bCs w:val="0"/>
                      <w:color w:val="auto"/>
                      <w:highlight w:val="none"/>
                    </w:rPr>
                    <w:t>项目</w:t>
                  </w:r>
                </w:p>
              </w:tc>
              <w:tc>
                <w:tcPr>
                  <w:tcW w:w="5587" w:type="dxa"/>
                  <w:gridSpan w:val="2"/>
                  <w:tcBorders>
                    <w:tl2br w:val="nil"/>
                    <w:tr2bl w:val="nil"/>
                  </w:tcBorders>
                  <w:vAlign w:val="center"/>
                </w:tcPr>
                <w:p w14:paraId="3E75C967">
                  <w:pPr>
                    <w:pStyle w:val="48"/>
                    <w:keepNext w:val="0"/>
                    <w:keepLines w:val="0"/>
                    <w:suppressLineNumbers w:val="0"/>
                    <w:spacing w:before="31" w:beforeAutospacing="0" w:after="31" w:afterAutospacing="0"/>
                    <w:ind w:right="0"/>
                    <w:rPr>
                      <w:rFonts w:ascii="Times New Roman"/>
                      <w:b w:val="0"/>
                      <w:bCs w:val="0"/>
                      <w:color w:val="auto"/>
                      <w:highlight w:val="none"/>
                    </w:rPr>
                  </w:pPr>
                  <w:r>
                    <w:rPr>
                      <w:rFonts w:hint="eastAsia" w:ascii="Times New Roman"/>
                      <w:b w:val="0"/>
                      <w:bCs w:val="0"/>
                      <w:color w:val="auto"/>
                      <w:highlight w:val="none"/>
                    </w:rPr>
                    <w:t>指标</w:t>
                  </w:r>
                </w:p>
              </w:tc>
            </w:tr>
            <w:tr w14:paraId="5D56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vMerge w:val="restart"/>
                  <w:tcBorders>
                    <w:tl2br w:val="nil"/>
                    <w:tr2bl w:val="nil"/>
                  </w:tcBorders>
                  <w:vAlign w:val="center"/>
                </w:tcPr>
                <w:p w14:paraId="1E358A19">
                  <w:pPr>
                    <w:pStyle w:val="48"/>
                    <w:keepNext w:val="0"/>
                    <w:keepLines w:val="0"/>
                    <w:suppressLineNumbers w:val="0"/>
                    <w:spacing w:before="31" w:beforeAutospacing="0" w:after="31" w:afterAutospacing="0"/>
                    <w:ind w:right="0"/>
                    <w:rPr>
                      <w:rFonts w:ascii="Times New Roman"/>
                      <w:b/>
                      <w:bCs/>
                      <w:color w:val="auto"/>
                      <w:highlight w:val="none"/>
                    </w:rPr>
                  </w:pPr>
                  <w:r>
                    <w:rPr>
                      <w:rFonts w:hint="eastAsia" w:ascii="Times New Roman"/>
                      <w:color w:val="auto"/>
                      <w:highlight w:val="none"/>
                    </w:rPr>
                    <w:t>石蜡</w:t>
                  </w:r>
                </w:p>
              </w:tc>
              <w:tc>
                <w:tcPr>
                  <w:tcW w:w="1040" w:type="dxa"/>
                  <w:tcBorders>
                    <w:tl2br w:val="nil"/>
                    <w:tr2bl w:val="nil"/>
                  </w:tcBorders>
                  <w:vAlign w:val="center"/>
                </w:tcPr>
                <w:p w14:paraId="06FFAF63">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ascii="Times New Roman"/>
                      <w:color w:val="auto"/>
                      <w:highlight w:val="none"/>
                    </w:rPr>
                  </w:pPr>
                  <w:r>
                    <w:rPr>
                      <w:rFonts w:hint="eastAsia" w:ascii="Times New Roman"/>
                      <w:color w:val="auto"/>
                      <w:highlight w:val="none"/>
                    </w:rPr>
                    <w:t>外观</w:t>
                  </w:r>
                </w:p>
              </w:tc>
              <w:tc>
                <w:tcPr>
                  <w:tcW w:w="5587" w:type="dxa"/>
                  <w:gridSpan w:val="2"/>
                  <w:tcBorders>
                    <w:tl2br w:val="nil"/>
                    <w:tr2bl w:val="nil"/>
                  </w:tcBorders>
                  <w:vAlign w:val="center"/>
                </w:tcPr>
                <w:p w14:paraId="19F81553">
                  <w:pPr>
                    <w:pStyle w:val="48"/>
                    <w:keepNext w:val="0"/>
                    <w:keepLines w:val="0"/>
                    <w:suppressLineNumbers w:val="0"/>
                    <w:spacing w:before="31" w:beforeAutospacing="0" w:after="31" w:afterAutospacing="0"/>
                    <w:ind w:right="0"/>
                    <w:rPr>
                      <w:rFonts w:ascii="Times New Roman"/>
                      <w:b/>
                      <w:bCs/>
                      <w:color w:val="auto"/>
                      <w:highlight w:val="none"/>
                    </w:rPr>
                  </w:pPr>
                  <w:r>
                    <w:rPr>
                      <w:rFonts w:hint="eastAsia" w:ascii="Times New Roman"/>
                      <w:color w:val="auto"/>
                      <w:highlight w:val="none"/>
                    </w:rPr>
                    <w:t>白色或淡黄色半透明固体</w:t>
                  </w:r>
                </w:p>
              </w:tc>
            </w:tr>
            <w:tr w14:paraId="722B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256" w:type="dxa"/>
                  <w:vMerge w:val="continue"/>
                  <w:tcBorders>
                    <w:tl2br w:val="nil"/>
                    <w:tr2bl w:val="nil"/>
                  </w:tcBorders>
                  <w:vAlign w:val="center"/>
                </w:tcPr>
                <w:p w14:paraId="67D002FB">
                  <w:pPr>
                    <w:pStyle w:val="48"/>
                    <w:keepNext w:val="0"/>
                    <w:keepLines w:val="0"/>
                    <w:suppressLineNumbers w:val="0"/>
                    <w:spacing w:before="31" w:beforeAutospacing="0" w:after="31" w:afterAutospacing="0"/>
                    <w:ind w:right="0"/>
                    <w:rPr>
                      <w:rFonts w:ascii="Times New Roman"/>
                      <w:color w:val="auto"/>
                      <w:highlight w:val="none"/>
                    </w:rPr>
                  </w:pPr>
                </w:p>
              </w:tc>
              <w:tc>
                <w:tcPr>
                  <w:tcW w:w="1040" w:type="dxa"/>
                  <w:vMerge w:val="restart"/>
                  <w:tcBorders>
                    <w:tl2br w:val="nil"/>
                    <w:tr2bl w:val="nil"/>
                  </w:tcBorders>
                  <w:vAlign w:val="center"/>
                </w:tcPr>
                <w:p w14:paraId="320F4E8C">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ascii="Times New Roman"/>
                      <w:color w:val="auto"/>
                      <w:highlight w:val="none"/>
                    </w:rPr>
                  </w:pPr>
                  <w:r>
                    <w:rPr>
                      <w:rFonts w:hint="eastAsia" w:ascii="Times New Roman"/>
                      <w:color w:val="auto"/>
                      <w:highlight w:val="none"/>
                    </w:rPr>
                    <w:t>理化性质</w:t>
                  </w:r>
                </w:p>
              </w:tc>
              <w:tc>
                <w:tcPr>
                  <w:tcW w:w="2793" w:type="dxa"/>
                  <w:tcBorders>
                    <w:tl2br w:val="nil"/>
                    <w:tr2bl w:val="nil"/>
                  </w:tcBorders>
                  <w:vAlign w:val="center"/>
                </w:tcPr>
                <w:p w14:paraId="104511E6">
                  <w:pPr>
                    <w:pStyle w:val="48"/>
                    <w:keepNext w:val="0"/>
                    <w:keepLines w:val="0"/>
                    <w:suppressLineNumbers w:val="0"/>
                    <w:spacing w:before="31" w:beforeAutospacing="0" w:after="31" w:afterAutospacing="0"/>
                    <w:ind w:right="0"/>
                    <w:rPr>
                      <w:rFonts w:ascii="Times New Roman"/>
                      <w:color w:val="auto"/>
                      <w:highlight w:val="none"/>
                    </w:rPr>
                  </w:pPr>
                  <w:r>
                    <w:rPr>
                      <w:rFonts w:hint="eastAsia" w:ascii="Times New Roman"/>
                      <w:color w:val="auto"/>
                      <w:highlight w:val="none"/>
                    </w:rPr>
                    <w:t>分子式：C</w:t>
                  </w:r>
                  <w:r>
                    <w:rPr>
                      <w:rFonts w:hint="eastAsia" w:ascii="Times New Roman"/>
                      <w:color w:val="auto"/>
                      <w:highlight w:val="none"/>
                      <w:vertAlign w:val="subscript"/>
                    </w:rPr>
                    <w:t>n</w:t>
                  </w:r>
                  <w:r>
                    <w:rPr>
                      <w:rFonts w:hint="eastAsia" w:ascii="Times New Roman"/>
                      <w:color w:val="auto"/>
                      <w:highlight w:val="none"/>
                    </w:rPr>
                    <w:t>H</w:t>
                  </w:r>
                  <w:r>
                    <w:rPr>
                      <w:rFonts w:hint="eastAsia" w:ascii="Times New Roman"/>
                      <w:color w:val="auto"/>
                      <w:highlight w:val="none"/>
                      <w:vertAlign w:val="subscript"/>
                    </w:rPr>
                    <w:t>2n+2</w:t>
                  </w:r>
                </w:p>
              </w:tc>
              <w:tc>
                <w:tcPr>
                  <w:tcW w:w="2794" w:type="dxa"/>
                  <w:tcBorders>
                    <w:tl2br w:val="nil"/>
                    <w:tr2bl w:val="nil"/>
                  </w:tcBorders>
                  <w:vAlign w:val="center"/>
                </w:tcPr>
                <w:p w14:paraId="44CC7182">
                  <w:pPr>
                    <w:pStyle w:val="48"/>
                    <w:keepNext w:val="0"/>
                    <w:keepLines w:val="0"/>
                    <w:suppressLineNumbers w:val="0"/>
                    <w:spacing w:before="31" w:beforeAutospacing="0" w:after="31" w:afterAutospacing="0"/>
                    <w:ind w:right="0"/>
                    <w:rPr>
                      <w:rFonts w:hint="eastAsia" w:ascii="Times New Roman" w:eastAsia="宋体"/>
                      <w:color w:val="auto"/>
                      <w:highlight w:val="none"/>
                      <w:lang w:eastAsia="zh-CN"/>
                    </w:rPr>
                  </w:pPr>
                  <w:r>
                    <w:rPr>
                      <w:rFonts w:hint="eastAsia" w:ascii="Times New Roman"/>
                      <w:color w:val="auto"/>
                      <w:highlight w:val="none"/>
                    </w:rPr>
                    <w:t>CAS：</w:t>
                  </w:r>
                  <w:r>
                    <w:rPr>
                      <w:rFonts w:hint="eastAsia" w:ascii="Times New Roman"/>
                      <w:color w:val="auto"/>
                      <w:highlight w:val="none"/>
                      <w:lang w:val="en-US" w:eastAsia="zh-CN"/>
                    </w:rPr>
                    <w:t>/</w:t>
                  </w:r>
                </w:p>
              </w:tc>
            </w:tr>
            <w:tr w14:paraId="05C4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vMerge w:val="continue"/>
                  <w:tcBorders>
                    <w:tl2br w:val="nil"/>
                    <w:tr2bl w:val="nil"/>
                  </w:tcBorders>
                  <w:vAlign w:val="center"/>
                </w:tcPr>
                <w:p w14:paraId="02C035FC">
                  <w:pPr>
                    <w:pStyle w:val="48"/>
                    <w:keepNext w:val="0"/>
                    <w:keepLines w:val="0"/>
                    <w:suppressLineNumbers w:val="0"/>
                    <w:spacing w:before="31" w:beforeAutospacing="0" w:after="31" w:afterAutospacing="0"/>
                    <w:ind w:right="0"/>
                    <w:rPr>
                      <w:rFonts w:ascii="Times New Roman"/>
                      <w:color w:val="auto"/>
                      <w:highlight w:val="none"/>
                    </w:rPr>
                  </w:pPr>
                </w:p>
              </w:tc>
              <w:tc>
                <w:tcPr>
                  <w:tcW w:w="1040" w:type="dxa"/>
                  <w:vMerge w:val="continue"/>
                  <w:tcBorders>
                    <w:tl2br w:val="nil"/>
                    <w:tr2bl w:val="nil"/>
                  </w:tcBorders>
                  <w:vAlign w:val="center"/>
                </w:tcPr>
                <w:p w14:paraId="22E3B8C6">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ascii="Times New Roman"/>
                      <w:b/>
                      <w:bCs/>
                      <w:color w:val="auto"/>
                      <w:highlight w:val="none"/>
                    </w:rPr>
                  </w:pPr>
                </w:p>
              </w:tc>
              <w:tc>
                <w:tcPr>
                  <w:tcW w:w="2793" w:type="dxa"/>
                  <w:tcBorders>
                    <w:tl2br w:val="nil"/>
                    <w:tr2bl w:val="nil"/>
                  </w:tcBorders>
                  <w:vAlign w:val="center"/>
                </w:tcPr>
                <w:p w14:paraId="15344E90">
                  <w:pPr>
                    <w:pStyle w:val="48"/>
                    <w:keepNext w:val="0"/>
                    <w:keepLines w:val="0"/>
                    <w:suppressLineNumbers w:val="0"/>
                    <w:spacing w:before="31" w:beforeAutospacing="0" w:after="31" w:afterAutospacing="0"/>
                    <w:ind w:right="0"/>
                    <w:rPr>
                      <w:rFonts w:ascii="Times New Roman"/>
                      <w:color w:val="auto"/>
                      <w:highlight w:val="none"/>
                    </w:rPr>
                  </w:pPr>
                  <w:r>
                    <w:rPr>
                      <w:rFonts w:hint="eastAsia" w:ascii="Times New Roman"/>
                      <w:color w:val="auto"/>
                      <w:highlight w:val="none"/>
                    </w:rPr>
                    <w:t>熔点（℃）：47~64</w:t>
                  </w:r>
                </w:p>
              </w:tc>
              <w:tc>
                <w:tcPr>
                  <w:tcW w:w="2794" w:type="dxa"/>
                  <w:tcBorders>
                    <w:tl2br w:val="nil"/>
                    <w:tr2bl w:val="nil"/>
                  </w:tcBorders>
                  <w:vAlign w:val="center"/>
                </w:tcPr>
                <w:p w14:paraId="12B6B17F">
                  <w:pPr>
                    <w:pStyle w:val="48"/>
                    <w:keepNext w:val="0"/>
                    <w:keepLines w:val="0"/>
                    <w:suppressLineNumbers w:val="0"/>
                    <w:spacing w:before="31" w:beforeAutospacing="0" w:after="31" w:afterAutospacing="0"/>
                    <w:ind w:right="0"/>
                    <w:rPr>
                      <w:rFonts w:ascii="Times New Roman"/>
                      <w:color w:val="auto"/>
                      <w:highlight w:val="none"/>
                    </w:rPr>
                  </w:pPr>
                  <w:r>
                    <w:rPr>
                      <w:rFonts w:hint="eastAsia" w:ascii="Times New Roman"/>
                      <w:color w:val="auto"/>
                      <w:highlight w:val="none"/>
                    </w:rPr>
                    <w:t>密度（g/mL）：约为0.85</w:t>
                  </w:r>
                </w:p>
              </w:tc>
            </w:tr>
            <w:tr w14:paraId="36A7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vMerge w:val="continue"/>
                  <w:tcBorders>
                    <w:tl2br w:val="nil"/>
                    <w:tr2bl w:val="nil"/>
                  </w:tcBorders>
                  <w:vAlign w:val="center"/>
                </w:tcPr>
                <w:p w14:paraId="4FC15BB8">
                  <w:pPr>
                    <w:pStyle w:val="48"/>
                    <w:keepNext w:val="0"/>
                    <w:keepLines w:val="0"/>
                    <w:suppressLineNumbers w:val="0"/>
                    <w:spacing w:before="31" w:beforeAutospacing="0" w:after="31" w:afterAutospacing="0"/>
                    <w:ind w:right="0"/>
                    <w:rPr>
                      <w:rFonts w:ascii="Times New Roman"/>
                      <w:color w:val="auto"/>
                      <w:highlight w:val="none"/>
                    </w:rPr>
                  </w:pPr>
                </w:p>
              </w:tc>
              <w:tc>
                <w:tcPr>
                  <w:tcW w:w="1040" w:type="dxa"/>
                  <w:tcBorders>
                    <w:tl2br w:val="nil"/>
                    <w:tr2bl w:val="nil"/>
                  </w:tcBorders>
                  <w:vAlign w:val="center"/>
                </w:tcPr>
                <w:p w14:paraId="47E885DF">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ascii="Times New Roman"/>
                      <w:color w:val="auto"/>
                      <w:highlight w:val="none"/>
                    </w:rPr>
                  </w:pPr>
                  <w:r>
                    <w:rPr>
                      <w:rFonts w:hint="eastAsia" w:ascii="Times New Roman"/>
                      <w:color w:val="auto"/>
                      <w:highlight w:val="none"/>
                    </w:rPr>
                    <w:t>溶解性</w:t>
                  </w:r>
                </w:p>
              </w:tc>
              <w:tc>
                <w:tcPr>
                  <w:tcW w:w="5587" w:type="dxa"/>
                  <w:gridSpan w:val="2"/>
                  <w:tcBorders>
                    <w:tl2br w:val="nil"/>
                    <w:tr2bl w:val="nil"/>
                  </w:tcBorders>
                  <w:vAlign w:val="center"/>
                </w:tcPr>
                <w:p w14:paraId="3E64A8A8">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ascii="Times New Roman"/>
                      <w:b/>
                      <w:bCs/>
                      <w:color w:val="auto"/>
                      <w:highlight w:val="none"/>
                    </w:rPr>
                  </w:pPr>
                  <w:r>
                    <w:rPr>
                      <w:rFonts w:hint="eastAsia" w:ascii="Times New Roman"/>
                      <w:color w:val="auto"/>
                      <w:highlight w:val="none"/>
                    </w:rPr>
                    <w:t>溶于汽油、二硫化碳、二甲苯、乙醚、苯、氯仿、四氯化碳、石脑油等一类非极性溶剂，不溶于水和甲醇等极性溶剂。</w:t>
                  </w:r>
                </w:p>
              </w:tc>
            </w:tr>
            <w:tr w14:paraId="2EF6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vMerge w:val="continue"/>
                  <w:tcBorders>
                    <w:tl2br w:val="nil"/>
                    <w:tr2bl w:val="nil"/>
                  </w:tcBorders>
                  <w:vAlign w:val="center"/>
                </w:tcPr>
                <w:p w14:paraId="441FF998">
                  <w:pPr>
                    <w:pStyle w:val="48"/>
                    <w:keepNext w:val="0"/>
                    <w:keepLines w:val="0"/>
                    <w:suppressLineNumbers w:val="0"/>
                    <w:spacing w:before="31" w:beforeAutospacing="0" w:after="31" w:afterAutospacing="0"/>
                    <w:ind w:right="0"/>
                    <w:rPr>
                      <w:rFonts w:ascii="Times New Roman"/>
                      <w:color w:val="auto"/>
                      <w:highlight w:val="none"/>
                    </w:rPr>
                  </w:pPr>
                </w:p>
              </w:tc>
              <w:tc>
                <w:tcPr>
                  <w:tcW w:w="1040" w:type="dxa"/>
                  <w:tcBorders>
                    <w:tl2br w:val="nil"/>
                    <w:tr2bl w:val="nil"/>
                  </w:tcBorders>
                  <w:vAlign w:val="center"/>
                </w:tcPr>
                <w:p w14:paraId="19B71BC1">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ascii="Times New Roman"/>
                      <w:color w:val="auto"/>
                      <w:highlight w:val="none"/>
                    </w:rPr>
                  </w:pPr>
                  <w:r>
                    <w:rPr>
                      <w:rFonts w:hint="eastAsia" w:ascii="Times New Roman"/>
                      <w:color w:val="auto"/>
                      <w:highlight w:val="none"/>
                    </w:rPr>
                    <w:t>危险特性</w:t>
                  </w:r>
                </w:p>
              </w:tc>
              <w:tc>
                <w:tcPr>
                  <w:tcW w:w="5587" w:type="dxa"/>
                  <w:gridSpan w:val="2"/>
                  <w:tcBorders>
                    <w:tl2br w:val="nil"/>
                    <w:tr2bl w:val="nil"/>
                  </w:tcBorders>
                  <w:vAlign w:val="center"/>
                </w:tcPr>
                <w:p w14:paraId="20B0854B">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ascii="Times New Roman"/>
                      <w:b/>
                      <w:bCs/>
                      <w:color w:val="auto"/>
                      <w:highlight w:val="none"/>
                    </w:rPr>
                  </w:pPr>
                  <w:r>
                    <w:rPr>
                      <w:rFonts w:hint="eastAsia" w:ascii="Times New Roman"/>
                      <w:color w:val="auto"/>
                      <w:highlight w:val="none"/>
                    </w:rPr>
                    <w:t>禁配物：强氧化剂。本品可燃，爆燃危险很低，需要加热到本品的闪火点或以上温度，燃烧时会有有毒气体。</w:t>
                  </w:r>
                </w:p>
              </w:tc>
            </w:tr>
            <w:tr w14:paraId="6494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vMerge w:val="restart"/>
                  <w:tcBorders>
                    <w:tl2br w:val="nil"/>
                    <w:tr2bl w:val="nil"/>
                  </w:tcBorders>
                  <w:vAlign w:val="center"/>
                </w:tcPr>
                <w:p w14:paraId="3D01314E">
                  <w:pPr>
                    <w:pStyle w:val="48"/>
                    <w:keepNext w:val="0"/>
                    <w:keepLines w:val="0"/>
                    <w:suppressLineNumbers w:val="0"/>
                    <w:spacing w:before="31" w:beforeAutospacing="0" w:after="31" w:afterAutospacing="0"/>
                    <w:ind w:right="0"/>
                    <w:rPr>
                      <w:rFonts w:ascii="Times New Roman"/>
                      <w:color w:val="auto"/>
                      <w:highlight w:val="none"/>
                    </w:rPr>
                  </w:pPr>
                  <w:r>
                    <w:rPr>
                      <w:rFonts w:hint="eastAsia" w:ascii="Times New Roman"/>
                      <w:color w:val="auto"/>
                      <w:highlight w:val="none"/>
                    </w:rPr>
                    <w:t>微晶蜡</w:t>
                  </w:r>
                </w:p>
              </w:tc>
              <w:tc>
                <w:tcPr>
                  <w:tcW w:w="1040" w:type="dxa"/>
                  <w:tcBorders>
                    <w:tl2br w:val="nil"/>
                    <w:tr2bl w:val="nil"/>
                  </w:tcBorders>
                  <w:vAlign w:val="center"/>
                </w:tcPr>
                <w:p w14:paraId="71CD49FC">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ascii="Times New Roman"/>
                      <w:color w:val="auto"/>
                      <w:highlight w:val="none"/>
                    </w:rPr>
                  </w:pPr>
                  <w:r>
                    <w:rPr>
                      <w:rFonts w:hint="eastAsia" w:ascii="Times New Roman"/>
                      <w:color w:val="auto"/>
                      <w:highlight w:val="none"/>
                    </w:rPr>
                    <w:t>外观</w:t>
                  </w:r>
                </w:p>
              </w:tc>
              <w:tc>
                <w:tcPr>
                  <w:tcW w:w="5587" w:type="dxa"/>
                  <w:gridSpan w:val="2"/>
                  <w:tcBorders>
                    <w:tl2br w:val="nil"/>
                    <w:tr2bl w:val="nil"/>
                  </w:tcBorders>
                  <w:vAlign w:val="center"/>
                </w:tcPr>
                <w:p w14:paraId="6B9C41C7">
                  <w:pPr>
                    <w:pStyle w:val="48"/>
                    <w:keepNext w:val="0"/>
                    <w:keepLines w:val="0"/>
                    <w:suppressLineNumbers w:val="0"/>
                    <w:spacing w:before="31" w:beforeAutospacing="0" w:after="31" w:afterAutospacing="0"/>
                    <w:ind w:right="0"/>
                    <w:jc w:val="left"/>
                    <w:rPr>
                      <w:rFonts w:ascii="Times New Roman"/>
                      <w:color w:val="auto"/>
                      <w:highlight w:val="none"/>
                    </w:rPr>
                  </w:pPr>
                  <w:r>
                    <w:rPr>
                      <w:rFonts w:hint="eastAsia" w:ascii="Times New Roman"/>
                      <w:color w:val="auto"/>
                      <w:highlight w:val="none"/>
                    </w:rPr>
                    <w:t>白色</w:t>
                  </w:r>
                  <w:r>
                    <w:rPr>
                      <w:rFonts w:hint="eastAsia" w:ascii="Times New Roman"/>
                      <w:color w:val="auto"/>
                      <w:highlight w:val="none"/>
                      <w:lang w:eastAsia="zh-CN"/>
                    </w:rPr>
                    <w:t>、</w:t>
                  </w:r>
                  <w:r>
                    <w:rPr>
                      <w:rFonts w:hint="eastAsia" w:ascii="Times New Roman"/>
                      <w:color w:val="auto"/>
                      <w:highlight w:val="none"/>
                    </w:rPr>
                    <w:t>淡黄色</w:t>
                  </w:r>
                  <w:r>
                    <w:rPr>
                      <w:rFonts w:hint="eastAsia" w:ascii="Times New Roman"/>
                      <w:color w:val="auto"/>
                      <w:highlight w:val="none"/>
                      <w:lang w:eastAsia="zh-CN"/>
                    </w:rPr>
                    <w:t>、</w:t>
                  </w:r>
                  <w:r>
                    <w:rPr>
                      <w:rFonts w:hint="eastAsia" w:ascii="Times New Roman"/>
                      <w:color w:val="auto"/>
                      <w:highlight w:val="none"/>
                      <w:lang w:val="en-US" w:eastAsia="zh-CN"/>
                    </w:rPr>
                    <w:t>红色、棕色</w:t>
                  </w:r>
                  <w:r>
                    <w:rPr>
                      <w:rFonts w:hint="eastAsia" w:ascii="Times New Roman"/>
                      <w:color w:val="auto"/>
                      <w:highlight w:val="none"/>
                    </w:rPr>
                    <w:t>半透明</w:t>
                  </w:r>
                  <w:r>
                    <w:rPr>
                      <w:rFonts w:hint="eastAsia" w:ascii="Times New Roman"/>
                      <w:color w:val="auto"/>
                      <w:highlight w:val="none"/>
                      <w:lang w:val="en-US" w:eastAsia="zh-CN"/>
                    </w:rPr>
                    <w:t>液体或</w:t>
                  </w:r>
                  <w:r>
                    <w:rPr>
                      <w:rFonts w:hint="eastAsia" w:ascii="Times New Roman"/>
                      <w:color w:val="auto"/>
                      <w:highlight w:val="none"/>
                    </w:rPr>
                    <w:t>固体</w:t>
                  </w:r>
                </w:p>
              </w:tc>
            </w:tr>
            <w:tr w14:paraId="55D5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vMerge w:val="continue"/>
                  <w:tcBorders>
                    <w:tl2br w:val="nil"/>
                    <w:tr2bl w:val="nil"/>
                  </w:tcBorders>
                  <w:vAlign w:val="center"/>
                </w:tcPr>
                <w:p w14:paraId="2CF0B39C">
                  <w:pPr>
                    <w:pStyle w:val="48"/>
                    <w:keepNext w:val="0"/>
                    <w:keepLines w:val="0"/>
                    <w:suppressLineNumbers w:val="0"/>
                    <w:spacing w:before="31" w:beforeAutospacing="0" w:after="31" w:afterAutospacing="0"/>
                    <w:ind w:right="0"/>
                    <w:rPr>
                      <w:rFonts w:ascii="Times New Roman"/>
                      <w:color w:val="auto"/>
                      <w:highlight w:val="none"/>
                    </w:rPr>
                  </w:pPr>
                </w:p>
              </w:tc>
              <w:tc>
                <w:tcPr>
                  <w:tcW w:w="1040" w:type="dxa"/>
                  <w:tcBorders>
                    <w:tl2br w:val="nil"/>
                    <w:tr2bl w:val="nil"/>
                  </w:tcBorders>
                  <w:vAlign w:val="center"/>
                </w:tcPr>
                <w:p w14:paraId="29273826">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ascii="Times New Roman"/>
                      <w:color w:val="auto"/>
                      <w:highlight w:val="none"/>
                    </w:rPr>
                  </w:pPr>
                  <w:r>
                    <w:rPr>
                      <w:rFonts w:hint="eastAsia" w:ascii="Times New Roman"/>
                      <w:color w:val="auto"/>
                      <w:highlight w:val="none"/>
                    </w:rPr>
                    <w:t>理化性质</w:t>
                  </w:r>
                </w:p>
              </w:tc>
              <w:tc>
                <w:tcPr>
                  <w:tcW w:w="2793" w:type="dxa"/>
                  <w:tcBorders>
                    <w:tl2br w:val="nil"/>
                    <w:tr2bl w:val="nil"/>
                  </w:tcBorders>
                  <w:vAlign w:val="center"/>
                </w:tcPr>
                <w:p w14:paraId="60A1C06D">
                  <w:pPr>
                    <w:pStyle w:val="48"/>
                    <w:keepNext w:val="0"/>
                    <w:keepLines w:val="0"/>
                    <w:suppressLineNumbers w:val="0"/>
                    <w:spacing w:before="31" w:beforeAutospacing="0" w:after="31" w:afterAutospacing="0"/>
                    <w:ind w:right="0"/>
                    <w:jc w:val="left"/>
                    <w:rPr>
                      <w:rFonts w:ascii="Times New Roman"/>
                      <w:color w:val="auto"/>
                      <w:highlight w:val="none"/>
                    </w:rPr>
                  </w:pPr>
                  <w:r>
                    <w:rPr>
                      <w:rFonts w:hint="eastAsia" w:ascii="Times New Roman"/>
                      <w:color w:val="auto"/>
                      <w:highlight w:val="none"/>
                    </w:rPr>
                    <w:t>分子式：C</w:t>
                  </w:r>
                  <w:r>
                    <w:rPr>
                      <w:rFonts w:hint="eastAsia" w:ascii="Times New Roman"/>
                      <w:color w:val="auto"/>
                      <w:highlight w:val="none"/>
                      <w:vertAlign w:val="subscript"/>
                    </w:rPr>
                    <w:t>n</w:t>
                  </w:r>
                  <w:r>
                    <w:rPr>
                      <w:rFonts w:hint="eastAsia" w:ascii="Times New Roman"/>
                      <w:color w:val="auto"/>
                      <w:highlight w:val="none"/>
                    </w:rPr>
                    <w:t>H</w:t>
                  </w:r>
                  <w:r>
                    <w:rPr>
                      <w:rFonts w:hint="eastAsia" w:ascii="Times New Roman"/>
                      <w:color w:val="auto"/>
                      <w:highlight w:val="none"/>
                      <w:vertAlign w:val="subscript"/>
                    </w:rPr>
                    <w:t>2n+2</w:t>
                  </w:r>
                </w:p>
              </w:tc>
              <w:tc>
                <w:tcPr>
                  <w:tcW w:w="2794" w:type="dxa"/>
                  <w:tcBorders>
                    <w:tl2br w:val="nil"/>
                    <w:tr2bl w:val="nil"/>
                  </w:tcBorders>
                  <w:vAlign w:val="center"/>
                </w:tcPr>
                <w:p w14:paraId="385FFF66">
                  <w:pPr>
                    <w:pStyle w:val="48"/>
                    <w:keepNext w:val="0"/>
                    <w:keepLines w:val="0"/>
                    <w:suppressLineNumbers w:val="0"/>
                    <w:spacing w:before="31" w:beforeAutospacing="0" w:after="31" w:afterAutospacing="0"/>
                    <w:ind w:right="0"/>
                    <w:jc w:val="left"/>
                    <w:rPr>
                      <w:rFonts w:ascii="Times New Roman"/>
                      <w:color w:val="auto"/>
                      <w:highlight w:val="none"/>
                    </w:rPr>
                  </w:pPr>
                  <w:r>
                    <w:rPr>
                      <w:rFonts w:hint="eastAsia" w:ascii="Times New Roman"/>
                      <w:color w:val="auto"/>
                      <w:highlight w:val="none"/>
                    </w:rPr>
                    <w:t>平均分子量：250~450</w:t>
                  </w:r>
                </w:p>
              </w:tc>
            </w:tr>
            <w:tr w14:paraId="6D38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vMerge w:val="continue"/>
                  <w:tcBorders>
                    <w:tl2br w:val="nil"/>
                    <w:tr2bl w:val="nil"/>
                  </w:tcBorders>
                  <w:vAlign w:val="center"/>
                </w:tcPr>
                <w:p w14:paraId="02135687">
                  <w:pPr>
                    <w:pStyle w:val="48"/>
                    <w:keepNext w:val="0"/>
                    <w:keepLines w:val="0"/>
                    <w:suppressLineNumbers w:val="0"/>
                    <w:spacing w:before="31" w:beforeAutospacing="0" w:after="31" w:afterAutospacing="0"/>
                    <w:ind w:right="0"/>
                    <w:rPr>
                      <w:rFonts w:ascii="Times New Roman"/>
                      <w:color w:val="auto"/>
                      <w:highlight w:val="none"/>
                    </w:rPr>
                  </w:pPr>
                </w:p>
              </w:tc>
              <w:tc>
                <w:tcPr>
                  <w:tcW w:w="1040" w:type="dxa"/>
                  <w:tcBorders>
                    <w:tl2br w:val="nil"/>
                    <w:tr2bl w:val="nil"/>
                  </w:tcBorders>
                  <w:vAlign w:val="center"/>
                </w:tcPr>
                <w:p w14:paraId="3AEB23FA">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auto"/>
                    <w:rPr>
                      <w:rFonts w:ascii="Times New Roman"/>
                      <w:color w:val="auto"/>
                      <w:highlight w:val="none"/>
                    </w:rPr>
                  </w:pPr>
                  <w:r>
                    <w:rPr>
                      <w:rFonts w:hint="eastAsia" w:ascii="Times New Roman"/>
                      <w:color w:val="auto"/>
                      <w:highlight w:val="none"/>
                    </w:rPr>
                    <w:t>主要质量指标</w:t>
                  </w:r>
                </w:p>
              </w:tc>
              <w:tc>
                <w:tcPr>
                  <w:tcW w:w="5587" w:type="dxa"/>
                  <w:gridSpan w:val="2"/>
                  <w:tcBorders>
                    <w:tl2br w:val="nil"/>
                    <w:tr2bl w:val="nil"/>
                  </w:tcBorders>
                  <w:vAlign w:val="center"/>
                </w:tcPr>
                <w:p w14:paraId="69D00ABB">
                  <w:pPr>
                    <w:pStyle w:val="48"/>
                    <w:keepNext w:val="0"/>
                    <w:keepLines w:val="0"/>
                    <w:suppressLineNumbers w:val="0"/>
                    <w:spacing w:before="31" w:beforeAutospacing="0" w:after="31" w:afterAutospacing="0"/>
                    <w:ind w:right="0"/>
                    <w:jc w:val="left"/>
                    <w:rPr>
                      <w:rFonts w:ascii="Times New Roman"/>
                      <w:color w:val="auto"/>
                      <w:highlight w:val="none"/>
                    </w:rPr>
                  </w:pPr>
                  <w:r>
                    <w:rPr>
                      <w:rFonts w:hint="eastAsia" w:ascii="Times New Roman"/>
                      <w:color w:val="auto"/>
                      <w:highlight w:val="none"/>
                    </w:rPr>
                    <w:t>熔点和含油量</w:t>
                  </w:r>
                </w:p>
              </w:tc>
            </w:tr>
            <w:tr w14:paraId="2FFA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56" w:type="dxa"/>
                  <w:vMerge w:val="continue"/>
                  <w:tcBorders>
                    <w:tl2br w:val="nil"/>
                    <w:tr2bl w:val="nil"/>
                  </w:tcBorders>
                  <w:vAlign w:val="center"/>
                </w:tcPr>
                <w:p w14:paraId="30A2C361">
                  <w:pPr>
                    <w:pStyle w:val="48"/>
                    <w:keepNext w:val="0"/>
                    <w:keepLines w:val="0"/>
                    <w:suppressLineNumbers w:val="0"/>
                    <w:spacing w:before="31" w:beforeAutospacing="0" w:after="31" w:afterAutospacing="0"/>
                    <w:ind w:right="0"/>
                    <w:rPr>
                      <w:rFonts w:ascii="Times New Roman"/>
                      <w:color w:val="auto"/>
                      <w:highlight w:val="none"/>
                    </w:rPr>
                  </w:pPr>
                </w:p>
              </w:tc>
              <w:tc>
                <w:tcPr>
                  <w:tcW w:w="1040" w:type="dxa"/>
                  <w:tcBorders>
                    <w:tl2br w:val="nil"/>
                    <w:tr2bl w:val="nil"/>
                  </w:tcBorders>
                  <w:vAlign w:val="center"/>
                </w:tcPr>
                <w:p w14:paraId="6F2E3EB8">
                  <w:pPr>
                    <w:pStyle w:val="48"/>
                    <w:keepNext w:val="0"/>
                    <w:keepLines w:val="0"/>
                    <w:suppressLineNumbers w:val="0"/>
                    <w:spacing w:before="31" w:beforeAutospacing="0" w:after="31" w:afterAutospacing="0"/>
                    <w:ind w:right="0"/>
                    <w:rPr>
                      <w:rFonts w:ascii="Times New Roman"/>
                      <w:color w:val="auto"/>
                      <w:highlight w:val="none"/>
                    </w:rPr>
                  </w:pPr>
                  <w:r>
                    <w:rPr>
                      <w:rFonts w:hint="eastAsia" w:ascii="Times New Roman"/>
                      <w:color w:val="auto"/>
                      <w:highlight w:val="none"/>
                    </w:rPr>
                    <w:t>制得</w:t>
                  </w:r>
                </w:p>
              </w:tc>
              <w:tc>
                <w:tcPr>
                  <w:tcW w:w="5587" w:type="dxa"/>
                  <w:gridSpan w:val="2"/>
                  <w:tcBorders>
                    <w:tl2br w:val="nil"/>
                    <w:tr2bl w:val="nil"/>
                  </w:tcBorders>
                  <w:vAlign w:val="center"/>
                </w:tcPr>
                <w:p w14:paraId="5C291AEB">
                  <w:pPr>
                    <w:pStyle w:val="48"/>
                    <w:keepNext w:val="0"/>
                    <w:keepLines w:val="0"/>
                    <w:suppressLineNumbers w:val="0"/>
                    <w:spacing w:before="31" w:beforeAutospacing="0" w:after="31" w:afterAutospacing="0"/>
                    <w:ind w:right="0"/>
                    <w:jc w:val="left"/>
                    <w:rPr>
                      <w:rFonts w:ascii="Times New Roman"/>
                      <w:color w:val="auto"/>
                      <w:highlight w:val="none"/>
                    </w:rPr>
                  </w:pPr>
                  <w:r>
                    <w:rPr>
                      <w:rFonts w:hint="eastAsia" w:ascii="Times New Roman"/>
                      <w:color w:val="auto"/>
                      <w:highlight w:val="none"/>
                    </w:rPr>
                    <w:t>从原油蒸馏所得的润滑油馏</w:t>
                  </w:r>
                </w:p>
              </w:tc>
            </w:tr>
          </w:tbl>
          <w:p w14:paraId="6A740F25">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color w:val="auto"/>
                <w:sz w:val="24"/>
                <w:highlight w:val="none"/>
              </w:rPr>
            </w:pPr>
            <w:r>
              <w:rPr>
                <w:rFonts w:hint="eastAsia"/>
                <w:color w:val="auto"/>
                <w:sz w:val="24"/>
                <w:highlight w:val="none"/>
              </w:rPr>
              <w:t>本项目能耗情况见下表。</w:t>
            </w:r>
          </w:p>
          <w:p w14:paraId="1D468803">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r>
              <w:rPr>
                <w:color w:val="auto"/>
                <w:sz w:val="24"/>
                <w:highlight w:val="none"/>
              </w:rPr>
              <w:t>表2-</w:t>
            </w:r>
            <w:r>
              <w:rPr>
                <w:rFonts w:hint="eastAsia"/>
                <w:color w:val="auto"/>
                <w:sz w:val="24"/>
                <w:highlight w:val="none"/>
                <w:lang w:val="en-US" w:eastAsia="zh-CN"/>
              </w:rPr>
              <w:t>8</w:t>
            </w:r>
            <w:r>
              <w:rPr>
                <w:color w:val="auto"/>
                <w:sz w:val="24"/>
                <w:highlight w:val="none"/>
              </w:rPr>
              <w:t xml:space="preserve">  主要</w:t>
            </w:r>
            <w:r>
              <w:rPr>
                <w:rFonts w:hint="eastAsia"/>
                <w:color w:val="auto"/>
                <w:sz w:val="24"/>
                <w:highlight w:val="none"/>
              </w:rPr>
              <w:t>能源消耗表</w:t>
            </w:r>
          </w:p>
          <w:tbl>
            <w:tblPr>
              <w:tblStyle w:val="27"/>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39"/>
              <w:gridCol w:w="1538"/>
              <w:gridCol w:w="1576"/>
              <w:gridCol w:w="3923"/>
            </w:tblGrid>
            <w:tr w14:paraId="72811C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32" w:type="pct"/>
                  <w:vAlign w:val="center"/>
                </w:tcPr>
                <w:p w14:paraId="1B2E52A6">
                  <w:pPr>
                    <w:keepNext w:val="0"/>
                    <w:keepLines w:val="0"/>
                    <w:suppressLineNumbers w:val="0"/>
                    <w:autoSpaceDE w:val="0"/>
                    <w:autoSpaceDN w:val="0"/>
                    <w:adjustRightInd w:val="0"/>
                    <w:spacing w:before="0" w:beforeAutospacing="0" w:after="0" w:afterAutospacing="0"/>
                    <w:ind w:left="0" w:right="0"/>
                    <w:jc w:val="center"/>
                    <w:rPr>
                      <w:color w:val="auto"/>
                      <w:szCs w:val="21"/>
                      <w:highlight w:val="none"/>
                    </w:rPr>
                  </w:pPr>
                  <w:r>
                    <w:rPr>
                      <w:rFonts w:hint="eastAsia"/>
                      <w:color w:val="auto"/>
                      <w:szCs w:val="21"/>
                      <w:highlight w:val="none"/>
                    </w:rPr>
                    <w:t>序号</w:t>
                  </w:r>
                </w:p>
              </w:tc>
              <w:tc>
                <w:tcPr>
                  <w:tcW w:w="976" w:type="pct"/>
                  <w:vAlign w:val="center"/>
                </w:tcPr>
                <w:p w14:paraId="3F85666D">
                  <w:pPr>
                    <w:keepNext w:val="0"/>
                    <w:keepLines w:val="0"/>
                    <w:suppressLineNumbers w:val="0"/>
                    <w:autoSpaceDE w:val="0"/>
                    <w:autoSpaceDN w:val="0"/>
                    <w:adjustRightInd w:val="0"/>
                    <w:spacing w:before="0" w:beforeAutospacing="0" w:after="0" w:afterAutospacing="0"/>
                    <w:ind w:left="0" w:right="0"/>
                    <w:jc w:val="center"/>
                    <w:rPr>
                      <w:color w:val="auto"/>
                      <w:szCs w:val="21"/>
                      <w:highlight w:val="none"/>
                    </w:rPr>
                  </w:pPr>
                  <w:r>
                    <w:rPr>
                      <w:rFonts w:hint="eastAsia"/>
                      <w:color w:val="auto"/>
                      <w:szCs w:val="21"/>
                      <w:highlight w:val="none"/>
                    </w:rPr>
                    <w:t>名称</w:t>
                  </w:r>
                </w:p>
              </w:tc>
              <w:tc>
                <w:tcPr>
                  <w:tcW w:w="1000" w:type="pct"/>
                  <w:vAlign w:val="center"/>
                </w:tcPr>
                <w:p w14:paraId="36F51543">
                  <w:pPr>
                    <w:keepNext w:val="0"/>
                    <w:keepLines w:val="0"/>
                    <w:suppressLineNumbers w:val="0"/>
                    <w:autoSpaceDE w:val="0"/>
                    <w:autoSpaceDN w:val="0"/>
                    <w:adjustRightInd w:val="0"/>
                    <w:spacing w:before="0" w:beforeAutospacing="0" w:after="0" w:afterAutospacing="0"/>
                    <w:ind w:left="0" w:right="0"/>
                    <w:jc w:val="center"/>
                    <w:rPr>
                      <w:color w:val="auto"/>
                      <w:szCs w:val="21"/>
                      <w:highlight w:val="none"/>
                    </w:rPr>
                  </w:pPr>
                  <w:r>
                    <w:rPr>
                      <w:rFonts w:hint="eastAsia"/>
                      <w:color w:val="auto"/>
                      <w:szCs w:val="21"/>
                      <w:highlight w:val="none"/>
                    </w:rPr>
                    <w:t>消耗量</w:t>
                  </w:r>
                </w:p>
              </w:tc>
              <w:tc>
                <w:tcPr>
                  <w:tcW w:w="2489" w:type="pct"/>
                  <w:vAlign w:val="center"/>
                </w:tcPr>
                <w:p w14:paraId="5EA56A6C">
                  <w:pPr>
                    <w:keepNext w:val="0"/>
                    <w:keepLines w:val="0"/>
                    <w:suppressLineNumbers w:val="0"/>
                    <w:autoSpaceDE w:val="0"/>
                    <w:autoSpaceDN w:val="0"/>
                    <w:adjustRightInd w:val="0"/>
                    <w:spacing w:before="0" w:beforeAutospacing="0" w:after="0" w:afterAutospacing="0"/>
                    <w:ind w:left="0" w:right="0"/>
                    <w:jc w:val="center"/>
                    <w:rPr>
                      <w:color w:val="auto"/>
                      <w:szCs w:val="21"/>
                      <w:highlight w:val="none"/>
                    </w:rPr>
                  </w:pPr>
                  <w:r>
                    <w:rPr>
                      <w:rFonts w:hint="eastAsia"/>
                      <w:color w:val="auto"/>
                      <w:szCs w:val="21"/>
                      <w:highlight w:val="none"/>
                    </w:rPr>
                    <w:t>来源</w:t>
                  </w:r>
                </w:p>
              </w:tc>
            </w:tr>
            <w:tr w14:paraId="2DE20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32" w:type="pct"/>
                  <w:vAlign w:val="center"/>
                </w:tcPr>
                <w:p w14:paraId="3BA2CD18">
                  <w:pPr>
                    <w:keepNext w:val="0"/>
                    <w:keepLines w:val="0"/>
                    <w:suppressLineNumbers w:val="0"/>
                    <w:autoSpaceDE w:val="0"/>
                    <w:autoSpaceDN w:val="0"/>
                    <w:adjustRightInd w:val="0"/>
                    <w:spacing w:before="0" w:beforeAutospacing="0" w:after="0" w:afterAutospacing="0"/>
                    <w:ind w:left="0" w:right="0"/>
                    <w:jc w:val="center"/>
                    <w:rPr>
                      <w:color w:val="auto"/>
                      <w:szCs w:val="21"/>
                      <w:highlight w:val="none"/>
                    </w:rPr>
                  </w:pPr>
                  <w:r>
                    <w:rPr>
                      <w:rFonts w:hint="eastAsia"/>
                      <w:color w:val="auto"/>
                      <w:szCs w:val="21"/>
                      <w:highlight w:val="none"/>
                    </w:rPr>
                    <w:t>1</w:t>
                  </w:r>
                </w:p>
              </w:tc>
              <w:tc>
                <w:tcPr>
                  <w:tcW w:w="976" w:type="pct"/>
                  <w:shd w:val="clear" w:color="auto" w:fill="auto"/>
                  <w:vAlign w:val="center"/>
                </w:tcPr>
                <w:p w14:paraId="77341DF6">
                  <w:pPr>
                    <w:keepNext w:val="0"/>
                    <w:keepLines w:val="0"/>
                    <w:suppressLineNumbers w:val="0"/>
                    <w:autoSpaceDE w:val="0"/>
                    <w:autoSpaceDN w:val="0"/>
                    <w:adjustRightIn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电</w:t>
                  </w:r>
                </w:p>
              </w:tc>
              <w:tc>
                <w:tcPr>
                  <w:tcW w:w="1000" w:type="pct"/>
                  <w:shd w:val="clear" w:color="auto" w:fill="auto"/>
                  <w:vAlign w:val="center"/>
                </w:tcPr>
                <w:p w14:paraId="2993C7FB">
                  <w:pPr>
                    <w:keepNext w:val="0"/>
                    <w:keepLines w:val="0"/>
                    <w:suppressLineNumbers w:val="0"/>
                    <w:autoSpaceDE w:val="0"/>
                    <w:autoSpaceDN w:val="0"/>
                    <w:adjustRightIn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120万kw·h</w:t>
                  </w:r>
                </w:p>
              </w:tc>
              <w:tc>
                <w:tcPr>
                  <w:tcW w:w="2489" w:type="pct"/>
                  <w:shd w:val="clear" w:color="auto" w:fill="auto"/>
                  <w:vAlign w:val="center"/>
                </w:tcPr>
                <w:p w14:paraId="6C30EC2E">
                  <w:pPr>
                    <w:keepNext w:val="0"/>
                    <w:keepLines w:val="0"/>
                    <w:suppressLineNumbers w:val="0"/>
                    <w:autoSpaceDE w:val="0"/>
                    <w:autoSpaceDN w:val="0"/>
                    <w:adjustRightIn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市政供电管网</w:t>
                  </w:r>
                </w:p>
              </w:tc>
            </w:tr>
          </w:tbl>
          <w:p w14:paraId="5F69E9FC">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jc w:val="left"/>
              <w:textAlignment w:val="auto"/>
              <w:rPr>
                <w:rFonts w:hint="eastAsia"/>
                <w:color w:val="auto"/>
                <w:sz w:val="24"/>
                <w:highlight w:val="none"/>
              </w:rPr>
            </w:pPr>
            <w:r>
              <w:rPr>
                <w:rFonts w:hint="eastAsia"/>
                <w:color w:val="auto"/>
                <w:sz w:val="24"/>
                <w:highlight w:val="none"/>
              </w:rPr>
              <w:t>5、主要设备</w:t>
            </w:r>
          </w:p>
          <w:p w14:paraId="1773B057">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eastAsia"/>
                <w:color w:val="auto"/>
                <w:sz w:val="24"/>
                <w:highlight w:val="none"/>
              </w:rPr>
            </w:pPr>
            <w:r>
              <w:rPr>
                <w:rFonts w:hint="eastAsia"/>
                <w:color w:val="auto"/>
                <w:sz w:val="24"/>
                <w:highlight w:val="none"/>
              </w:rPr>
              <w:t>本项目主要设备见下表。</w:t>
            </w:r>
          </w:p>
          <w:p w14:paraId="0A69086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r>
              <w:rPr>
                <w:color w:val="auto"/>
                <w:sz w:val="24"/>
                <w:highlight w:val="none"/>
              </w:rPr>
              <w:t>表2-</w:t>
            </w:r>
            <w:r>
              <w:rPr>
                <w:rFonts w:hint="eastAsia"/>
                <w:color w:val="auto"/>
                <w:sz w:val="24"/>
                <w:highlight w:val="none"/>
                <w:lang w:val="en-US" w:eastAsia="zh-CN"/>
              </w:rPr>
              <w:t>9</w:t>
            </w:r>
            <w:r>
              <w:rPr>
                <w:rFonts w:hint="eastAsia"/>
                <w:color w:val="auto"/>
                <w:sz w:val="24"/>
                <w:highlight w:val="none"/>
              </w:rPr>
              <w:t xml:space="preserve">  </w:t>
            </w:r>
            <w:r>
              <w:rPr>
                <w:color w:val="auto"/>
                <w:sz w:val="24"/>
                <w:highlight w:val="none"/>
              </w:rPr>
              <w:t>主要设备</w:t>
            </w:r>
            <w:r>
              <w:rPr>
                <w:rFonts w:hint="eastAsia"/>
                <w:color w:val="auto"/>
                <w:sz w:val="24"/>
                <w:highlight w:val="none"/>
                <w:lang w:val="en-US" w:eastAsia="zh-CN"/>
              </w:rPr>
              <w:t>及参数</w:t>
            </w:r>
            <w:r>
              <w:rPr>
                <w:color w:val="auto"/>
                <w:sz w:val="24"/>
                <w:highlight w:val="none"/>
              </w:rPr>
              <w:t>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127"/>
              <w:gridCol w:w="1607"/>
              <w:gridCol w:w="869"/>
              <w:gridCol w:w="975"/>
              <w:gridCol w:w="1262"/>
              <w:gridCol w:w="1345"/>
            </w:tblGrid>
            <w:tr w14:paraId="1FB4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7E175E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序号</w:t>
                  </w:r>
                </w:p>
              </w:tc>
              <w:tc>
                <w:tcPr>
                  <w:tcW w:w="643" w:type="pct"/>
                  <w:vAlign w:val="center"/>
                </w:tcPr>
                <w:p w14:paraId="024429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设备名称</w:t>
                  </w:r>
                </w:p>
              </w:tc>
              <w:tc>
                <w:tcPr>
                  <w:tcW w:w="1031" w:type="pct"/>
                  <w:vAlign w:val="center"/>
                </w:tcPr>
                <w:p w14:paraId="6D5B3C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规格/型号</w:t>
                  </w:r>
                </w:p>
              </w:tc>
              <w:tc>
                <w:tcPr>
                  <w:tcW w:w="564" w:type="pct"/>
                  <w:vAlign w:val="center"/>
                </w:tcPr>
                <w:p w14:paraId="23969E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材质</w:t>
                  </w:r>
                </w:p>
              </w:tc>
              <w:tc>
                <w:tcPr>
                  <w:tcW w:w="631" w:type="pct"/>
                  <w:vAlign w:val="center"/>
                </w:tcPr>
                <w:p w14:paraId="123B9E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现有数量（台）</w:t>
                  </w:r>
                </w:p>
              </w:tc>
              <w:tc>
                <w:tcPr>
                  <w:tcW w:w="813" w:type="pct"/>
                  <w:vAlign w:val="center"/>
                </w:tcPr>
                <w:p w14:paraId="261597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本项目新增数量（台）</w:t>
                  </w:r>
                </w:p>
              </w:tc>
              <w:tc>
                <w:tcPr>
                  <w:tcW w:w="860" w:type="pct"/>
                  <w:vAlign w:val="center"/>
                </w:tcPr>
                <w:p w14:paraId="398274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本项目实施后数量（台）</w:t>
                  </w:r>
                </w:p>
              </w:tc>
            </w:tr>
            <w:tr w14:paraId="6554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000" w:type="pct"/>
                  <w:gridSpan w:val="7"/>
                  <w:vAlign w:val="center"/>
                </w:tcPr>
                <w:p w14:paraId="50797D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一、橡胶防护蜡</w:t>
                  </w:r>
                </w:p>
              </w:tc>
            </w:tr>
            <w:tr w14:paraId="1545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1C30CA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43" w:type="pct"/>
                  <w:shd w:val="clear" w:color="auto" w:fill="auto"/>
                  <w:vAlign w:val="center"/>
                </w:tcPr>
                <w:p w14:paraId="2DA5B2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CR2141</w:t>
                  </w:r>
                </w:p>
                <w:p w14:paraId="6E854A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2AEDEF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479DCB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04939B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4A102F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345054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01CAAE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3C54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259806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643" w:type="pct"/>
                  <w:shd w:val="clear" w:color="auto" w:fill="auto"/>
                  <w:vAlign w:val="center"/>
                </w:tcPr>
                <w:p w14:paraId="623FA4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CR2142</w:t>
                  </w:r>
                </w:p>
                <w:p w14:paraId="4A00ED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78342D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4FD800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2AC028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439D84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4C715E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695130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65C7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2EEED4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643" w:type="pct"/>
                  <w:shd w:val="clear" w:color="auto" w:fill="auto"/>
                  <w:vAlign w:val="center"/>
                </w:tcPr>
                <w:p w14:paraId="632221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CR2142-B</w:t>
                  </w:r>
                </w:p>
                <w:p w14:paraId="6D7502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4D6180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0E1376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7AA021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29D966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45A927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7FCC73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1ACC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390FF7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643" w:type="pct"/>
                  <w:shd w:val="clear" w:color="auto" w:fill="auto"/>
                  <w:vAlign w:val="center"/>
                </w:tcPr>
                <w:p w14:paraId="1D21D0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CR2143</w:t>
                  </w:r>
                </w:p>
                <w:p w14:paraId="7958D8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36549B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076FCC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1F60F3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50DEC8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7E90EC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05A7A7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7095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20F850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643" w:type="pct"/>
                  <w:shd w:val="clear" w:color="auto" w:fill="auto"/>
                  <w:vAlign w:val="center"/>
                </w:tcPr>
                <w:p w14:paraId="6B1CE5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CR2145</w:t>
                  </w:r>
                </w:p>
                <w:p w14:paraId="594755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322CAA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32A307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0BEFAC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41CA30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2B6838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3AE928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0B48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28F05A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643" w:type="pct"/>
                  <w:shd w:val="clear" w:color="auto" w:fill="auto"/>
                  <w:vAlign w:val="center"/>
                </w:tcPr>
                <w:p w14:paraId="64A218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CR2146</w:t>
                  </w:r>
                </w:p>
                <w:p w14:paraId="7822A5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6B8637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7AE9B0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246855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441E85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5B171C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5C2243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7C68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73D3D6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w:t>
                  </w:r>
                </w:p>
              </w:tc>
              <w:tc>
                <w:tcPr>
                  <w:tcW w:w="643" w:type="pct"/>
                  <w:shd w:val="clear" w:color="auto" w:fill="auto"/>
                  <w:vAlign w:val="center"/>
                </w:tcPr>
                <w:p w14:paraId="4E18A8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CR2147</w:t>
                  </w:r>
                </w:p>
                <w:p w14:paraId="5B6510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1C037C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60F6D5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26770D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0CAA38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309930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560C8C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3466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70E1F6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w:t>
                  </w:r>
                </w:p>
              </w:tc>
              <w:tc>
                <w:tcPr>
                  <w:tcW w:w="643" w:type="pct"/>
                  <w:shd w:val="clear" w:color="auto" w:fill="auto"/>
                  <w:vAlign w:val="center"/>
                </w:tcPr>
                <w:p w14:paraId="5D59F5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CR2148</w:t>
                  </w:r>
                </w:p>
                <w:p w14:paraId="0FB0C9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12834F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62A540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1F2FB7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05202C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34D253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57FFE0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2536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690CDC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p>
              </w:tc>
              <w:tc>
                <w:tcPr>
                  <w:tcW w:w="643" w:type="pct"/>
                  <w:shd w:val="clear" w:color="auto" w:fill="auto"/>
                  <w:vAlign w:val="center"/>
                </w:tcPr>
                <w:p w14:paraId="79BFE7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CR2149</w:t>
                  </w:r>
                </w:p>
                <w:p w14:paraId="0FF587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05766D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36C348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14B82A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56D6FE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0207A2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71D146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7462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549815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643" w:type="pct"/>
                  <w:shd w:val="clear" w:color="auto" w:fill="auto"/>
                  <w:vAlign w:val="center"/>
                </w:tcPr>
                <w:p w14:paraId="3669C6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CR2150</w:t>
                  </w:r>
                </w:p>
                <w:p w14:paraId="38F237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327C0B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355330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3111A8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6F949B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26CFE0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7CD62E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7666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4D125B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w:t>
                  </w:r>
                </w:p>
              </w:tc>
              <w:tc>
                <w:tcPr>
                  <w:tcW w:w="643" w:type="pct"/>
                  <w:shd w:val="clear" w:color="auto" w:fill="auto"/>
                  <w:vAlign w:val="center"/>
                </w:tcPr>
                <w:p w14:paraId="11E8F2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CR2151</w:t>
                  </w:r>
                </w:p>
                <w:p w14:paraId="23C462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中转罐</w:t>
                  </w:r>
                </w:p>
              </w:tc>
              <w:tc>
                <w:tcPr>
                  <w:tcW w:w="1031" w:type="pct"/>
                  <w:shd w:val="clear" w:color="auto" w:fill="auto"/>
                  <w:vAlign w:val="center"/>
                </w:tcPr>
                <w:p w14:paraId="73DEE9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V=23m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，ISOTANK</w:t>
                  </w:r>
                </w:p>
                <w:p w14:paraId="3BACF5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蒸汽伴管</w:t>
                  </w:r>
                </w:p>
              </w:tc>
              <w:tc>
                <w:tcPr>
                  <w:tcW w:w="564" w:type="pct"/>
                  <w:shd w:val="clear" w:color="auto" w:fill="auto"/>
                  <w:vAlign w:val="center"/>
                </w:tcPr>
                <w:p w14:paraId="380F50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04CF62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3EC478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c>
                <w:tcPr>
                  <w:tcW w:w="860" w:type="pct"/>
                  <w:shd w:val="clear" w:color="auto" w:fill="auto"/>
                  <w:vAlign w:val="center"/>
                </w:tcPr>
                <w:p w14:paraId="442E29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w:t>
                  </w:r>
                </w:p>
              </w:tc>
            </w:tr>
            <w:tr w14:paraId="6F0D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4528C3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w:t>
                  </w:r>
                  <w:r>
                    <w:rPr>
                      <w:rFonts w:hint="eastAsia" w:cs="Times New Roman"/>
                      <w:color w:val="auto"/>
                      <w:sz w:val="21"/>
                      <w:szCs w:val="21"/>
                      <w:highlight w:val="none"/>
                      <w:lang w:val="en-US" w:eastAsia="zh-CN"/>
                    </w:rPr>
                    <w:t>2</w:t>
                  </w:r>
                </w:p>
              </w:tc>
              <w:tc>
                <w:tcPr>
                  <w:tcW w:w="643" w:type="pct"/>
                  <w:shd w:val="clear" w:color="auto" w:fill="auto"/>
                  <w:vAlign w:val="center"/>
                </w:tcPr>
                <w:p w14:paraId="11BCC0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灌装机</w:t>
                  </w:r>
                </w:p>
              </w:tc>
              <w:tc>
                <w:tcPr>
                  <w:tcW w:w="1031" w:type="pct"/>
                  <w:shd w:val="clear" w:color="auto" w:fill="auto"/>
                  <w:vAlign w:val="center"/>
                </w:tcPr>
                <w:p w14:paraId="5CA8FE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564" w:type="pct"/>
                  <w:shd w:val="clear" w:color="auto" w:fill="auto"/>
                  <w:vAlign w:val="center"/>
                </w:tcPr>
                <w:p w14:paraId="09D6AF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48065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709330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w:t>
                  </w:r>
                </w:p>
              </w:tc>
              <w:tc>
                <w:tcPr>
                  <w:tcW w:w="860" w:type="pct"/>
                  <w:shd w:val="clear" w:color="auto" w:fill="auto"/>
                  <w:vAlign w:val="center"/>
                </w:tcPr>
                <w:p w14:paraId="0D6016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w:t>
                  </w:r>
                </w:p>
              </w:tc>
            </w:tr>
            <w:tr w14:paraId="5F72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6D7DFE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w:t>
                  </w:r>
                  <w:r>
                    <w:rPr>
                      <w:rFonts w:hint="eastAsia" w:cs="Times New Roman"/>
                      <w:color w:val="auto"/>
                      <w:sz w:val="21"/>
                      <w:szCs w:val="21"/>
                      <w:highlight w:val="none"/>
                      <w:lang w:val="en-US" w:eastAsia="zh-CN"/>
                    </w:rPr>
                    <w:t>3</w:t>
                  </w:r>
                </w:p>
              </w:tc>
              <w:tc>
                <w:tcPr>
                  <w:tcW w:w="643" w:type="pct"/>
                  <w:shd w:val="clear" w:color="auto" w:fill="auto"/>
                  <w:vAlign w:val="center"/>
                </w:tcPr>
                <w:p w14:paraId="0FC975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CR1129</w:t>
                  </w:r>
                </w:p>
                <w:p w14:paraId="342B44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CR1128 </w:t>
                  </w:r>
                </w:p>
                <w:p w14:paraId="2D66FC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CR1127 CR2142混合罐</w:t>
                  </w:r>
                </w:p>
              </w:tc>
              <w:tc>
                <w:tcPr>
                  <w:tcW w:w="1031" w:type="pct"/>
                  <w:shd w:val="clear" w:color="auto" w:fill="auto"/>
                  <w:vAlign w:val="center"/>
                </w:tcPr>
                <w:p w14:paraId="382A7F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V=30m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，DN4m×H2m(筒高)</w:t>
                  </w:r>
                </w:p>
                <w:p w14:paraId="3EE1FB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夹套介质:热水</w:t>
                  </w:r>
                </w:p>
              </w:tc>
              <w:tc>
                <w:tcPr>
                  <w:tcW w:w="564" w:type="pct"/>
                  <w:shd w:val="clear" w:color="auto" w:fill="auto"/>
                  <w:vAlign w:val="center"/>
                </w:tcPr>
                <w:p w14:paraId="7ED296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4CAC78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73AC8A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4</w:t>
                  </w:r>
                </w:p>
              </w:tc>
              <w:tc>
                <w:tcPr>
                  <w:tcW w:w="860" w:type="pct"/>
                  <w:shd w:val="clear" w:color="auto" w:fill="auto"/>
                  <w:vAlign w:val="center"/>
                </w:tcPr>
                <w:p w14:paraId="0A2482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4</w:t>
                  </w:r>
                </w:p>
              </w:tc>
            </w:tr>
            <w:tr w14:paraId="579E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29755E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14</w:t>
                  </w:r>
                </w:p>
              </w:tc>
              <w:tc>
                <w:tcPr>
                  <w:tcW w:w="643" w:type="pct"/>
                  <w:shd w:val="clear" w:color="auto" w:fill="auto"/>
                  <w:vAlign w:val="center"/>
                </w:tcPr>
                <w:p w14:paraId="3A18A9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PU1129 PU1128 PU1127 PU2142</w:t>
                  </w:r>
                </w:p>
                <w:p w14:paraId="54F597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输送泵</w:t>
                  </w:r>
                </w:p>
              </w:tc>
              <w:tc>
                <w:tcPr>
                  <w:tcW w:w="1031" w:type="pct"/>
                  <w:shd w:val="clear" w:color="auto" w:fill="auto"/>
                  <w:vAlign w:val="center"/>
                </w:tcPr>
                <w:p w14:paraId="0ED515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Q=10m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/h H=0.6MPa</w:t>
                  </w:r>
                </w:p>
              </w:tc>
              <w:tc>
                <w:tcPr>
                  <w:tcW w:w="564" w:type="pct"/>
                  <w:shd w:val="clear" w:color="auto" w:fill="auto"/>
                  <w:vAlign w:val="center"/>
                </w:tcPr>
                <w:p w14:paraId="3B4069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304</w:t>
                  </w:r>
                </w:p>
              </w:tc>
              <w:tc>
                <w:tcPr>
                  <w:tcW w:w="631" w:type="pct"/>
                  <w:vAlign w:val="center"/>
                </w:tcPr>
                <w:p w14:paraId="0BEB65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13" w:type="pct"/>
                  <w:shd w:val="clear" w:color="auto" w:fill="auto"/>
                  <w:vAlign w:val="center"/>
                </w:tcPr>
                <w:p w14:paraId="3AB65C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10</w:t>
                  </w:r>
                </w:p>
              </w:tc>
              <w:tc>
                <w:tcPr>
                  <w:tcW w:w="860" w:type="pct"/>
                  <w:shd w:val="clear" w:color="auto" w:fill="auto"/>
                  <w:vAlign w:val="center"/>
                </w:tcPr>
                <w:p w14:paraId="62E295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10</w:t>
                  </w:r>
                </w:p>
              </w:tc>
            </w:tr>
            <w:tr w14:paraId="0B36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6EB4E5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643" w:type="pct"/>
                  <w:shd w:val="clear" w:color="auto" w:fill="auto"/>
                  <w:vAlign w:val="center"/>
                </w:tcPr>
                <w:p w14:paraId="4EBAC3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造粒机</w:t>
                  </w:r>
                </w:p>
              </w:tc>
              <w:tc>
                <w:tcPr>
                  <w:tcW w:w="1031" w:type="pct"/>
                  <w:shd w:val="clear" w:color="auto" w:fill="auto"/>
                  <w:vAlign w:val="center"/>
                </w:tcPr>
                <w:p w14:paraId="2E5E17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2吨/小时</w:t>
                  </w:r>
                </w:p>
              </w:tc>
              <w:tc>
                <w:tcPr>
                  <w:tcW w:w="564" w:type="pct"/>
                  <w:shd w:val="clear" w:color="auto" w:fill="auto"/>
                  <w:vAlign w:val="center"/>
                </w:tcPr>
                <w:p w14:paraId="5F2FB5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204</w:t>
                  </w:r>
                </w:p>
              </w:tc>
              <w:tc>
                <w:tcPr>
                  <w:tcW w:w="631" w:type="pct"/>
                  <w:vAlign w:val="center"/>
                </w:tcPr>
                <w:p w14:paraId="3F3523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813" w:type="pct"/>
                  <w:shd w:val="clear" w:color="auto" w:fill="auto"/>
                  <w:vAlign w:val="center"/>
                </w:tcPr>
                <w:p w14:paraId="72546A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3</w:t>
                  </w:r>
                </w:p>
              </w:tc>
              <w:tc>
                <w:tcPr>
                  <w:tcW w:w="860" w:type="pct"/>
                  <w:vAlign w:val="center"/>
                </w:tcPr>
                <w:p w14:paraId="49DA06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r>
            <w:tr w14:paraId="00D1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6B83ED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16</w:t>
                  </w:r>
                </w:p>
              </w:tc>
              <w:tc>
                <w:tcPr>
                  <w:tcW w:w="643" w:type="pct"/>
                  <w:shd w:val="clear" w:color="auto" w:fill="auto"/>
                  <w:vAlign w:val="center"/>
                </w:tcPr>
                <w:p w14:paraId="762DC8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调和罐</w:t>
                  </w:r>
                </w:p>
              </w:tc>
              <w:tc>
                <w:tcPr>
                  <w:tcW w:w="1031" w:type="pct"/>
                  <w:shd w:val="clear" w:color="auto" w:fill="auto"/>
                  <w:vAlign w:val="center"/>
                </w:tcPr>
                <w:p w14:paraId="53BB07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1B4A6A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Cs w:val="21"/>
                      <w:highlight w:val="none"/>
                    </w:rPr>
                  </w:pPr>
                </w:p>
              </w:tc>
              <w:tc>
                <w:tcPr>
                  <w:tcW w:w="631" w:type="pct"/>
                  <w:shd w:val="clear" w:color="auto" w:fill="auto"/>
                  <w:vAlign w:val="center"/>
                </w:tcPr>
                <w:p w14:paraId="610DF6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c>
                <w:tcPr>
                  <w:tcW w:w="813" w:type="pct"/>
                  <w:vAlign w:val="center"/>
                </w:tcPr>
                <w:p w14:paraId="56B3C8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5B3C64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r>
            <w:tr w14:paraId="0F71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6E6DDD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17</w:t>
                  </w:r>
                </w:p>
              </w:tc>
              <w:tc>
                <w:tcPr>
                  <w:tcW w:w="643" w:type="pct"/>
                  <w:shd w:val="clear" w:color="auto" w:fill="auto"/>
                  <w:vAlign w:val="center"/>
                </w:tcPr>
                <w:p w14:paraId="6DDEA3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石蜡输送泵</w:t>
                  </w:r>
                </w:p>
              </w:tc>
              <w:tc>
                <w:tcPr>
                  <w:tcW w:w="1031" w:type="pct"/>
                  <w:shd w:val="clear" w:color="auto" w:fill="auto"/>
                  <w:vAlign w:val="center"/>
                </w:tcPr>
                <w:p w14:paraId="2B0F11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2DFB9C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Cs w:val="21"/>
                      <w:highlight w:val="none"/>
                    </w:rPr>
                  </w:pPr>
                </w:p>
              </w:tc>
              <w:tc>
                <w:tcPr>
                  <w:tcW w:w="631" w:type="pct"/>
                  <w:shd w:val="clear" w:color="auto" w:fill="auto"/>
                  <w:vAlign w:val="center"/>
                </w:tcPr>
                <w:p w14:paraId="129B04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c>
                <w:tcPr>
                  <w:tcW w:w="813" w:type="pct"/>
                  <w:shd w:val="clear" w:color="auto" w:fill="auto"/>
                  <w:vAlign w:val="center"/>
                </w:tcPr>
                <w:p w14:paraId="672442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60" w:type="pct"/>
                  <w:shd w:val="clear" w:color="auto" w:fill="auto"/>
                  <w:vAlign w:val="center"/>
                </w:tcPr>
                <w:p w14:paraId="22F81E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r>
            <w:tr w14:paraId="6F4F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1B07B1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18</w:t>
                  </w:r>
                </w:p>
              </w:tc>
              <w:tc>
                <w:tcPr>
                  <w:tcW w:w="643" w:type="pct"/>
                  <w:shd w:val="clear" w:color="auto" w:fill="auto"/>
                  <w:vAlign w:val="center"/>
                </w:tcPr>
                <w:p w14:paraId="5EE400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包装机</w:t>
                  </w:r>
                </w:p>
              </w:tc>
              <w:tc>
                <w:tcPr>
                  <w:tcW w:w="1031" w:type="pct"/>
                  <w:shd w:val="clear" w:color="auto" w:fill="auto"/>
                  <w:vAlign w:val="center"/>
                </w:tcPr>
                <w:p w14:paraId="44BD8C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18A10A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631" w:type="pct"/>
                  <w:shd w:val="clear" w:color="auto" w:fill="auto"/>
                  <w:vAlign w:val="center"/>
                </w:tcPr>
                <w:p w14:paraId="5ED7C7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813" w:type="pct"/>
                  <w:shd w:val="clear" w:color="auto" w:fill="auto"/>
                  <w:vAlign w:val="center"/>
                </w:tcPr>
                <w:p w14:paraId="005887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60" w:type="pct"/>
                  <w:shd w:val="clear" w:color="auto" w:fill="auto"/>
                  <w:vAlign w:val="center"/>
                </w:tcPr>
                <w:p w14:paraId="4972B4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r>
            <w:tr w14:paraId="39DB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7CB291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19</w:t>
                  </w:r>
                </w:p>
              </w:tc>
              <w:tc>
                <w:tcPr>
                  <w:tcW w:w="643" w:type="pct"/>
                  <w:shd w:val="clear" w:color="auto" w:fill="auto"/>
                  <w:vAlign w:val="center"/>
                </w:tcPr>
                <w:p w14:paraId="5FC18E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风机</w:t>
                  </w:r>
                </w:p>
              </w:tc>
              <w:tc>
                <w:tcPr>
                  <w:tcW w:w="1031" w:type="pct"/>
                  <w:shd w:val="clear" w:color="auto" w:fill="auto"/>
                  <w:vAlign w:val="center"/>
                </w:tcPr>
                <w:p w14:paraId="1FFD3D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4A4608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631" w:type="pct"/>
                  <w:shd w:val="clear" w:color="auto" w:fill="auto"/>
                  <w:vAlign w:val="center"/>
                </w:tcPr>
                <w:p w14:paraId="4501E9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c>
                <w:tcPr>
                  <w:tcW w:w="813" w:type="pct"/>
                  <w:shd w:val="clear" w:color="auto" w:fill="auto"/>
                  <w:vAlign w:val="center"/>
                </w:tcPr>
                <w:p w14:paraId="76FA17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60" w:type="pct"/>
                  <w:shd w:val="clear" w:color="auto" w:fill="auto"/>
                  <w:vAlign w:val="center"/>
                </w:tcPr>
                <w:p w14:paraId="6DADA6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r>
            <w:tr w14:paraId="62BD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1048EE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643" w:type="pct"/>
                  <w:shd w:val="clear" w:color="auto" w:fill="auto"/>
                  <w:vAlign w:val="center"/>
                </w:tcPr>
                <w:p w14:paraId="612CAA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提升机</w:t>
                  </w:r>
                </w:p>
              </w:tc>
              <w:tc>
                <w:tcPr>
                  <w:tcW w:w="1031" w:type="pct"/>
                  <w:shd w:val="clear" w:color="auto" w:fill="auto"/>
                  <w:vAlign w:val="center"/>
                </w:tcPr>
                <w:p w14:paraId="3FB6E0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1C4217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631" w:type="pct"/>
                  <w:shd w:val="clear" w:color="auto" w:fill="auto"/>
                  <w:vAlign w:val="center"/>
                </w:tcPr>
                <w:p w14:paraId="5914CD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c>
                <w:tcPr>
                  <w:tcW w:w="813" w:type="pct"/>
                  <w:shd w:val="clear" w:color="auto" w:fill="auto"/>
                  <w:vAlign w:val="center"/>
                </w:tcPr>
                <w:p w14:paraId="45955D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60" w:type="pct"/>
                  <w:shd w:val="clear" w:color="auto" w:fill="auto"/>
                  <w:vAlign w:val="center"/>
                </w:tcPr>
                <w:p w14:paraId="54BE61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r>
            <w:tr w14:paraId="20CC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vAlign w:val="center"/>
                </w:tcPr>
                <w:p w14:paraId="55C7B6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c>
                <w:tcPr>
                  <w:tcW w:w="643" w:type="pct"/>
                  <w:shd w:val="clear" w:color="auto" w:fill="auto"/>
                  <w:vAlign w:val="center"/>
                </w:tcPr>
                <w:p w14:paraId="70798F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过滤器</w:t>
                  </w:r>
                </w:p>
              </w:tc>
              <w:tc>
                <w:tcPr>
                  <w:tcW w:w="1031" w:type="pct"/>
                  <w:shd w:val="clear" w:color="auto" w:fill="auto"/>
                  <w:vAlign w:val="center"/>
                </w:tcPr>
                <w:p w14:paraId="5F3C55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146E20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631" w:type="pct"/>
                  <w:shd w:val="clear" w:color="auto" w:fill="auto"/>
                  <w:vAlign w:val="center"/>
                </w:tcPr>
                <w:p w14:paraId="3759A5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c>
                <w:tcPr>
                  <w:tcW w:w="813" w:type="pct"/>
                  <w:shd w:val="clear" w:color="auto" w:fill="auto"/>
                  <w:vAlign w:val="center"/>
                </w:tcPr>
                <w:p w14:paraId="22EB37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60" w:type="pct"/>
                  <w:shd w:val="clear" w:color="auto" w:fill="auto"/>
                  <w:vAlign w:val="center"/>
                </w:tcPr>
                <w:p w14:paraId="10BF1D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r>
            <w:tr w14:paraId="1E6C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000" w:type="pct"/>
                  <w:gridSpan w:val="7"/>
                  <w:vAlign w:val="center"/>
                </w:tcPr>
                <w:p w14:paraId="1599EF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二、包装蜡</w:t>
                  </w:r>
                </w:p>
              </w:tc>
            </w:tr>
            <w:tr w14:paraId="5B5C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34BEC0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643" w:type="pct"/>
                  <w:shd w:val="clear" w:color="auto" w:fill="auto"/>
                  <w:vAlign w:val="center"/>
                </w:tcPr>
                <w:p w14:paraId="161E0E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调和罐</w:t>
                  </w:r>
                </w:p>
              </w:tc>
              <w:tc>
                <w:tcPr>
                  <w:tcW w:w="1031" w:type="pct"/>
                  <w:shd w:val="clear" w:color="auto" w:fill="auto"/>
                  <w:vAlign w:val="center"/>
                </w:tcPr>
                <w:p w14:paraId="40E0C9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5957DD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auto"/>
                      <w:szCs w:val="21"/>
                      <w:highlight w:val="none"/>
                      <w:lang w:val="en-US" w:eastAsia="zh-CN"/>
                    </w:rPr>
                  </w:pPr>
                </w:p>
              </w:tc>
              <w:tc>
                <w:tcPr>
                  <w:tcW w:w="631" w:type="pct"/>
                  <w:shd w:val="clear" w:color="auto" w:fill="auto"/>
                  <w:vAlign w:val="center"/>
                </w:tcPr>
                <w:p w14:paraId="493133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8</w:t>
                  </w:r>
                </w:p>
              </w:tc>
              <w:tc>
                <w:tcPr>
                  <w:tcW w:w="813" w:type="pct"/>
                  <w:shd w:val="clear" w:color="auto" w:fill="auto"/>
                  <w:vAlign w:val="center"/>
                </w:tcPr>
                <w:p w14:paraId="454FF5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860" w:type="pct"/>
                  <w:shd w:val="clear" w:color="auto" w:fill="auto"/>
                  <w:vAlign w:val="center"/>
                </w:tcPr>
                <w:p w14:paraId="0C93B1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8</w:t>
                  </w:r>
                </w:p>
              </w:tc>
            </w:tr>
            <w:tr w14:paraId="5978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15A61C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c>
                <w:tcPr>
                  <w:tcW w:w="643" w:type="pct"/>
                  <w:shd w:val="clear" w:color="auto" w:fill="auto"/>
                  <w:vAlign w:val="center"/>
                </w:tcPr>
                <w:p w14:paraId="79C8C3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输送泵</w:t>
                  </w:r>
                </w:p>
              </w:tc>
              <w:tc>
                <w:tcPr>
                  <w:tcW w:w="1031" w:type="pct"/>
                  <w:shd w:val="clear" w:color="auto" w:fill="auto"/>
                  <w:vAlign w:val="center"/>
                </w:tcPr>
                <w:p w14:paraId="59245A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473FCC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auto"/>
                      <w:szCs w:val="21"/>
                      <w:highlight w:val="none"/>
                      <w:lang w:val="en-US" w:eastAsia="zh-CN"/>
                    </w:rPr>
                  </w:pPr>
                </w:p>
              </w:tc>
              <w:tc>
                <w:tcPr>
                  <w:tcW w:w="631" w:type="pct"/>
                  <w:shd w:val="clear" w:color="auto" w:fill="auto"/>
                  <w:vAlign w:val="center"/>
                </w:tcPr>
                <w:p w14:paraId="70E25E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w:t>
                  </w:r>
                </w:p>
              </w:tc>
              <w:tc>
                <w:tcPr>
                  <w:tcW w:w="813" w:type="pct"/>
                  <w:shd w:val="clear" w:color="auto" w:fill="auto"/>
                  <w:vAlign w:val="center"/>
                </w:tcPr>
                <w:p w14:paraId="5155E3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7BA031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w:t>
                  </w:r>
                </w:p>
              </w:tc>
            </w:tr>
            <w:tr w14:paraId="22CE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794585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3</w:t>
                  </w:r>
                </w:p>
              </w:tc>
              <w:tc>
                <w:tcPr>
                  <w:tcW w:w="643" w:type="pct"/>
                  <w:shd w:val="clear" w:color="auto" w:fill="auto"/>
                  <w:vAlign w:val="center"/>
                </w:tcPr>
                <w:p w14:paraId="0A81D1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成型机</w:t>
                  </w:r>
                </w:p>
              </w:tc>
              <w:tc>
                <w:tcPr>
                  <w:tcW w:w="1031" w:type="pct"/>
                  <w:shd w:val="clear" w:color="auto" w:fill="auto"/>
                  <w:vAlign w:val="center"/>
                </w:tcPr>
                <w:p w14:paraId="1A4DD3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0E285B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auto"/>
                      <w:szCs w:val="21"/>
                      <w:highlight w:val="none"/>
                      <w:lang w:val="en-US" w:eastAsia="zh-CN"/>
                    </w:rPr>
                  </w:pPr>
                </w:p>
              </w:tc>
              <w:tc>
                <w:tcPr>
                  <w:tcW w:w="631" w:type="pct"/>
                  <w:shd w:val="clear" w:color="auto" w:fill="auto"/>
                  <w:vAlign w:val="center"/>
                </w:tcPr>
                <w:p w14:paraId="3F3C64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3</w:t>
                  </w:r>
                </w:p>
              </w:tc>
              <w:tc>
                <w:tcPr>
                  <w:tcW w:w="813" w:type="pct"/>
                  <w:shd w:val="clear" w:color="auto" w:fill="auto"/>
                  <w:vAlign w:val="center"/>
                </w:tcPr>
                <w:p w14:paraId="2E1C86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74912D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3</w:t>
                  </w:r>
                </w:p>
              </w:tc>
            </w:tr>
            <w:tr w14:paraId="03D6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00C135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w:t>
                  </w:r>
                </w:p>
              </w:tc>
              <w:tc>
                <w:tcPr>
                  <w:tcW w:w="643" w:type="pct"/>
                  <w:shd w:val="clear" w:color="auto" w:fill="auto"/>
                  <w:vAlign w:val="center"/>
                </w:tcPr>
                <w:p w14:paraId="5BB89E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预冷器</w:t>
                  </w:r>
                </w:p>
              </w:tc>
              <w:tc>
                <w:tcPr>
                  <w:tcW w:w="1031" w:type="pct"/>
                  <w:shd w:val="clear" w:color="auto" w:fill="auto"/>
                  <w:vAlign w:val="center"/>
                </w:tcPr>
                <w:p w14:paraId="541668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21B66B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auto"/>
                      <w:szCs w:val="21"/>
                      <w:highlight w:val="none"/>
                      <w:lang w:val="en-US" w:eastAsia="zh-CN"/>
                    </w:rPr>
                  </w:pPr>
                </w:p>
              </w:tc>
              <w:tc>
                <w:tcPr>
                  <w:tcW w:w="631" w:type="pct"/>
                  <w:shd w:val="clear" w:color="auto" w:fill="auto"/>
                  <w:vAlign w:val="center"/>
                </w:tcPr>
                <w:p w14:paraId="63780C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c>
                <w:tcPr>
                  <w:tcW w:w="813" w:type="pct"/>
                  <w:shd w:val="clear" w:color="auto" w:fill="auto"/>
                  <w:vAlign w:val="center"/>
                </w:tcPr>
                <w:p w14:paraId="38D2A5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45B2BF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r>
            <w:tr w14:paraId="2D5D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0FF762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643" w:type="pct"/>
                  <w:shd w:val="clear" w:color="auto" w:fill="auto"/>
                  <w:vAlign w:val="center"/>
                </w:tcPr>
                <w:p w14:paraId="4A93DF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成型器</w:t>
                  </w:r>
                </w:p>
              </w:tc>
              <w:tc>
                <w:tcPr>
                  <w:tcW w:w="1031" w:type="pct"/>
                  <w:shd w:val="clear" w:color="auto" w:fill="auto"/>
                  <w:vAlign w:val="center"/>
                </w:tcPr>
                <w:p w14:paraId="333335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7D7931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auto"/>
                      <w:szCs w:val="21"/>
                      <w:highlight w:val="none"/>
                      <w:lang w:val="en-US" w:eastAsia="zh-CN"/>
                    </w:rPr>
                  </w:pPr>
                </w:p>
              </w:tc>
              <w:tc>
                <w:tcPr>
                  <w:tcW w:w="631" w:type="pct"/>
                  <w:shd w:val="clear" w:color="auto" w:fill="auto"/>
                  <w:vAlign w:val="center"/>
                </w:tcPr>
                <w:p w14:paraId="2AF721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c>
                <w:tcPr>
                  <w:tcW w:w="813" w:type="pct"/>
                  <w:shd w:val="clear" w:color="auto" w:fill="auto"/>
                  <w:vAlign w:val="center"/>
                </w:tcPr>
                <w:p w14:paraId="18D2BB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1412B7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r>
            <w:tr w14:paraId="033D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000" w:type="pct"/>
                  <w:gridSpan w:val="7"/>
                  <w:shd w:val="clear" w:color="auto" w:fill="auto"/>
                  <w:vAlign w:val="center"/>
                </w:tcPr>
                <w:p w14:paraId="1853ED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三、凡士林</w:t>
                  </w:r>
                </w:p>
              </w:tc>
            </w:tr>
            <w:tr w14:paraId="4B0D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1F1B52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643" w:type="pct"/>
                  <w:shd w:val="clear" w:color="auto" w:fill="auto"/>
                  <w:vAlign w:val="center"/>
                </w:tcPr>
                <w:p w14:paraId="3B8795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调和罐</w:t>
                  </w:r>
                </w:p>
              </w:tc>
              <w:tc>
                <w:tcPr>
                  <w:tcW w:w="1031" w:type="pct"/>
                  <w:shd w:val="clear" w:color="auto" w:fill="auto"/>
                  <w:vAlign w:val="center"/>
                </w:tcPr>
                <w:p w14:paraId="13A9D5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311511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Cs w:val="21"/>
                      <w:highlight w:val="none"/>
                    </w:rPr>
                  </w:pPr>
                </w:p>
              </w:tc>
              <w:tc>
                <w:tcPr>
                  <w:tcW w:w="631" w:type="pct"/>
                  <w:shd w:val="clear" w:color="auto" w:fill="auto"/>
                  <w:vAlign w:val="center"/>
                </w:tcPr>
                <w:p w14:paraId="1122AD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c>
                <w:tcPr>
                  <w:tcW w:w="813" w:type="pct"/>
                  <w:shd w:val="clear" w:color="auto" w:fill="auto"/>
                  <w:vAlign w:val="center"/>
                </w:tcPr>
                <w:p w14:paraId="2F62A2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1E3EA7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r>
            <w:tr w14:paraId="22F7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2EEAA2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c>
                <w:tcPr>
                  <w:tcW w:w="643" w:type="pct"/>
                  <w:shd w:val="clear" w:color="auto" w:fill="auto"/>
                  <w:vAlign w:val="center"/>
                </w:tcPr>
                <w:p w14:paraId="3B25B0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输送泵</w:t>
                  </w:r>
                </w:p>
              </w:tc>
              <w:tc>
                <w:tcPr>
                  <w:tcW w:w="1031" w:type="pct"/>
                  <w:shd w:val="clear" w:color="auto" w:fill="auto"/>
                  <w:vAlign w:val="center"/>
                </w:tcPr>
                <w:p w14:paraId="7DDCA5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3DC741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auto"/>
                      <w:szCs w:val="21"/>
                      <w:highlight w:val="none"/>
                      <w:lang w:val="en-US" w:eastAsia="zh-CN"/>
                    </w:rPr>
                  </w:pPr>
                </w:p>
              </w:tc>
              <w:tc>
                <w:tcPr>
                  <w:tcW w:w="631" w:type="pct"/>
                  <w:shd w:val="clear" w:color="auto" w:fill="auto"/>
                  <w:vAlign w:val="center"/>
                </w:tcPr>
                <w:p w14:paraId="26CA7D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c>
                <w:tcPr>
                  <w:tcW w:w="813" w:type="pct"/>
                  <w:shd w:val="clear" w:color="auto" w:fill="auto"/>
                  <w:vAlign w:val="center"/>
                </w:tcPr>
                <w:p w14:paraId="2D4763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31546D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r>
            <w:tr w14:paraId="0490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0CDB70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3</w:t>
                  </w:r>
                </w:p>
              </w:tc>
              <w:tc>
                <w:tcPr>
                  <w:tcW w:w="643" w:type="pct"/>
                  <w:shd w:val="clear" w:color="auto" w:fill="auto"/>
                  <w:vAlign w:val="center"/>
                </w:tcPr>
                <w:p w14:paraId="7F21AB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灌装系统</w:t>
                  </w:r>
                </w:p>
              </w:tc>
              <w:tc>
                <w:tcPr>
                  <w:tcW w:w="1031" w:type="pct"/>
                  <w:shd w:val="clear" w:color="auto" w:fill="auto"/>
                  <w:vAlign w:val="center"/>
                </w:tcPr>
                <w:p w14:paraId="2DF706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7F4F4F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Cs w:val="21"/>
                      <w:highlight w:val="none"/>
                    </w:rPr>
                  </w:pPr>
                </w:p>
              </w:tc>
              <w:tc>
                <w:tcPr>
                  <w:tcW w:w="631" w:type="pct"/>
                  <w:shd w:val="clear" w:color="auto" w:fill="auto"/>
                  <w:vAlign w:val="center"/>
                </w:tcPr>
                <w:p w14:paraId="4F7674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813" w:type="pct"/>
                  <w:shd w:val="clear" w:color="auto" w:fill="auto"/>
                  <w:vAlign w:val="center"/>
                </w:tcPr>
                <w:p w14:paraId="7080BB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4F5069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r>
            <w:tr w14:paraId="3408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4AE228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w:t>
                  </w:r>
                </w:p>
              </w:tc>
              <w:tc>
                <w:tcPr>
                  <w:tcW w:w="643" w:type="pct"/>
                  <w:shd w:val="clear" w:color="auto" w:fill="auto"/>
                  <w:vAlign w:val="center"/>
                </w:tcPr>
                <w:p w14:paraId="29DBFC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预冷器</w:t>
                  </w:r>
                </w:p>
              </w:tc>
              <w:tc>
                <w:tcPr>
                  <w:tcW w:w="1031" w:type="pct"/>
                  <w:shd w:val="clear" w:color="auto" w:fill="auto"/>
                  <w:vAlign w:val="center"/>
                </w:tcPr>
                <w:p w14:paraId="07BFB5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081652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auto"/>
                      <w:szCs w:val="21"/>
                      <w:highlight w:val="none"/>
                      <w:lang w:val="en-US" w:eastAsia="zh-CN"/>
                    </w:rPr>
                  </w:pPr>
                </w:p>
              </w:tc>
              <w:tc>
                <w:tcPr>
                  <w:tcW w:w="631" w:type="pct"/>
                  <w:shd w:val="clear" w:color="auto" w:fill="auto"/>
                  <w:vAlign w:val="center"/>
                </w:tcPr>
                <w:p w14:paraId="30EB97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w:t>
                  </w:r>
                </w:p>
              </w:tc>
              <w:tc>
                <w:tcPr>
                  <w:tcW w:w="813" w:type="pct"/>
                  <w:shd w:val="clear" w:color="auto" w:fill="auto"/>
                  <w:vAlign w:val="center"/>
                </w:tcPr>
                <w:p w14:paraId="7EF480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5EB9D6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w:t>
                  </w:r>
                </w:p>
              </w:tc>
            </w:tr>
            <w:tr w14:paraId="07826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53" w:type="pct"/>
                  <w:shd w:val="clear" w:color="auto" w:fill="auto"/>
                  <w:vAlign w:val="center"/>
                </w:tcPr>
                <w:p w14:paraId="2FCB88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643" w:type="pct"/>
                  <w:shd w:val="clear" w:color="auto" w:fill="auto"/>
                  <w:vAlign w:val="center"/>
                </w:tcPr>
                <w:p w14:paraId="3B4813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成型器</w:t>
                  </w:r>
                </w:p>
              </w:tc>
              <w:tc>
                <w:tcPr>
                  <w:tcW w:w="1031" w:type="pct"/>
                  <w:shd w:val="clear" w:color="auto" w:fill="auto"/>
                  <w:vAlign w:val="center"/>
                </w:tcPr>
                <w:p w14:paraId="621855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564" w:type="pct"/>
                  <w:shd w:val="clear" w:color="auto" w:fill="auto"/>
                  <w:vAlign w:val="center"/>
                </w:tcPr>
                <w:p w14:paraId="2D750D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auto"/>
                      <w:szCs w:val="21"/>
                      <w:highlight w:val="none"/>
                      <w:lang w:val="en-US" w:eastAsia="zh-CN"/>
                    </w:rPr>
                  </w:pPr>
                </w:p>
              </w:tc>
              <w:tc>
                <w:tcPr>
                  <w:tcW w:w="631" w:type="pct"/>
                  <w:shd w:val="clear" w:color="auto" w:fill="auto"/>
                  <w:vAlign w:val="center"/>
                </w:tcPr>
                <w:p w14:paraId="074517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w:t>
                  </w:r>
                </w:p>
              </w:tc>
              <w:tc>
                <w:tcPr>
                  <w:tcW w:w="813" w:type="pct"/>
                  <w:shd w:val="clear" w:color="auto" w:fill="auto"/>
                  <w:vAlign w:val="center"/>
                </w:tcPr>
                <w:p w14:paraId="351836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60" w:type="pct"/>
                  <w:shd w:val="clear" w:color="auto" w:fill="auto"/>
                  <w:vAlign w:val="center"/>
                </w:tcPr>
                <w:p w14:paraId="349E4F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w:t>
                  </w:r>
                </w:p>
              </w:tc>
            </w:tr>
          </w:tbl>
          <w:p w14:paraId="484EBA3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5DF398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6、公用工程</w:t>
            </w:r>
          </w:p>
          <w:p w14:paraId="06E10CD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（1）给水</w:t>
            </w:r>
          </w:p>
          <w:p w14:paraId="44D9449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eastAsia="宋体"/>
                <w:color w:val="auto"/>
                <w:sz w:val="24"/>
                <w:highlight w:val="none"/>
                <w:lang w:val="en-US" w:eastAsia="zh-CN"/>
              </w:rPr>
            </w:pPr>
            <w:r>
              <w:rPr>
                <w:rFonts w:hint="eastAsia"/>
                <w:color w:val="auto"/>
                <w:sz w:val="24"/>
                <w:highlight w:val="none"/>
                <w:lang w:val="en-US" w:eastAsia="zh-CN"/>
              </w:rPr>
              <w:t>本项目原料精细预处理无需新鲜水；本项目不新增劳动定员，不新增生活用水，因此本项目无需新鲜水。</w:t>
            </w:r>
          </w:p>
          <w:p w14:paraId="11C95C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（2）排水</w:t>
            </w:r>
          </w:p>
          <w:p w14:paraId="69D708D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本项目需新增蒸汽4410t/a，损失量取10%，则蒸汽冷凝水产生量约3970m</w:t>
            </w:r>
            <w:r>
              <w:rPr>
                <w:rFonts w:hint="eastAsia"/>
                <w:color w:val="auto"/>
                <w:sz w:val="24"/>
                <w:highlight w:val="none"/>
                <w:vertAlign w:val="superscript"/>
                <w:lang w:val="en-US" w:eastAsia="zh-CN"/>
              </w:rPr>
              <w:t>3</w:t>
            </w:r>
            <w:r>
              <w:rPr>
                <w:rFonts w:hint="eastAsia"/>
                <w:color w:val="auto"/>
                <w:sz w:val="24"/>
                <w:highlight w:val="none"/>
                <w:lang w:val="en-US" w:eastAsia="zh-CN"/>
              </w:rPr>
              <w:t>/a（约0.99m</w:t>
            </w:r>
            <w:r>
              <w:rPr>
                <w:rFonts w:hint="eastAsia"/>
                <w:color w:val="auto"/>
                <w:sz w:val="24"/>
                <w:highlight w:val="none"/>
                <w:vertAlign w:val="superscript"/>
                <w:lang w:val="en-US" w:eastAsia="zh-CN"/>
              </w:rPr>
              <w:t>3</w:t>
            </w:r>
            <w:r>
              <w:rPr>
                <w:rFonts w:hint="eastAsia"/>
                <w:color w:val="auto"/>
                <w:sz w:val="24"/>
                <w:highlight w:val="none"/>
                <w:lang w:val="en-US" w:eastAsia="zh-CN"/>
              </w:rPr>
              <w:t>/h），回用于地面冲洗，地面冲洗废水产生量约0.792m</w:t>
            </w:r>
            <w:r>
              <w:rPr>
                <w:rFonts w:hint="eastAsia"/>
                <w:color w:val="auto"/>
                <w:sz w:val="24"/>
                <w:highlight w:val="none"/>
                <w:vertAlign w:val="superscript"/>
                <w:lang w:val="en-US" w:eastAsia="zh-CN"/>
              </w:rPr>
              <w:t>3</w:t>
            </w:r>
            <w:r>
              <w:rPr>
                <w:rFonts w:hint="eastAsia"/>
                <w:color w:val="auto"/>
                <w:sz w:val="24"/>
                <w:highlight w:val="none"/>
                <w:lang w:val="en-US" w:eastAsia="zh-CN"/>
              </w:rPr>
              <w:t>/h（类比同类项目，COD 约300mg/L、SS 约1000mg/L）经污水总排口进入园区污水管网，送东泽污水处理厂处理。</w:t>
            </w:r>
          </w:p>
          <w:p w14:paraId="34F066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）供电</w:t>
            </w:r>
          </w:p>
          <w:p w14:paraId="19CA89F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本项目用电由市政电网供电，年用电量为20万kW·h/a。</w:t>
            </w:r>
          </w:p>
          <w:p w14:paraId="7536B7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eastAsia="宋体"/>
                <w:color w:val="auto"/>
                <w:sz w:val="24"/>
                <w:highlight w:val="none"/>
                <w:lang w:eastAsia="zh-CN"/>
              </w:rPr>
            </w:pPr>
            <w:r>
              <w:rPr>
                <w:rFonts w:hint="eastAsia"/>
                <w:color w:val="auto"/>
                <w:sz w:val="24"/>
                <w:highlight w:val="none"/>
              </w:rPr>
              <w:t>（</w:t>
            </w:r>
            <w:r>
              <w:rPr>
                <w:rFonts w:hint="eastAsia"/>
                <w:color w:val="auto"/>
                <w:sz w:val="24"/>
                <w:highlight w:val="none"/>
                <w:lang w:val="en-US" w:eastAsia="zh-CN"/>
              </w:rPr>
              <w:t>4</w:t>
            </w:r>
            <w:r>
              <w:rPr>
                <w:rFonts w:hint="eastAsia"/>
                <w:color w:val="auto"/>
                <w:sz w:val="24"/>
                <w:highlight w:val="none"/>
              </w:rPr>
              <w:t>）</w:t>
            </w:r>
            <w:r>
              <w:rPr>
                <w:rFonts w:hint="eastAsia"/>
                <w:color w:val="auto"/>
                <w:sz w:val="24"/>
                <w:highlight w:val="none"/>
                <w:lang w:val="en-US" w:eastAsia="zh-CN"/>
              </w:rPr>
              <w:t>供暖</w:t>
            </w:r>
          </w:p>
          <w:p w14:paraId="3EBF4C8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eastAsia="宋体"/>
                <w:color w:val="auto"/>
                <w:sz w:val="24"/>
                <w:highlight w:val="none"/>
                <w:lang w:val="en-US" w:eastAsia="zh-CN"/>
              </w:rPr>
            </w:pPr>
            <w:r>
              <w:rPr>
                <w:rFonts w:hint="eastAsia"/>
                <w:color w:val="auto"/>
                <w:sz w:val="24"/>
                <w:highlight w:val="none"/>
              </w:rPr>
              <w:t>本项目</w:t>
            </w:r>
            <w:r>
              <w:rPr>
                <w:rFonts w:hint="eastAsia"/>
                <w:color w:val="auto"/>
                <w:sz w:val="24"/>
                <w:highlight w:val="none"/>
                <w:lang w:val="en-US" w:eastAsia="zh-CN"/>
              </w:rPr>
              <w:t>新建的原材料储存雨棚、中转罐及造粒机均不涉及供暖。</w:t>
            </w:r>
          </w:p>
          <w:p w14:paraId="1F709BC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eastAsia="宋体"/>
                <w:color w:val="auto"/>
                <w:sz w:val="24"/>
                <w:highlight w:val="none"/>
                <w:lang w:val="en-US" w:eastAsia="zh-CN"/>
              </w:rPr>
            </w:pPr>
            <w:r>
              <w:rPr>
                <w:rFonts w:hint="eastAsia"/>
                <w:color w:val="auto"/>
                <w:sz w:val="24"/>
                <w:highlight w:val="none"/>
                <w:lang w:eastAsia="zh-CN"/>
              </w:rPr>
              <w:t>（</w:t>
            </w:r>
            <w:r>
              <w:rPr>
                <w:rFonts w:hint="eastAsia"/>
                <w:color w:val="auto"/>
                <w:sz w:val="24"/>
                <w:highlight w:val="none"/>
                <w:lang w:val="en-US" w:eastAsia="zh-CN"/>
              </w:rPr>
              <w:t>5</w:t>
            </w:r>
            <w:r>
              <w:rPr>
                <w:rFonts w:hint="eastAsia"/>
                <w:color w:val="auto"/>
                <w:sz w:val="24"/>
                <w:highlight w:val="none"/>
                <w:lang w:eastAsia="zh-CN"/>
              </w:rPr>
              <w:t>）</w:t>
            </w:r>
            <w:r>
              <w:rPr>
                <w:rFonts w:hint="eastAsia"/>
                <w:color w:val="auto"/>
                <w:sz w:val="24"/>
                <w:highlight w:val="none"/>
                <w:lang w:val="en-US" w:eastAsia="zh-CN"/>
              </w:rPr>
              <w:t>供蒸汽</w:t>
            </w:r>
          </w:p>
          <w:p w14:paraId="2FDD85C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原料固体石油蜡熔化工序热源——蒸汽由抚顺石化热电厂供给，新增供蒸汽量约4410t/a（1.1t/h）</w:t>
            </w:r>
            <w:r>
              <w:rPr>
                <w:rFonts w:hint="eastAsia"/>
                <w:color w:val="auto"/>
                <w:sz w:val="24"/>
                <w:highlight w:val="none"/>
              </w:rPr>
              <w:t>。</w:t>
            </w:r>
            <w:r>
              <w:rPr>
                <w:rFonts w:hint="eastAsia"/>
                <w:color w:val="auto"/>
                <w:sz w:val="24"/>
                <w:highlight w:val="none"/>
                <w:lang w:val="en-US" w:eastAsia="zh-CN"/>
              </w:rPr>
              <w:t>抚顺石化热电厂蒸汽富余量为837t/h，能够满足本项目使用需求。</w:t>
            </w:r>
          </w:p>
          <w:p w14:paraId="5A0EB9D8">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p>
          <w:p w14:paraId="19BDFC37">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p>
          <w:p w14:paraId="7CE4724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p>
          <w:p w14:paraId="29C9DB5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p>
          <w:p w14:paraId="1BB2D02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firstLine="480" w:firstLineChars="200"/>
              <w:jc w:val="center"/>
              <w:textAlignment w:val="auto"/>
              <w:rPr>
                <w:color w:val="auto"/>
                <w:sz w:val="24"/>
                <w:highlight w:val="none"/>
              </w:rPr>
            </w:pPr>
            <w:r>
              <w:rPr>
                <w:color w:val="auto"/>
                <w:sz w:val="24"/>
                <w:highlight w:val="none"/>
              </w:rPr>
              <w:t>表2-</w:t>
            </w:r>
            <w:r>
              <w:rPr>
                <w:rFonts w:hint="eastAsia"/>
                <w:color w:val="auto"/>
                <w:sz w:val="24"/>
                <w:highlight w:val="none"/>
                <w:lang w:val="en-US" w:eastAsia="zh-CN"/>
              </w:rPr>
              <w:t>10</w:t>
            </w:r>
            <w:r>
              <w:rPr>
                <w:color w:val="auto"/>
                <w:sz w:val="24"/>
                <w:highlight w:val="none"/>
              </w:rPr>
              <w:t xml:space="preserve">  </w:t>
            </w:r>
            <w:r>
              <w:rPr>
                <w:rFonts w:hint="eastAsia"/>
                <w:color w:val="auto"/>
                <w:sz w:val="24"/>
                <w:highlight w:val="none"/>
                <w:lang w:val="en-US" w:eastAsia="zh-CN"/>
              </w:rPr>
              <w:t>公用工程变化情况</w:t>
            </w:r>
            <w:r>
              <w:rPr>
                <w:rFonts w:hint="eastAsia"/>
                <w:color w:val="auto"/>
                <w:sz w:val="24"/>
                <w:highlight w:val="none"/>
              </w:rPr>
              <w:t>表</w:t>
            </w:r>
          </w:p>
          <w:tbl>
            <w:tblPr>
              <w:tblStyle w:val="27"/>
              <w:tblW w:w="498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69"/>
              <w:gridCol w:w="929"/>
              <w:gridCol w:w="2053"/>
              <w:gridCol w:w="2053"/>
              <w:gridCol w:w="2055"/>
            </w:tblGrid>
            <w:tr w14:paraId="7B132A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2" w:hRule="atLeast"/>
              </w:trPr>
              <w:tc>
                <w:tcPr>
                  <w:tcW w:w="489" w:type="pct"/>
                  <w:vMerge w:val="restart"/>
                  <w:vAlign w:val="center"/>
                </w:tcPr>
                <w:p w14:paraId="26CE7A97">
                  <w:pPr>
                    <w:keepNext w:val="0"/>
                    <w:keepLines w:val="0"/>
                    <w:suppressLineNumbers w:val="0"/>
                    <w:autoSpaceDE w:val="0"/>
                    <w:autoSpaceDN w:val="0"/>
                    <w:adjustRightInd w:val="0"/>
                    <w:spacing w:before="0" w:beforeAutospacing="0" w:after="0" w:afterAutospacing="0"/>
                    <w:ind w:left="0" w:right="0"/>
                    <w:jc w:val="center"/>
                    <w:rPr>
                      <w:color w:val="auto"/>
                      <w:szCs w:val="21"/>
                      <w:highlight w:val="none"/>
                    </w:rPr>
                  </w:pPr>
                  <w:r>
                    <w:rPr>
                      <w:rFonts w:hint="eastAsia"/>
                      <w:color w:val="auto"/>
                      <w:szCs w:val="21"/>
                      <w:highlight w:val="none"/>
                    </w:rPr>
                    <w:t>序号</w:t>
                  </w:r>
                </w:p>
              </w:tc>
              <w:tc>
                <w:tcPr>
                  <w:tcW w:w="591" w:type="pct"/>
                  <w:vMerge w:val="restart"/>
                  <w:vAlign w:val="center"/>
                </w:tcPr>
                <w:p w14:paraId="437DC9AC">
                  <w:pPr>
                    <w:keepNext w:val="0"/>
                    <w:keepLines w:val="0"/>
                    <w:suppressLineNumbers w:val="0"/>
                    <w:autoSpaceDE w:val="0"/>
                    <w:autoSpaceDN w:val="0"/>
                    <w:adjustRightInd w:val="0"/>
                    <w:spacing w:before="0" w:beforeAutospacing="0" w:after="0" w:afterAutospacing="0"/>
                    <w:ind w:left="0" w:right="0"/>
                    <w:jc w:val="center"/>
                    <w:rPr>
                      <w:color w:val="auto"/>
                      <w:szCs w:val="21"/>
                      <w:highlight w:val="none"/>
                    </w:rPr>
                  </w:pPr>
                  <w:r>
                    <w:rPr>
                      <w:rFonts w:hint="eastAsia"/>
                      <w:color w:val="auto"/>
                      <w:szCs w:val="21"/>
                      <w:highlight w:val="none"/>
                    </w:rPr>
                    <w:t>名称</w:t>
                  </w:r>
                </w:p>
              </w:tc>
              <w:tc>
                <w:tcPr>
                  <w:tcW w:w="3919" w:type="pct"/>
                  <w:gridSpan w:val="3"/>
                  <w:vAlign w:val="center"/>
                </w:tcPr>
                <w:p w14:paraId="072C5194">
                  <w:pPr>
                    <w:keepNext w:val="0"/>
                    <w:keepLines w:val="0"/>
                    <w:suppressLineNumbers w:val="0"/>
                    <w:autoSpaceDE w:val="0"/>
                    <w:autoSpaceDN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来源</w:t>
                  </w:r>
                </w:p>
              </w:tc>
            </w:tr>
            <w:tr w14:paraId="5CCB3A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89" w:type="pct"/>
                  <w:vMerge w:val="continue"/>
                  <w:vAlign w:val="center"/>
                </w:tcPr>
                <w:p w14:paraId="7F99E1FD">
                  <w:pPr>
                    <w:keepNext w:val="0"/>
                    <w:keepLines w:val="0"/>
                    <w:suppressLineNumbers w:val="0"/>
                    <w:autoSpaceDE w:val="0"/>
                    <w:autoSpaceDN w:val="0"/>
                    <w:adjustRightInd w:val="0"/>
                    <w:spacing w:before="0" w:beforeAutospacing="0" w:after="0" w:afterAutospacing="0"/>
                    <w:ind w:left="0" w:right="0"/>
                    <w:jc w:val="center"/>
                    <w:rPr>
                      <w:rFonts w:hint="eastAsia"/>
                      <w:color w:val="auto"/>
                      <w:szCs w:val="21"/>
                      <w:highlight w:val="none"/>
                    </w:rPr>
                  </w:pPr>
                </w:p>
              </w:tc>
              <w:tc>
                <w:tcPr>
                  <w:tcW w:w="591" w:type="pct"/>
                  <w:vMerge w:val="continue"/>
                  <w:vAlign w:val="center"/>
                </w:tcPr>
                <w:p w14:paraId="0E5D6326">
                  <w:pPr>
                    <w:keepNext w:val="0"/>
                    <w:keepLines w:val="0"/>
                    <w:suppressLineNumbers w:val="0"/>
                    <w:autoSpaceDE w:val="0"/>
                    <w:autoSpaceDN w:val="0"/>
                    <w:adjustRightInd w:val="0"/>
                    <w:spacing w:before="0" w:beforeAutospacing="0" w:after="0" w:afterAutospacing="0"/>
                    <w:ind w:left="0" w:right="0"/>
                    <w:jc w:val="center"/>
                    <w:rPr>
                      <w:rFonts w:hint="eastAsia"/>
                      <w:color w:val="auto"/>
                      <w:szCs w:val="21"/>
                      <w:highlight w:val="none"/>
                    </w:rPr>
                  </w:pPr>
                </w:p>
              </w:tc>
              <w:tc>
                <w:tcPr>
                  <w:tcW w:w="1306" w:type="pct"/>
                  <w:vAlign w:val="center"/>
                </w:tcPr>
                <w:p w14:paraId="33B7BF02">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现有项目</w:t>
                  </w:r>
                </w:p>
              </w:tc>
              <w:tc>
                <w:tcPr>
                  <w:tcW w:w="1306" w:type="pct"/>
                  <w:vAlign w:val="center"/>
                </w:tcPr>
                <w:p w14:paraId="39F844CE">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本项目</w:t>
                  </w:r>
                </w:p>
              </w:tc>
              <w:tc>
                <w:tcPr>
                  <w:tcW w:w="1306" w:type="pct"/>
                  <w:vAlign w:val="center"/>
                </w:tcPr>
                <w:p w14:paraId="3A620CBD">
                  <w:pPr>
                    <w:keepNext w:val="0"/>
                    <w:keepLines w:val="0"/>
                    <w:suppressLineNumbers w:val="0"/>
                    <w:autoSpaceDE w:val="0"/>
                    <w:autoSpaceDN w:val="0"/>
                    <w:adjustRightInd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本项目实施后全厂</w:t>
                  </w:r>
                </w:p>
              </w:tc>
            </w:tr>
            <w:tr w14:paraId="2C5217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89" w:type="pct"/>
                  <w:vAlign w:val="center"/>
                </w:tcPr>
                <w:p w14:paraId="6C1F58A7">
                  <w:pPr>
                    <w:keepNext w:val="0"/>
                    <w:keepLines w:val="0"/>
                    <w:suppressLineNumbers w:val="0"/>
                    <w:autoSpaceDE w:val="0"/>
                    <w:autoSpaceDN w:val="0"/>
                    <w:adjustRightInd w:val="0"/>
                    <w:spacing w:before="0" w:beforeAutospacing="0" w:after="0" w:afterAutospacing="0"/>
                    <w:ind w:left="0" w:right="0"/>
                    <w:jc w:val="center"/>
                    <w:rPr>
                      <w:color w:val="auto"/>
                      <w:szCs w:val="21"/>
                      <w:highlight w:val="none"/>
                    </w:rPr>
                  </w:pPr>
                  <w:r>
                    <w:rPr>
                      <w:rFonts w:hint="eastAsia"/>
                      <w:color w:val="auto"/>
                      <w:szCs w:val="21"/>
                      <w:highlight w:val="none"/>
                    </w:rPr>
                    <w:t>1</w:t>
                  </w:r>
                </w:p>
              </w:tc>
              <w:tc>
                <w:tcPr>
                  <w:tcW w:w="591" w:type="pct"/>
                  <w:shd w:val="clear" w:color="auto" w:fill="auto"/>
                  <w:vAlign w:val="center"/>
                </w:tcPr>
                <w:p w14:paraId="531B7CF4">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给水</w:t>
                  </w:r>
                </w:p>
              </w:tc>
              <w:tc>
                <w:tcPr>
                  <w:tcW w:w="1306" w:type="pct"/>
                  <w:shd w:val="clear" w:color="auto" w:fill="auto"/>
                  <w:vAlign w:val="center"/>
                </w:tcPr>
                <w:p w14:paraId="54657C6C">
                  <w:pPr>
                    <w:keepNext w:val="0"/>
                    <w:keepLines w:val="0"/>
                    <w:suppressLineNumbers w:val="0"/>
                    <w:autoSpaceDE w:val="0"/>
                    <w:autoSpaceDN w:val="0"/>
                    <w:adjustRightIn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生产、生活总用水量为</w:t>
                  </w:r>
                  <w:r>
                    <w:rPr>
                      <w:rFonts w:hint="eastAsia" w:cs="Times New Roman"/>
                      <w:color w:val="auto"/>
                      <w:kern w:val="2"/>
                      <w:sz w:val="21"/>
                      <w:szCs w:val="21"/>
                      <w:highlight w:val="none"/>
                      <w:lang w:val="en-US" w:eastAsia="zh-CN" w:bidi="ar-SA"/>
                    </w:rPr>
                    <w:t>2.6</w:t>
                  </w:r>
                  <w:r>
                    <w:rPr>
                      <w:rFonts w:hint="eastAsia" w:ascii="Times New Roman" w:hAnsi="Times New Roman" w:eastAsia="宋体" w:cs="Times New Roman"/>
                      <w:color w:val="auto"/>
                      <w:kern w:val="2"/>
                      <w:sz w:val="21"/>
                      <w:szCs w:val="21"/>
                      <w:highlight w:val="none"/>
                      <w:lang w:val="en-US" w:eastAsia="zh-CN" w:bidi="ar-SA"/>
                    </w:rPr>
                    <w:t>t/h</w:t>
                  </w:r>
                  <w:r>
                    <w:rPr>
                      <w:rFonts w:hint="eastAsia" w:cs="Times New Roman"/>
                      <w:color w:val="auto"/>
                      <w:kern w:val="2"/>
                      <w:sz w:val="21"/>
                      <w:szCs w:val="21"/>
                      <w:highlight w:val="none"/>
                      <w:lang w:val="en-US" w:eastAsia="zh-CN" w:bidi="ar-SA"/>
                    </w:rPr>
                    <w:t>，来 自抚顺高新技术产业开发区供水管线</w:t>
                  </w:r>
                </w:p>
              </w:tc>
              <w:tc>
                <w:tcPr>
                  <w:tcW w:w="1306" w:type="pct"/>
                  <w:shd w:val="clear" w:color="auto" w:fill="auto"/>
                  <w:vAlign w:val="center"/>
                </w:tcPr>
                <w:p w14:paraId="38D89B44">
                  <w:pPr>
                    <w:keepNext w:val="0"/>
                    <w:keepLines w:val="0"/>
                    <w:suppressLineNumbers w:val="0"/>
                    <w:autoSpaceDE w:val="0"/>
                    <w:autoSpaceDN w:val="0"/>
                    <w:adjustRightIn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本项目无需新鲜水</w:t>
                  </w:r>
                </w:p>
              </w:tc>
              <w:tc>
                <w:tcPr>
                  <w:tcW w:w="1306" w:type="pct"/>
                  <w:shd w:val="clear" w:color="auto" w:fill="auto"/>
                  <w:vAlign w:val="center"/>
                </w:tcPr>
                <w:p w14:paraId="5A389692">
                  <w:pPr>
                    <w:keepNext w:val="0"/>
                    <w:keepLines w:val="0"/>
                    <w:suppressLineNumbers w:val="0"/>
                    <w:autoSpaceDE w:val="0"/>
                    <w:autoSpaceDN w:val="0"/>
                    <w:adjustRightInd w:val="0"/>
                    <w:spacing w:before="0" w:beforeAutospacing="0" w:after="0" w:afterAutospacing="0"/>
                    <w:ind w:left="0" w:right="0"/>
                    <w:jc w:val="center"/>
                    <w:rPr>
                      <w:rFonts w:hint="eastAsia"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生产、生活总用水量为</w:t>
                  </w:r>
                  <w:r>
                    <w:rPr>
                      <w:rFonts w:hint="eastAsia" w:cs="Times New Roman"/>
                      <w:color w:val="auto"/>
                      <w:kern w:val="2"/>
                      <w:sz w:val="21"/>
                      <w:szCs w:val="21"/>
                      <w:highlight w:val="none"/>
                      <w:lang w:val="en-US" w:eastAsia="zh-CN" w:bidi="ar-SA"/>
                    </w:rPr>
                    <w:t>2.6</w:t>
                  </w:r>
                  <w:r>
                    <w:rPr>
                      <w:rFonts w:hint="eastAsia" w:ascii="Times New Roman" w:hAnsi="Times New Roman" w:eastAsia="宋体" w:cs="Times New Roman"/>
                      <w:color w:val="auto"/>
                      <w:kern w:val="2"/>
                      <w:sz w:val="21"/>
                      <w:szCs w:val="21"/>
                      <w:highlight w:val="none"/>
                      <w:lang w:val="en-US" w:eastAsia="zh-CN" w:bidi="ar-SA"/>
                    </w:rPr>
                    <w:t>t/h</w:t>
                  </w:r>
                  <w:r>
                    <w:rPr>
                      <w:rFonts w:hint="eastAsia" w:cs="Times New Roman"/>
                      <w:color w:val="auto"/>
                      <w:kern w:val="2"/>
                      <w:sz w:val="21"/>
                      <w:szCs w:val="21"/>
                      <w:highlight w:val="none"/>
                      <w:lang w:val="en-US" w:eastAsia="zh-CN" w:bidi="ar-SA"/>
                    </w:rPr>
                    <w:t>，来 自抚顺高新技术产业开发区供水管线</w:t>
                  </w:r>
                </w:p>
              </w:tc>
            </w:tr>
            <w:tr w14:paraId="443F5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89" w:type="pct"/>
                  <w:vAlign w:val="center"/>
                </w:tcPr>
                <w:p w14:paraId="7E01A0D2">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c>
                <w:tcPr>
                  <w:tcW w:w="591" w:type="pct"/>
                  <w:shd w:val="clear" w:color="auto" w:fill="auto"/>
                  <w:vAlign w:val="center"/>
                </w:tcPr>
                <w:p w14:paraId="38E0F17E">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排水</w:t>
                  </w:r>
                </w:p>
              </w:tc>
              <w:tc>
                <w:tcPr>
                  <w:tcW w:w="1306" w:type="pct"/>
                  <w:shd w:val="clear" w:color="auto" w:fill="auto"/>
                  <w:vAlign w:val="center"/>
                </w:tcPr>
                <w:p w14:paraId="2319837E">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生产废水及生活污水经污水管网排入东泽污水处理厂</w:t>
                  </w:r>
                </w:p>
              </w:tc>
              <w:tc>
                <w:tcPr>
                  <w:tcW w:w="1306" w:type="pct"/>
                  <w:shd w:val="clear" w:color="auto" w:fill="auto"/>
                  <w:vAlign w:val="center"/>
                </w:tcPr>
                <w:p w14:paraId="23F0BF0F">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蒸汽冷凝水回用</w:t>
                  </w:r>
                </w:p>
              </w:tc>
              <w:tc>
                <w:tcPr>
                  <w:tcW w:w="1306" w:type="pct"/>
                  <w:shd w:val="clear" w:color="auto" w:fill="auto"/>
                  <w:vAlign w:val="center"/>
                </w:tcPr>
                <w:p w14:paraId="36B7F726">
                  <w:pPr>
                    <w:keepNext w:val="0"/>
                    <w:keepLines w:val="0"/>
                    <w:suppressLineNumbers w:val="0"/>
                    <w:autoSpaceDE w:val="0"/>
                    <w:autoSpaceDN w:val="0"/>
                    <w:adjustRightInd w:val="0"/>
                    <w:spacing w:before="0" w:beforeAutospacing="0" w:after="0" w:afterAutospacing="0"/>
                    <w:ind w:left="0" w:right="0"/>
                    <w:jc w:val="center"/>
                    <w:rPr>
                      <w:rFonts w:hint="eastAsia"/>
                      <w:color w:val="auto"/>
                      <w:szCs w:val="21"/>
                      <w:highlight w:val="none"/>
                      <w:lang w:val="en-US" w:eastAsia="zh-CN"/>
                    </w:rPr>
                  </w:pPr>
                  <w:r>
                    <w:rPr>
                      <w:rFonts w:hint="eastAsia"/>
                      <w:color w:val="auto"/>
                      <w:szCs w:val="21"/>
                      <w:highlight w:val="none"/>
                      <w:lang w:val="en-US" w:eastAsia="zh-CN"/>
                    </w:rPr>
                    <w:t>生产废水及生活污水经污水管网排入东泽污水处理</w:t>
                  </w:r>
                </w:p>
              </w:tc>
            </w:tr>
            <w:tr w14:paraId="7D1FC9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89" w:type="pct"/>
                  <w:vAlign w:val="center"/>
                </w:tcPr>
                <w:p w14:paraId="5F327771">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3</w:t>
                  </w:r>
                </w:p>
              </w:tc>
              <w:tc>
                <w:tcPr>
                  <w:tcW w:w="591" w:type="pct"/>
                  <w:shd w:val="clear" w:color="auto" w:fill="auto"/>
                  <w:vAlign w:val="center"/>
                </w:tcPr>
                <w:p w14:paraId="4E3478E9">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供电</w:t>
                  </w:r>
                </w:p>
              </w:tc>
              <w:tc>
                <w:tcPr>
                  <w:tcW w:w="1306" w:type="pct"/>
                  <w:shd w:val="clear" w:color="auto" w:fill="auto"/>
                  <w:vAlign w:val="center"/>
                </w:tcPr>
                <w:p w14:paraId="4C6F97B2">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市政电网供电</w:t>
                  </w:r>
                </w:p>
              </w:tc>
              <w:tc>
                <w:tcPr>
                  <w:tcW w:w="1306" w:type="pct"/>
                  <w:shd w:val="clear" w:color="auto" w:fill="auto"/>
                  <w:vAlign w:val="center"/>
                </w:tcPr>
                <w:p w14:paraId="0887B599">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市政电网供电</w:t>
                  </w:r>
                </w:p>
              </w:tc>
              <w:tc>
                <w:tcPr>
                  <w:tcW w:w="1306" w:type="pct"/>
                  <w:shd w:val="clear" w:color="auto" w:fill="auto"/>
                  <w:vAlign w:val="center"/>
                </w:tcPr>
                <w:p w14:paraId="387F061C">
                  <w:pPr>
                    <w:keepNext w:val="0"/>
                    <w:keepLines w:val="0"/>
                    <w:suppressLineNumbers w:val="0"/>
                    <w:autoSpaceDE w:val="0"/>
                    <w:autoSpaceDN w:val="0"/>
                    <w:adjustRightInd w:val="0"/>
                    <w:spacing w:before="0" w:beforeAutospacing="0" w:after="0" w:afterAutospacing="0"/>
                    <w:ind w:left="0" w:right="0"/>
                    <w:jc w:val="center"/>
                    <w:rPr>
                      <w:rFonts w:hint="eastAsia"/>
                      <w:color w:val="auto"/>
                      <w:szCs w:val="21"/>
                      <w:highlight w:val="none"/>
                      <w:lang w:val="en-US" w:eastAsia="zh-CN"/>
                    </w:rPr>
                  </w:pPr>
                  <w:r>
                    <w:rPr>
                      <w:rFonts w:hint="eastAsia"/>
                      <w:color w:val="auto"/>
                      <w:szCs w:val="21"/>
                      <w:highlight w:val="none"/>
                      <w:lang w:val="en-US" w:eastAsia="zh-CN"/>
                    </w:rPr>
                    <w:t>市政电网供电</w:t>
                  </w:r>
                </w:p>
              </w:tc>
            </w:tr>
            <w:tr w14:paraId="37AE70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89" w:type="pct"/>
                  <w:vAlign w:val="center"/>
                </w:tcPr>
                <w:p w14:paraId="15C7DFCD">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4</w:t>
                  </w:r>
                </w:p>
              </w:tc>
              <w:tc>
                <w:tcPr>
                  <w:tcW w:w="591" w:type="pct"/>
                  <w:shd w:val="clear" w:color="auto" w:fill="auto"/>
                  <w:vAlign w:val="center"/>
                </w:tcPr>
                <w:p w14:paraId="521590A5">
                  <w:pPr>
                    <w:keepNext w:val="0"/>
                    <w:keepLines w:val="0"/>
                    <w:suppressLineNumbers w:val="0"/>
                    <w:autoSpaceDE w:val="0"/>
                    <w:autoSpaceDN w:val="0"/>
                    <w:adjustRightIn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供暖</w:t>
                  </w:r>
                </w:p>
              </w:tc>
              <w:tc>
                <w:tcPr>
                  <w:tcW w:w="1306" w:type="pct"/>
                  <w:shd w:val="clear" w:color="auto" w:fill="auto"/>
                  <w:vAlign w:val="center"/>
                </w:tcPr>
                <w:p w14:paraId="6F1B3B1E">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1台2×10</w:t>
                  </w:r>
                  <w:r>
                    <w:rPr>
                      <w:rFonts w:hint="eastAsia"/>
                      <w:color w:val="auto"/>
                      <w:szCs w:val="21"/>
                      <w:highlight w:val="none"/>
                      <w:vertAlign w:val="superscript"/>
                      <w:lang w:val="en-US" w:eastAsia="zh-CN"/>
                    </w:rPr>
                    <w:t>6</w:t>
                  </w:r>
                  <w:r>
                    <w:rPr>
                      <w:rFonts w:hint="eastAsia"/>
                      <w:color w:val="auto"/>
                      <w:szCs w:val="21"/>
                      <w:highlight w:val="none"/>
                      <w:lang w:val="en-US" w:eastAsia="zh-CN"/>
                    </w:rPr>
                    <w:t>Kcal/h的导热油炉（天然气为燃料，介质为白油）</w:t>
                  </w:r>
                </w:p>
              </w:tc>
              <w:tc>
                <w:tcPr>
                  <w:tcW w:w="1306" w:type="pct"/>
                  <w:shd w:val="clear" w:color="auto" w:fill="auto"/>
                  <w:vAlign w:val="center"/>
                </w:tcPr>
                <w:p w14:paraId="5E44753C">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园区集中供热</w:t>
                  </w:r>
                </w:p>
              </w:tc>
              <w:tc>
                <w:tcPr>
                  <w:tcW w:w="1306" w:type="pct"/>
                  <w:shd w:val="clear" w:color="auto" w:fill="auto"/>
                  <w:vAlign w:val="center"/>
                </w:tcPr>
                <w:p w14:paraId="48BBC75E">
                  <w:pPr>
                    <w:keepNext w:val="0"/>
                    <w:keepLines w:val="0"/>
                    <w:suppressLineNumbers w:val="0"/>
                    <w:autoSpaceDE w:val="0"/>
                    <w:autoSpaceDN w:val="0"/>
                    <w:adjustRightInd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园区集中供热</w:t>
                  </w:r>
                </w:p>
              </w:tc>
            </w:tr>
            <w:tr w14:paraId="6B73E2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89" w:type="pct"/>
                  <w:vAlign w:val="center"/>
                </w:tcPr>
                <w:p w14:paraId="3F1C0268">
                  <w:pPr>
                    <w:keepNext w:val="0"/>
                    <w:keepLines w:val="0"/>
                    <w:suppressLineNumbers w:val="0"/>
                    <w:autoSpaceDE w:val="0"/>
                    <w:autoSpaceDN w:val="0"/>
                    <w:adjustRightInd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5</w:t>
                  </w:r>
                </w:p>
              </w:tc>
              <w:tc>
                <w:tcPr>
                  <w:tcW w:w="591" w:type="pct"/>
                  <w:shd w:val="clear" w:color="auto" w:fill="auto"/>
                  <w:vAlign w:val="center"/>
                </w:tcPr>
                <w:p w14:paraId="2D129FFD">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供蒸汽</w:t>
                  </w:r>
                </w:p>
              </w:tc>
              <w:tc>
                <w:tcPr>
                  <w:tcW w:w="1306" w:type="pct"/>
                  <w:shd w:val="clear" w:color="auto" w:fill="auto"/>
                  <w:vAlign w:val="center"/>
                </w:tcPr>
                <w:p w14:paraId="5AAFD3A2">
                  <w:pPr>
                    <w:keepNext w:val="0"/>
                    <w:keepLines w:val="0"/>
                    <w:suppressLineNumbers w:val="0"/>
                    <w:autoSpaceDE w:val="0"/>
                    <w:autoSpaceDN w:val="0"/>
                    <w:adjustRightInd w:val="0"/>
                    <w:spacing w:before="0" w:beforeAutospacing="0" w:after="0" w:afterAutospacing="0"/>
                    <w:ind w:left="0" w:right="0"/>
                    <w:jc w:val="center"/>
                    <w:rPr>
                      <w:rFonts w:hint="eastAsia"/>
                      <w:color w:val="auto"/>
                      <w:szCs w:val="21"/>
                      <w:highlight w:val="none"/>
                    </w:rPr>
                  </w:pPr>
                  <w:r>
                    <w:rPr>
                      <w:rFonts w:hint="eastAsia"/>
                      <w:color w:val="auto"/>
                      <w:szCs w:val="21"/>
                      <w:highlight w:val="none"/>
                      <w:lang w:val="en-US" w:eastAsia="zh-CN"/>
                    </w:rPr>
                    <w:t>现有项目热源为抚顺石化热电厂+1台2×10</w:t>
                  </w:r>
                  <w:r>
                    <w:rPr>
                      <w:rFonts w:hint="eastAsia"/>
                      <w:color w:val="auto"/>
                      <w:szCs w:val="21"/>
                      <w:highlight w:val="none"/>
                      <w:vertAlign w:val="superscript"/>
                      <w:lang w:val="en-US" w:eastAsia="zh-CN"/>
                    </w:rPr>
                    <w:t>6</w:t>
                  </w:r>
                  <w:r>
                    <w:rPr>
                      <w:rFonts w:hint="eastAsia"/>
                      <w:color w:val="auto"/>
                      <w:szCs w:val="21"/>
                      <w:highlight w:val="none"/>
                      <w:lang w:val="en-US" w:eastAsia="zh-CN"/>
                    </w:rPr>
                    <w:t>Kcal/h的导热油炉（天然气为燃料，介质为白油，因部分现有设备需要，保留导热油炉，天然气用量减少）</w:t>
                  </w:r>
                </w:p>
              </w:tc>
              <w:tc>
                <w:tcPr>
                  <w:tcW w:w="1306" w:type="pct"/>
                  <w:shd w:val="clear" w:color="auto" w:fill="auto"/>
                  <w:vAlign w:val="center"/>
                </w:tcPr>
                <w:p w14:paraId="1B94FEA1">
                  <w:pPr>
                    <w:keepNext w:val="0"/>
                    <w:keepLines w:val="0"/>
                    <w:suppressLineNumbers w:val="0"/>
                    <w:autoSpaceDE w:val="0"/>
                    <w:autoSpaceDN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本项目为抚顺石化热电厂供给</w:t>
                  </w:r>
                </w:p>
              </w:tc>
              <w:tc>
                <w:tcPr>
                  <w:tcW w:w="1306" w:type="pct"/>
                  <w:shd w:val="clear" w:color="auto" w:fill="auto"/>
                  <w:vAlign w:val="center"/>
                </w:tcPr>
                <w:p w14:paraId="7AF5D968">
                  <w:pPr>
                    <w:keepNext w:val="0"/>
                    <w:keepLines w:val="0"/>
                    <w:suppressLineNumbers w:val="0"/>
                    <w:autoSpaceDE w:val="0"/>
                    <w:autoSpaceDN w:val="0"/>
                    <w:adjustRightInd w:val="0"/>
                    <w:spacing w:before="0" w:beforeAutospacing="0" w:after="0" w:afterAutospacing="0"/>
                    <w:ind w:left="0" w:right="0"/>
                    <w:jc w:val="center"/>
                    <w:rPr>
                      <w:rFonts w:hint="eastAsia"/>
                      <w:color w:val="auto"/>
                      <w:szCs w:val="21"/>
                      <w:highlight w:val="none"/>
                      <w:lang w:val="en-US" w:eastAsia="zh-CN"/>
                    </w:rPr>
                  </w:pPr>
                  <w:r>
                    <w:rPr>
                      <w:rFonts w:hint="eastAsia"/>
                      <w:color w:val="auto"/>
                      <w:szCs w:val="21"/>
                      <w:highlight w:val="none"/>
                      <w:lang w:val="en-US" w:eastAsia="zh-CN"/>
                    </w:rPr>
                    <w:t>抚顺石化热电厂+1台2×10</w:t>
                  </w:r>
                  <w:r>
                    <w:rPr>
                      <w:rFonts w:hint="eastAsia"/>
                      <w:color w:val="auto"/>
                      <w:szCs w:val="21"/>
                      <w:highlight w:val="none"/>
                      <w:vertAlign w:val="superscript"/>
                      <w:lang w:val="en-US" w:eastAsia="zh-CN"/>
                    </w:rPr>
                    <w:t>6</w:t>
                  </w:r>
                  <w:r>
                    <w:rPr>
                      <w:rFonts w:hint="eastAsia"/>
                      <w:color w:val="auto"/>
                      <w:szCs w:val="21"/>
                      <w:highlight w:val="none"/>
                      <w:lang w:val="en-US" w:eastAsia="zh-CN"/>
                    </w:rPr>
                    <w:t>Kcal/h的导热油炉（天然气为燃料，介质为白油）</w:t>
                  </w:r>
                </w:p>
              </w:tc>
            </w:tr>
          </w:tbl>
          <w:p w14:paraId="4DC16F82">
            <w:pPr>
              <w:pStyle w:val="2"/>
              <w:keepNext w:val="0"/>
              <w:keepLines w:val="0"/>
              <w:suppressLineNumbers w:val="0"/>
              <w:spacing w:before="0" w:beforeAutospacing="0" w:after="0" w:afterAutospacing="0"/>
              <w:ind w:left="0" w:right="0"/>
              <w:rPr>
                <w:rFonts w:hint="eastAsia"/>
                <w:color w:val="auto"/>
                <w:sz w:val="24"/>
                <w:highlight w:val="none"/>
                <w:lang w:val="en-US" w:eastAsia="zh-CN"/>
              </w:rPr>
            </w:pPr>
          </w:p>
          <w:p w14:paraId="2EDCF33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r>
              <w:rPr>
                <w:color w:val="auto"/>
                <w:sz w:val="24"/>
                <w:highlight w:val="none"/>
              </w:rPr>
              <mc:AlternateContent>
                <mc:Choice Requires="wpg">
                  <w:drawing>
                    <wp:anchor distT="0" distB="0" distL="114300" distR="114300" simplePos="0" relativeHeight="251734016" behindDoc="0" locked="0" layoutInCell="1" allowOverlap="1">
                      <wp:simplePos x="0" y="0"/>
                      <wp:positionH relativeFrom="column">
                        <wp:posOffset>309245</wp:posOffset>
                      </wp:positionH>
                      <wp:positionV relativeFrom="paragraph">
                        <wp:posOffset>45085</wp:posOffset>
                      </wp:positionV>
                      <wp:extent cx="4389120" cy="989965"/>
                      <wp:effectExtent l="4445" t="0" r="0" b="21590"/>
                      <wp:wrapNone/>
                      <wp:docPr id="229" name="组合 229"/>
                      <wp:cNvGraphicFramePr/>
                      <a:graphic xmlns:a="http://schemas.openxmlformats.org/drawingml/2006/main">
                        <a:graphicData uri="http://schemas.microsoft.com/office/word/2010/wordprocessingGroup">
                          <wpg:wgp>
                            <wpg:cNvGrpSpPr/>
                            <wpg:grpSpPr>
                              <a:xfrm>
                                <a:off x="0" y="0"/>
                                <a:ext cx="4389120" cy="989965"/>
                                <a:chOff x="4575" y="495311"/>
                                <a:chExt cx="6912" cy="1559"/>
                              </a:xfrm>
                            </wpg:grpSpPr>
                            <wpg:grpSp>
                              <wpg:cNvPr id="228" name="组合 228"/>
                              <wpg:cNvGrpSpPr/>
                              <wpg:grpSpPr>
                                <a:xfrm>
                                  <a:off x="6195" y="495311"/>
                                  <a:ext cx="2084" cy="885"/>
                                  <a:chOff x="6195" y="495311"/>
                                  <a:chExt cx="2084" cy="885"/>
                                </a:xfrm>
                              </wpg:grpSpPr>
                              <wps:wsp>
                                <wps:cNvPr id="100" name="曲线连接符 100"/>
                                <wps:cNvCnPr/>
                                <wps:spPr>
                                  <a:xfrm flipV="1">
                                    <a:off x="7020" y="495926"/>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106" name="文本框 106"/>
                                <wps:cNvSpPr txBox="1"/>
                                <wps:spPr>
                                  <a:xfrm>
                                    <a:off x="6195" y="495311"/>
                                    <a:ext cx="2084"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520F1">
                                      <w:pPr>
                                        <w:pStyle w:val="2"/>
                                        <w:jc w:val="center"/>
                                        <w:rPr>
                                          <w:rFonts w:hint="eastAsia"/>
                                          <w:sz w:val="21"/>
                                          <w:szCs w:val="21"/>
                                          <w:lang w:val="en-US" w:eastAsia="zh-CN"/>
                                        </w:rPr>
                                      </w:pPr>
                                      <w:r>
                                        <w:rPr>
                                          <w:rFonts w:hint="eastAsia"/>
                                          <w:sz w:val="21"/>
                                          <w:szCs w:val="21"/>
                                          <w:lang w:val="en-US" w:eastAsia="zh-CN"/>
                                        </w:rPr>
                                        <w:t>管道损失、生产损失</w:t>
                                      </w:r>
                                    </w:p>
                                    <w:p w14:paraId="1344293A">
                                      <w:pPr>
                                        <w:pStyle w:val="2"/>
                                        <w:jc w:val="center"/>
                                        <w:rPr>
                                          <w:rFonts w:hint="default"/>
                                          <w:sz w:val="21"/>
                                          <w:szCs w:val="21"/>
                                          <w:lang w:val="en-US" w:eastAsia="zh-CN"/>
                                        </w:rPr>
                                      </w:pPr>
                                      <w:r>
                                        <w:rPr>
                                          <w:rFonts w:hint="eastAsia"/>
                                          <w:sz w:val="21"/>
                                          <w:szCs w:val="21"/>
                                          <w:lang w:val="en-US" w:eastAsia="zh-CN"/>
                                        </w:rPr>
                                        <w:t>440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23" name="组合 223"/>
                              <wpg:cNvGrpSpPr/>
                              <wpg:grpSpPr>
                                <a:xfrm>
                                  <a:off x="4575" y="496106"/>
                                  <a:ext cx="6913" cy="765"/>
                                  <a:chOff x="4575" y="496106"/>
                                  <a:chExt cx="6913" cy="765"/>
                                </a:xfrm>
                              </wpg:grpSpPr>
                              <wps:wsp>
                                <wps:cNvPr id="88" name="文本框 88"/>
                                <wps:cNvSpPr txBox="1"/>
                                <wps:spPr>
                                  <a:xfrm>
                                    <a:off x="4575" y="496151"/>
                                    <a:ext cx="1230" cy="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582005C">
                                      <w:pPr>
                                        <w:jc w:val="center"/>
                                        <w:rPr>
                                          <w:rFonts w:hint="eastAsia"/>
                                          <w:sz w:val="21"/>
                                          <w:szCs w:val="21"/>
                                          <w:lang w:val="en-US" w:eastAsia="zh-CN"/>
                                        </w:rPr>
                                      </w:pPr>
                                      <w:r>
                                        <w:rPr>
                                          <w:rFonts w:hint="eastAsia"/>
                                          <w:sz w:val="21"/>
                                          <w:szCs w:val="21"/>
                                          <w:lang w:val="en-US" w:eastAsia="zh-CN"/>
                                        </w:rPr>
                                        <w:t>园区蒸汽</w:t>
                                      </w:r>
                                    </w:p>
                                    <w:p w14:paraId="2B5C483F">
                                      <w:pPr>
                                        <w:pStyle w:val="2"/>
                                        <w:jc w:val="center"/>
                                        <w:rPr>
                                          <w:rFonts w:hint="default"/>
                                          <w:sz w:val="21"/>
                                          <w:szCs w:val="21"/>
                                          <w:lang w:val="en-US" w:eastAsia="zh-CN"/>
                                        </w:rPr>
                                      </w:pPr>
                                      <w:r>
                                        <w:rPr>
                                          <w:rFonts w:hint="eastAsia"/>
                                          <w:sz w:val="21"/>
                                          <w:szCs w:val="21"/>
                                          <w:lang w:val="en-US" w:eastAsia="zh-CN"/>
                                        </w:rPr>
                                        <w:t>4410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 name="直接箭头连接符 89"/>
                                <wps:cNvCnPr/>
                                <wps:spPr>
                                  <a:xfrm>
                                    <a:off x="5805" y="496511"/>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91" name="文本框 91"/>
                                <wps:cNvSpPr txBox="1"/>
                                <wps:spPr>
                                  <a:xfrm>
                                    <a:off x="6360" y="496196"/>
                                    <a:ext cx="1230" cy="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6F75186">
                                      <w:pPr>
                                        <w:pStyle w:val="2"/>
                                        <w:jc w:val="center"/>
                                        <w:rPr>
                                          <w:rFonts w:hint="eastAsia"/>
                                          <w:sz w:val="21"/>
                                          <w:szCs w:val="21"/>
                                          <w:lang w:val="en-US" w:eastAsia="zh-CN"/>
                                        </w:rPr>
                                      </w:pPr>
                                      <w:r>
                                        <w:rPr>
                                          <w:rFonts w:hint="eastAsia"/>
                                          <w:sz w:val="21"/>
                                          <w:szCs w:val="21"/>
                                          <w:lang w:val="en-US" w:eastAsia="zh-CN"/>
                                        </w:rPr>
                                        <w:t>生产用汽</w:t>
                                      </w:r>
                                    </w:p>
                                    <w:p w14:paraId="146E4CFE">
                                      <w:pPr>
                                        <w:pStyle w:val="2"/>
                                        <w:jc w:val="center"/>
                                        <w:rPr>
                                          <w:rFonts w:hint="default"/>
                                          <w:sz w:val="21"/>
                                          <w:szCs w:val="21"/>
                                          <w:lang w:val="en-US" w:eastAsia="zh-CN"/>
                                        </w:rPr>
                                      </w:pPr>
                                      <w:r>
                                        <w:rPr>
                                          <w:rFonts w:hint="eastAsia"/>
                                          <w:sz w:val="21"/>
                                          <w:szCs w:val="21"/>
                                          <w:lang w:val="en-US" w:eastAsia="zh-CN"/>
                                        </w:rPr>
                                        <w:t>3970</w:t>
                                      </w:r>
                                    </w:p>
                                    <w:p w14:paraId="1AE67AA0">
                                      <w:pPr>
                                        <w:pStyle w:val="2"/>
                                        <w:jc w:val="cente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7" name="直接箭头连接符 107"/>
                                <wps:cNvCnPr/>
                                <wps:spPr>
                                  <a:xfrm>
                                    <a:off x="7590" y="496496"/>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108" name="文本框 108"/>
                                <wps:cNvSpPr txBox="1"/>
                                <wps:spPr>
                                  <a:xfrm>
                                    <a:off x="8130" y="496211"/>
                                    <a:ext cx="1408" cy="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B93E63">
                                      <w:pPr>
                                        <w:pStyle w:val="2"/>
                                        <w:jc w:val="center"/>
                                        <w:rPr>
                                          <w:rFonts w:hint="eastAsia"/>
                                          <w:sz w:val="21"/>
                                          <w:szCs w:val="21"/>
                                          <w:lang w:val="en-US" w:eastAsia="zh-CN"/>
                                        </w:rPr>
                                      </w:pPr>
                                      <w:r>
                                        <w:rPr>
                                          <w:rFonts w:hint="eastAsia"/>
                                          <w:sz w:val="21"/>
                                          <w:szCs w:val="21"/>
                                          <w:lang w:val="en-US" w:eastAsia="zh-CN"/>
                                        </w:rPr>
                                        <w:t>蒸汽凝结水</w:t>
                                      </w:r>
                                    </w:p>
                                    <w:p w14:paraId="0EBA07E7">
                                      <w:pPr>
                                        <w:pStyle w:val="2"/>
                                        <w:jc w:val="center"/>
                                        <w:rPr>
                                          <w:rFonts w:hint="default"/>
                                          <w:sz w:val="21"/>
                                          <w:szCs w:val="21"/>
                                          <w:lang w:val="en-US" w:eastAsia="zh-CN"/>
                                        </w:rPr>
                                      </w:pPr>
                                      <w:r>
                                        <w:rPr>
                                          <w:rFonts w:hint="eastAsia"/>
                                          <w:sz w:val="21"/>
                                          <w:szCs w:val="21"/>
                                          <w:lang w:val="en-US" w:eastAsia="zh-CN"/>
                                        </w:rPr>
                                        <w:t>3970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9" name="直接箭头连接符 109"/>
                                <wps:cNvCnPr/>
                                <wps:spPr>
                                  <a:xfrm>
                                    <a:off x="9555" y="496541"/>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12" name="文本框 212"/>
                                <wps:cNvSpPr txBox="1"/>
                                <wps:spPr>
                                  <a:xfrm>
                                    <a:off x="9930" y="496106"/>
                                    <a:ext cx="1558" cy="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2F6D5">
                                      <w:pPr>
                                        <w:pStyle w:val="2"/>
                                        <w:jc w:val="center"/>
                                        <w:rPr>
                                          <w:rFonts w:hint="default"/>
                                          <w:sz w:val="21"/>
                                          <w:szCs w:val="21"/>
                                          <w:lang w:val="en-US" w:eastAsia="zh-CN"/>
                                        </w:rPr>
                                      </w:pPr>
                                      <w:r>
                                        <w:rPr>
                                          <w:rFonts w:hint="eastAsia"/>
                                          <w:sz w:val="21"/>
                                          <w:szCs w:val="21"/>
                                          <w:lang w:val="en-US" w:eastAsia="zh-CN"/>
                                        </w:rPr>
                                        <w:t>回用于地面冲洗</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24.35pt;margin-top:3.55pt;height:77.95pt;width:345.6pt;z-index:251734016;mso-width-relative:page;mso-height-relative:page;" coordorigin="4575,495311" coordsize="6912,1559" o:gfxdata="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">
                      <o:lock v:ext="edit" aspectratio="f"/>
                      <v:group id="_x0000_s1026" o:spid="_x0000_s1026" o:spt="203" style="position:absolute;left:6195;top:495311;height:885;width:2084;" coordorigin="6195,495311" coordsize="2084,885" o:gfxdata="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jfKzLvAAAANwAAAAPAAAAAAAAAAEAIAAAACIAAABkcnMvZG93bnJldi54bWxQ&#10;SwECFAAUAAAACACHTuJAMy8FnjsAAAA5AAAAFQAAAAAAAAABACAAAAALAQAAZHJzL2dyb3Vwc2hh&#10;cGV4bWwueG1sUEsFBgAAAAAGAAYAYAEAAMgDAAAAAA==&#10;">
                        <o:lock v:ext="edit" aspectratio="f"/>
                        <v:shape id="_x0000_s1026" o:spid="_x0000_s1026" o:spt="38" type="#_x0000_t38" style="position:absolute;left:7020;top:495926;flip:y;height:270;width:300;" filled="f" stroked="t" coordsize="21600,21600" o:gfxdata="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jq+674A&#10;AADcAAAADwAAAAAAAAABACAAAAAiAAAAZHJzL2Rvd25yZXYueG1sUEsBAhQAFAAAAAgAh07iQDMv&#10;BZ47AAAAOQAAABAAAAAAAAAAAQAgAAAADQEAAGRycy9zaGFwZXhtbC54bWxQSwUGAAAAAAYABgBb&#10;AQAAtwMAAAAA&#10;" adj="10872">
                          <v:fill on="f" focussize="0,0"/>
                          <v:stroke color="#FF0000 [3204]" joinstyle="round" endarrow="block"/>
                          <v:imagedata o:title=""/>
                          <o:lock v:ext="edit" aspectratio="f"/>
                        </v:shape>
                        <v:shape id="_x0000_s1026" o:spid="_x0000_s1026" o:spt="202" type="#_x0000_t202" style="position:absolute;left:6195;top:495311;height:615;width:2084;" filled="f" stroked="f" coordsize="21600,21600" o:gfxdata="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28wYb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517520F1">
                                <w:pPr>
                                  <w:pStyle w:val="2"/>
                                  <w:jc w:val="center"/>
                                  <w:rPr>
                                    <w:rFonts w:hint="eastAsia"/>
                                    <w:sz w:val="21"/>
                                    <w:szCs w:val="21"/>
                                    <w:lang w:val="en-US" w:eastAsia="zh-CN"/>
                                  </w:rPr>
                                </w:pPr>
                                <w:r>
                                  <w:rPr>
                                    <w:rFonts w:hint="eastAsia"/>
                                    <w:sz w:val="21"/>
                                    <w:szCs w:val="21"/>
                                    <w:lang w:val="en-US" w:eastAsia="zh-CN"/>
                                  </w:rPr>
                                  <w:t>管道损失、生产损失</w:t>
                                </w:r>
                              </w:p>
                              <w:p w14:paraId="1344293A">
                                <w:pPr>
                                  <w:pStyle w:val="2"/>
                                  <w:jc w:val="center"/>
                                  <w:rPr>
                                    <w:rFonts w:hint="default"/>
                                    <w:sz w:val="21"/>
                                    <w:szCs w:val="21"/>
                                    <w:lang w:val="en-US" w:eastAsia="zh-CN"/>
                                  </w:rPr>
                                </w:pPr>
                                <w:r>
                                  <w:rPr>
                                    <w:rFonts w:hint="eastAsia"/>
                                    <w:sz w:val="21"/>
                                    <w:szCs w:val="21"/>
                                    <w:lang w:val="en-US" w:eastAsia="zh-CN"/>
                                  </w:rPr>
                                  <w:t>440</w:t>
                                </w:r>
                              </w:p>
                            </w:txbxContent>
                          </v:textbox>
                        </v:shape>
                      </v:group>
                      <v:group id="_x0000_s1026" o:spid="_x0000_s1026" o:spt="203" style="position:absolute;left:4575;top:496106;height:765;width:6913;" coordorigin="4575,496106" coordsize="6913,765" o:gfxdata="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3YPrq+AAAA3A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4575;top:496151;height:660;width:1230;" fillcolor="#FFFFFF [3201]" filled="t" stroked="t" coordsize="21600,21600" o:gfxdata="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qiBun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14:paraId="4582005C">
                                <w:pPr>
                                  <w:jc w:val="center"/>
                                  <w:rPr>
                                    <w:rFonts w:hint="eastAsia"/>
                                    <w:sz w:val="21"/>
                                    <w:szCs w:val="21"/>
                                    <w:lang w:val="en-US" w:eastAsia="zh-CN"/>
                                  </w:rPr>
                                </w:pPr>
                                <w:r>
                                  <w:rPr>
                                    <w:rFonts w:hint="eastAsia"/>
                                    <w:sz w:val="21"/>
                                    <w:szCs w:val="21"/>
                                    <w:lang w:val="en-US" w:eastAsia="zh-CN"/>
                                  </w:rPr>
                                  <w:t>园区蒸汽</w:t>
                                </w:r>
                              </w:p>
                              <w:p w14:paraId="2B5C483F">
                                <w:pPr>
                                  <w:pStyle w:val="2"/>
                                  <w:jc w:val="center"/>
                                  <w:rPr>
                                    <w:rFonts w:hint="default"/>
                                    <w:sz w:val="21"/>
                                    <w:szCs w:val="21"/>
                                    <w:lang w:val="en-US" w:eastAsia="zh-CN"/>
                                  </w:rPr>
                                </w:pPr>
                                <w:r>
                                  <w:rPr>
                                    <w:rFonts w:hint="eastAsia"/>
                                    <w:sz w:val="21"/>
                                    <w:szCs w:val="21"/>
                                    <w:lang w:val="en-US" w:eastAsia="zh-CN"/>
                                  </w:rPr>
                                  <w:t>4410</w:t>
                                </w:r>
                              </w:p>
                            </w:txbxContent>
                          </v:textbox>
                        </v:shape>
                        <v:shape id="_x0000_s1026" o:spid="_x0000_s1026" o:spt="32" type="#_x0000_t32" style="position:absolute;left:5805;top:496511;height:0;width:540;" filled="f" stroked="t" coordsize="21600,21600" o:gfxdata="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1lVTr4A&#10;AADbAAAADwAAAAAAAAABACAAAAAiAAAAZHJzL2Rvd25yZXYueG1sUEsBAhQAFAAAAAgAh07iQDMv&#10;BZ47AAAAOQAAABAAAAAAAAAAAQAgAAAADQEAAGRycy9zaGFwZXhtbC54bWxQSwUGAAAAAAYABgBb&#10;AQAAtwMAAAAA&#10;">
                          <v:fill on="f" focussize="0,0"/>
                          <v:stroke color="#FF0000 [3204]" joinstyle="round" endarrow="block"/>
                          <v:imagedata o:title=""/>
                          <o:lock v:ext="edit" aspectratio="f"/>
                        </v:shape>
                        <v:shape id="_x0000_s1026" o:spid="_x0000_s1026" o:spt="202" type="#_x0000_t202" style="position:absolute;left:6360;top:496196;height:660;width:1230;" fillcolor="#FFFFFF [3201]" filled="t" stroked="t" coordsize="21600,21600" o:gfxdata="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yTn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56F75186">
                                <w:pPr>
                                  <w:pStyle w:val="2"/>
                                  <w:jc w:val="center"/>
                                  <w:rPr>
                                    <w:rFonts w:hint="eastAsia"/>
                                    <w:sz w:val="21"/>
                                    <w:szCs w:val="21"/>
                                    <w:lang w:val="en-US" w:eastAsia="zh-CN"/>
                                  </w:rPr>
                                </w:pPr>
                                <w:r>
                                  <w:rPr>
                                    <w:rFonts w:hint="eastAsia"/>
                                    <w:sz w:val="21"/>
                                    <w:szCs w:val="21"/>
                                    <w:lang w:val="en-US" w:eastAsia="zh-CN"/>
                                  </w:rPr>
                                  <w:t>生产用汽</w:t>
                                </w:r>
                              </w:p>
                              <w:p w14:paraId="146E4CFE">
                                <w:pPr>
                                  <w:pStyle w:val="2"/>
                                  <w:jc w:val="center"/>
                                  <w:rPr>
                                    <w:rFonts w:hint="default"/>
                                    <w:sz w:val="21"/>
                                    <w:szCs w:val="21"/>
                                    <w:lang w:val="en-US" w:eastAsia="zh-CN"/>
                                  </w:rPr>
                                </w:pPr>
                                <w:r>
                                  <w:rPr>
                                    <w:rFonts w:hint="eastAsia"/>
                                    <w:sz w:val="21"/>
                                    <w:szCs w:val="21"/>
                                    <w:lang w:val="en-US" w:eastAsia="zh-CN"/>
                                  </w:rPr>
                                  <w:t>3970</w:t>
                                </w:r>
                              </w:p>
                              <w:p w14:paraId="1AE67AA0">
                                <w:pPr>
                                  <w:pStyle w:val="2"/>
                                  <w:jc w:val="center"/>
                                  <w:rPr>
                                    <w:rFonts w:hint="default"/>
                                    <w:lang w:val="en-US" w:eastAsia="zh-CN"/>
                                  </w:rPr>
                                </w:pPr>
                              </w:p>
                            </w:txbxContent>
                          </v:textbox>
                        </v:shape>
                        <v:shape id="_x0000_s1026" o:spid="_x0000_s1026" o:spt="32" type="#_x0000_t32" style="position:absolute;left:7590;top:496496;height:0;width:540;" filled="f" stroked="t" coordsize="21600,21600" o:gfxdata="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vcrir4A&#10;AADcAAAADwAAAAAAAAABACAAAAAiAAAAZHJzL2Rvd25yZXYueG1sUEsBAhQAFAAAAAgAh07iQDMv&#10;BZ47AAAAOQAAABAAAAAAAAAAAQAgAAAADQEAAGRycy9zaGFwZXhtbC54bWxQSwUGAAAAAAYABgBb&#10;AQAAtwMAAAAA&#10;">
                          <v:fill on="f" focussize="0,0"/>
                          <v:stroke color="#FF0000 [3204]" joinstyle="round" endarrow="block"/>
                          <v:imagedata o:title=""/>
                          <o:lock v:ext="edit" aspectratio="f"/>
                        </v:shape>
                        <v:shape id="_x0000_s1026" o:spid="_x0000_s1026" o:spt="202" type="#_x0000_t202" style="position:absolute;left:8130;top:496211;height:660;width:1408;" fillcolor="#FFFFFF [3201]" filled="t" stroked="t" coordsize="21600,21600" o:gfxdata="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tIaML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38B93E63">
                                <w:pPr>
                                  <w:pStyle w:val="2"/>
                                  <w:jc w:val="center"/>
                                  <w:rPr>
                                    <w:rFonts w:hint="eastAsia"/>
                                    <w:sz w:val="21"/>
                                    <w:szCs w:val="21"/>
                                    <w:lang w:val="en-US" w:eastAsia="zh-CN"/>
                                  </w:rPr>
                                </w:pPr>
                                <w:r>
                                  <w:rPr>
                                    <w:rFonts w:hint="eastAsia"/>
                                    <w:sz w:val="21"/>
                                    <w:szCs w:val="21"/>
                                    <w:lang w:val="en-US" w:eastAsia="zh-CN"/>
                                  </w:rPr>
                                  <w:t>蒸汽凝结水</w:t>
                                </w:r>
                              </w:p>
                              <w:p w14:paraId="0EBA07E7">
                                <w:pPr>
                                  <w:pStyle w:val="2"/>
                                  <w:jc w:val="center"/>
                                  <w:rPr>
                                    <w:rFonts w:hint="default"/>
                                    <w:sz w:val="21"/>
                                    <w:szCs w:val="21"/>
                                    <w:lang w:val="en-US" w:eastAsia="zh-CN"/>
                                  </w:rPr>
                                </w:pPr>
                                <w:r>
                                  <w:rPr>
                                    <w:rFonts w:hint="eastAsia"/>
                                    <w:sz w:val="21"/>
                                    <w:szCs w:val="21"/>
                                    <w:lang w:val="en-US" w:eastAsia="zh-CN"/>
                                  </w:rPr>
                                  <w:t>3970</w:t>
                                </w:r>
                              </w:p>
                            </w:txbxContent>
                          </v:textbox>
                        </v:shape>
                        <v:shape id="_x0000_s1026" o:spid="_x0000_s1026" o:spt="32" type="#_x0000_t32" style="position:absolute;left:9555;top:496541;height:0;width:540;" filled="f" stroked="t" coordsize="21600,21600" o:gfxdata="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JBpjvQAA&#10;ANwAAAAPAAAAAAAAAAEAIAAAACIAAABkcnMvZG93bnJldi54bWxQSwECFAAUAAAACACHTuJAMy8F&#10;njsAAAA5AAAAEAAAAAAAAAABACAAAAAMAQAAZHJzL3NoYXBleG1sLnhtbFBLBQYAAAAABgAGAFsB&#10;AAC2AwAAAAA=&#10;">
                          <v:fill on="f" focussize="0,0"/>
                          <v:stroke color="#FF0000 [3204]" joinstyle="round" endarrow="block"/>
                          <v:imagedata o:title=""/>
                          <o:lock v:ext="edit" aspectratio="f"/>
                        </v:shape>
                        <v:shape id="_x0000_s1026" o:spid="_x0000_s1026" o:spt="202" type="#_x0000_t202" style="position:absolute;left:9930;top:496106;height:705;width:1558;" filled="f" stroked="f" coordsize="21600,21600" o:gfxdata="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6owcO/&#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752F6D5">
                                <w:pPr>
                                  <w:pStyle w:val="2"/>
                                  <w:jc w:val="center"/>
                                  <w:rPr>
                                    <w:rFonts w:hint="default"/>
                                    <w:sz w:val="21"/>
                                    <w:szCs w:val="21"/>
                                    <w:lang w:val="en-US" w:eastAsia="zh-CN"/>
                                  </w:rPr>
                                </w:pPr>
                                <w:r>
                                  <w:rPr>
                                    <w:rFonts w:hint="eastAsia"/>
                                    <w:sz w:val="21"/>
                                    <w:szCs w:val="21"/>
                                    <w:lang w:val="en-US" w:eastAsia="zh-CN"/>
                                  </w:rPr>
                                  <w:t>回用于地面冲洗</w:t>
                                </w:r>
                              </w:p>
                            </w:txbxContent>
                          </v:textbox>
                        </v:shape>
                      </v:group>
                    </v:group>
                  </w:pict>
                </mc:Fallback>
              </mc:AlternateContent>
            </w:r>
          </w:p>
          <w:p w14:paraId="13692C1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7FAB9FA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459CB1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5D29A72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7DA9ABC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default" w:eastAsia="宋体"/>
                <w:b/>
                <w:bCs/>
                <w:color w:val="auto"/>
                <w:sz w:val="24"/>
                <w:highlight w:val="none"/>
                <w:lang w:val="en-US" w:eastAsia="zh-CN"/>
              </w:rPr>
            </w:pPr>
            <w:r>
              <w:rPr>
                <w:rFonts w:hint="eastAsia"/>
                <w:b/>
                <w:bCs/>
                <w:color w:val="auto"/>
                <w:sz w:val="24"/>
                <w:highlight w:val="none"/>
                <w:lang w:val="en-US" w:eastAsia="zh-CN"/>
              </w:rPr>
              <w:t>图1  本项目蒸汽平衡图（单位：t/a）</w:t>
            </w:r>
          </w:p>
          <w:p w14:paraId="359FF18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r>
              <w:rPr>
                <w:color w:val="auto"/>
                <w:sz w:val="24"/>
                <w:highlight w:val="none"/>
              </w:rPr>
              <mc:AlternateContent>
                <mc:Choice Requires="wpg">
                  <w:drawing>
                    <wp:anchor distT="0" distB="0" distL="114300" distR="114300" simplePos="0" relativeHeight="251736064" behindDoc="0" locked="0" layoutInCell="1" allowOverlap="1">
                      <wp:simplePos x="0" y="0"/>
                      <wp:positionH relativeFrom="column">
                        <wp:posOffset>299720</wp:posOffset>
                      </wp:positionH>
                      <wp:positionV relativeFrom="paragraph">
                        <wp:posOffset>187325</wp:posOffset>
                      </wp:positionV>
                      <wp:extent cx="4513580" cy="1057910"/>
                      <wp:effectExtent l="4445" t="0" r="0" b="5715"/>
                      <wp:wrapNone/>
                      <wp:docPr id="249" name="组合 249"/>
                      <wp:cNvGraphicFramePr/>
                      <a:graphic xmlns:a="http://schemas.openxmlformats.org/drawingml/2006/main">
                        <a:graphicData uri="http://schemas.microsoft.com/office/word/2010/wordprocessingGroup">
                          <wpg:wgp>
                            <wpg:cNvGrpSpPr/>
                            <wpg:grpSpPr>
                              <a:xfrm>
                                <a:off x="0" y="0"/>
                                <a:ext cx="4513580" cy="1057910"/>
                                <a:chOff x="6945" y="498222"/>
                                <a:chExt cx="7108" cy="1666"/>
                              </a:xfrm>
                            </wpg:grpSpPr>
                            <wpg:grpSp>
                              <wpg:cNvPr id="231" name="组合 228"/>
                              <wpg:cNvGrpSpPr/>
                              <wpg:grpSpPr>
                                <a:xfrm rot="0">
                                  <a:off x="8505" y="498222"/>
                                  <a:ext cx="2084" cy="974"/>
                                  <a:chOff x="6195" y="495222"/>
                                  <a:chExt cx="2084" cy="974"/>
                                </a:xfrm>
                              </wpg:grpSpPr>
                              <wps:wsp>
                                <wps:cNvPr id="232" name="曲线连接符 100"/>
                                <wps:cNvCnPr/>
                                <wps:spPr>
                                  <a:xfrm flipV="1">
                                    <a:off x="7020" y="495926"/>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37" name="文本框 106"/>
                                <wps:cNvSpPr txBox="1"/>
                                <wps:spPr>
                                  <a:xfrm>
                                    <a:off x="6195" y="495222"/>
                                    <a:ext cx="2084" cy="70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CF55E">
                                      <w:pPr>
                                        <w:pStyle w:val="2"/>
                                        <w:jc w:val="center"/>
                                        <w:rPr>
                                          <w:rFonts w:hint="eastAsia"/>
                                          <w:sz w:val="21"/>
                                          <w:szCs w:val="21"/>
                                          <w:lang w:val="en-US" w:eastAsia="zh-CN"/>
                                        </w:rPr>
                                      </w:pPr>
                                      <w:r>
                                        <w:rPr>
                                          <w:rFonts w:hint="eastAsia"/>
                                          <w:sz w:val="21"/>
                                          <w:szCs w:val="21"/>
                                          <w:lang w:val="en-US" w:eastAsia="zh-CN"/>
                                        </w:rPr>
                                        <w:t>管道损失、生产损失</w:t>
                                      </w:r>
                                    </w:p>
                                    <w:p w14:paraId="092A06D6">
                                      <w:pPr>
                                        <w:pStyle w:val="2"/>
                                        <w:jc w:val="center"/>
                                        <w:rPr>
                                          <w:rFonts w:hint="default"/>
                                          <w:sz w:val="21"/>
                                          <w:szCs w:val="21"/>
                                          <w:lang w:val="en-US" w:eastAsia="zh-CN"/>
                                        </w:rPr>
                                      </w:pPr>
                                      <w:r>
                                        <w:rPr>
                                          <w:rFonts w:hint="eastAsia"/>
                                          <w:sz w:val="21"/>
                                          <w:szCs w:val="21"/>
                                          <w:lang w:val="en-US" w:eastAsia="zh-CN"/>
                                        </w:rPr>
                                        <w:t>1241</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48" name="组合 248"/>
                              <wpg:cNvGrpSpPr/>
                              <wpg:grpSpPr>
                                <a:xfrm>
                                  <a:off x="6945" y="499184"/>
                                  <a:ext cx="7108" cy="704"/>
                                  <a:chOff x="6945" y="499184"/>
                                  <a:chExt cx="7108" cy="704"/>
                                </a:xfrm>
                              </wpg:grpSpPr>
                              <wps:wsp>
                                <wps:cNvPr id="240" name="直接箭头连接符 89"/>
                                <wps:cNvCnPr/>
                                <wps:spPr>
                                  <a:xfrm>
                                    <a:off x="8175" y="499499"/>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41" name="文本框 91"/>
                                <wps:cNvSpPr txBox="1"/>
                                <wps:spPr>
                                  <a:xfrm>
                                    <a:off x="8715" y="499199"/>
                                    <a:ext cx="1230" cy="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025E80">
                                      <w:pPr>
                                        <w:pStyle w:val="2"/>
                                        <w:jc w:val="center"/>
                                        <w:rPr>
                                          <w:rFonts w:hint="eastAsia"/>
                                          <w:sz w:val="21"/>
                                          <w:szCs w:val="21"/>
                                          <w:lang w:val="en-US" w:eastAsia="zh-CN"/>
                                        </w:rPr>
                                      </w:pPr>
                                      <w:r>
                                        <w:rPr>
                                          <w:rFonts w:hint="eastAsia"/>
                                          <w:sz w:val="21"/>
                                          <w:szCs w:val="21"/>
                                          <w:lang w:val="en-US" w:eastAsia="zh-CN"/>
                                        </w:rPr>
                                        <w:t>生产用汽</w:t>
                                      </w:r>
                                    </w:p>
                                    <w:p w14:paraId="24A4DFD7">
                                      <w:pPr>
                                        <w:pStyle w:val="2"/>
                                        <w:jc w:val="center"/>
                                        <w:rPr>
                                          <w:rFonts w:hint="default"/>
                                          <w:sz w:val="21"/>
                                          <w:szCs w:val="21"/>
                                          <w:lang w:val="en-US" w:eastAsia="zh-CN"/>
                                        </w:rPr>
                                      </w:pPr>
                                      <w:r>
                                        <w:rPr>
                                          <w:rFonts w:hint="eastAsia"/>
                                          <w:sz w:val="21"/>
                                          <w:szCs w:val="21"/>
                                          <w:lang w:val="en-US" w:eastAsia="zh-CN"/>
                                        </w:rPr>
                                        <w:t>11169</w:t>
                                      </w:r>
                                    </w:p>
                                    <w:p w14:paraId="056656CB">
                                      <w:pPr>
                                        <w:pStyle w:val="2"/>
                                        <w:jc w:val="cente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2" name="直接箭头连接符 107"/>
                                <wps:cNvCnPr/>
                                <wps:spPr>
                                  <a:xfrm>
                                    <a:off x="9960" y="499514"/>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43" name="文本框 108"/>
                                <wps:cNvSpPr txBox="1"/>
                                <wps:spPr>
                                  <a:xfrm>
                                    <a:off x="10515" y="499199"/>
                                    <a:ext cx="1408" cy="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0298C9">
                                      <w:pPr>
                                        <w:pStyle w:val="2"/>
                                        <w:jc w:val="center"/>
                                        <w:rPr>
                                          <w:rFonts w:hint="eastAsia"/>
                                          <w:sz w:val="21"/>
                                          <w:szCs w:val="21"/>
                                          <w:lang w:val="en-US" w:eastAsia="zh-CN"/>
                                        </w:rPr>
                                      </w:pPr>
                                      <w:r>
                                        <w:rPr>
                                          <w:rFonts w:hint="eastAsia"/>
                                          <w:sz w:val="21"/>
                                          <w:szCs w:val="21"/>
                                          <w:lang w:val="en-US" w:eastAsia="zh-CN"/>
                                        </w:rPr>
                                        <w:t>蒸汽凝结水</w:t>
                                      </w:r>
                                    </w:p>
                                    <w:p w14:paraId="1A9DCA99">
                                      <w:pPr>
                                        <w:pStyle w:val="2"/>
                                        <w:jc w:val="center"/>
                                        <w:rPr>
                                          <w:rFonts w:hint="default"/>
                                          <w:sz w:val="21"/>
                                          <w:szCs w:val="21"/>
                                          <w:lang w:val="en-US" w:eastAsia="zh-CN"/>
                                        </w:rPr>
                                      </w:pPr>
                                      <w:r>
                                        <w:rPr>
                                          <w:rFonts w:hint="eastAsia"/>
                                          <w:sz w:val="21"/>
                                          <w:szCs w:val="21"/>
                                          <w:lang w:val="en-US" w:eastAsia="zh-CN"/>
                                        </w:rPr>
                                        <w:t>11169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4" name="直接箭头连接符 109"/>
                                <wps:cNvCnPr/>
                                <wps:spPr>
                                  <a:xfrm>
                                    <a:off x="11940" y="499529"/>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45" name="文本框 212"/>
                                <wps:cNvSpPr txBox="1"/>
                                <wps:spPr>
                                  <a:xfrm>
                                    <a:off x="12495" y="499184"/>
                                    <a:ext cx="1558" cy="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3CC75">
                                      <w:pPr>
                                        <w:pStyle w:val="2"/>
                                        <w:jc w:val="center"/>
                                        <w:rPr>
                                          <w:rFonts w:hint="default"/>
                                          <w:sz w:val="21"/>
                                          <w:szCs w:val="21"/>
                                          <w:lang w:val="en-US" w:eastAsia="zh-CN"/>
                                        </w:rPr>
                                      </w:pPr>
                                      <w:r>
                                        <w:rPr>
                                          <w:rFonts w:hint="eastAsia"/>
                                          <w:sz w:val="21"/>
                                          <w:szCs w:val="21"/>
                                          <w:lang w:val="en-US" w:eastAsia="zh-CN"/>
                                        </w:rPr>
                                        <w:t>回用于地面冲洗</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7" name="文本框 88"/>
                                <wps:cNvSpPr txBox="1"/>
                                <wps:spPr>
                                  <a:xfrm>
                                    <a:off x="6945" y="499211"/>
                                    <a:ext cx="1230" cy="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376A4A">
                                      <w:pPr>
                                        <w:pStyle w:val="2"/>
                                        <w:jc w:val="center"/>
                                        <w:rPr>
                                          <w:rFonts w:hint="default"/>
                                          <w:sz w:val="21"/>
                                          <w:szCs w:val="21"/>
                                          <w:lang w:val="en-US" w:eastAsia="zh-CN"/>
                                        </w:rPr>
                                      </w:pPr>
                                      <w:r>
                                        <w:rPr>
                                          <w:rFonts w:hint="eastAsia"/>
                                          <w:sz w:val="21"/>
                                          <w:szCs w:val="21"/>
                                          <w:lang w:val="en-US" w:eastAsia="zh-CN"/>
                                        </w:rPr>
                                        <w:t>园区蒸汽</w:t>
                                      </w:r>
                                    </w:p>
                                    <w:p w14:paraId="4CD69B34">
                                      <w:pPr>
                                        <w:pStyle w:val="2"/>
                                        <w:jc w:val="center"/>
                                        <w:rPr>
                                          <w:rFonts w:hint="default"/>
                                          <w:sz w:val="21"/>
                                          <w:szCs w:val="21"/>
                                          <w:lang w:val="en-US" w:eastAsia="zh-CN"/>
                                        </w:rPr>
                                      </w:pPr>
                                      <w:r>
                                        <w:rPr>
                                          <w:rFonts w:hint="eastAsia"/>
                                          <w:sz w:val="21"/>
                                          <w:szCs w:val="21"/>
                                          <w:lang w:val="en-US" w:eastAsia="zh-CN"/>
                                        </w:rPr>
                                        <w:t>12410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23.6pt;margin-top:14.75pt;height:83.3pt;width:355.4pt;z-index:251736064;mso-width-relative:page;mso-height-relative:page;" coordorigin="6945,498222" coordsize="7108,1666" o:gfxdata="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">
                      <o:lock v:ext="edit" aspectratio="f"/>
                      <v:group id="组合 228" o:spid="_x0000_s1026" o:spt="203" style="position:absolute;left:8505;top:498222;height:974;width:2084;" coordorigin="6195,495222" coordsize="2084,974" o:gfxdata="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3n5OLvwAAANwAAAAPAAAAAAAAAAEAIAAAACIAAABkcnMvZG93bnJldi54&#10;bWxQSwECFAAUAAAACACHTuJAMy8FnjsAAAA5AAAAFQAAAAAAAAABACAAAAAOAQAAZHJzL2dyb3Vw&#10;c2hhcGV4bWwueG1sUEsFBgAAAAAGAAYAYAEAAMsDAAAAAA==&#10;">
                        <o:lock v:ext="edit" aspectratio="f"/>
                        <v:shape id="曲线连接符 100" o:spid="_x0000_s1026" o:spt="38" type="#_x0000_t38" style="position:absolute;left:7020;top:495926;flip:y;height:270;width:300;" filled="f" stroked="t" coordsize="21600,21600" o:gfxdata="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O0uxr4A&#10;AADcAAAADwAAAAAAAAABACAAAAAiAAAAZHJzL2Rvd25yZXYueG1sUEsBAhQAFAAAAAgAh07iQDMv&#10;BZ47AAAAOQAAABAAAAAAAAAAAQAgAAAADQEAAGRycy9zaGFwZXhtbC54bWxQSwUGAAAAAAYABgBb&#10;AQAAtwMAAAAA&#10;" adj="10872">
                          <v:fill on="f" focussize="0,0"/>
                          <v:stroke color="#FF0000 [3204]" joinstyle="round" endarrow="block"/>
                          <v:imagedata o:title=""/>
                          <o:lock v:ext="edit" aspectratio="f"/>
                        </v:shape>
                        <v:shape id="文本框 106" o:spid="_x0000_s1026" o:spt="202" type="#_x0000_t202" style="position:absolute;left:6195;top:495222;height:704;width:2084;" filled="f" stroked="f" coordsize="21600,21600" o:gfxdata="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qPju/&#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E2CF55E">
                                <w:pPr>
                                  <w:pStyle w:val="2"/>
                                  <w:jc w:val="center"/>
                                  <w:rPr>
                                    <w:rFonts w:hint="eastAsia"/>
                                    <w:sz w:val="21"/>
                                    <w:szCs w:val="21"/>
                                    <w:lang w:val="en-US" w:eastAsia="zh-CN"/>
                                  </w:rPr>
                                </w:pPr>
                                <w:r>
                                  <w:rPr>
                                    <w:rFonts w:hint="eastAsia"/>
                                    <w:sz w:val="21"/>
                                    <w:szCs w:val="21"/>
                                    <w:lang w:val="en-US" w:eastAsia="zh-CN"/>
                                  </w:rPr>
                                  <w:t>管道损失、生产损失</w:t>
                                </w:r>
                              </w:p>
                              <w:p w14:paraId="092A06D6">
                                <w:pPr>
                                  <w:pStyle w:val="2"/>
                                  <w:jc w:val="center"/>
                                  <w:rPr>
                                    <w:rFonts w:hint="default"/>
                                    <w:sz w:val="21"/>
                                    <w:szCs w:val="21"/>
                                    <w:lang w:val="en-US" w:eastAsia="zh-CN"/>
                                  </w:rPr>
                                </w:pPr>
                                <w:r>
                                  <w:rPr>
                                    <w:rFonts w:hint="eastAsia"/>
                                    <w:sz w:val="21"/>
                                    <w:szCs w:val="21"/>
                                    <w:lang w:val="en-US" w:eastAsia="zh-CN"/>
                                  </w:rPr>
                                  <w:t>1241</w:t>
                                </w:r>
                              </w:p>
                            </w:txbxContent>
                          </v:textbox>
                        </v:shape>
                      </v:group>
                      <v:group id="_x0000_s1026" o:spid="_x0000_s1026" o:spt="203" style="position:absolute;left:6945;top:499184;height:704;width:7108;" coordorigin="6945,499184" coordsize="7108,704" o:gfxdata="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o0lrvAAAANwAAAAPAAAAAAAAAAEAIAAAACIAAABkcnMvZG93bnJldi54bWxQ&#10;SwECFAAUAAAACACHTuJAMy8FnjsAAAA5AAAAFQAAAAAAAAABACAAAAALAQAAZHJzL2dyb3Vwc2hh&#10;cGV4bWwueG1sUEsFBgAAAAAGAAYAYAEAAMgDAAAAAA==&#10;">
                        <o:lock v:ext="edit" aspectratio="f"/>
                        <v:shape id="直接箭头连接符 89" o:spid="_x0000_s1026" o:spt="32" type="#_x0000_t32" style="position:absolute;left:8175;top:499499;height:0;width:540;" filled="f" stroked="t" coordsize="21600,21600" o:gfxdata="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UWtCvQAA&#10;ANwAAAAPAAAAAAAAAAEAIAAAACIAAABkcnMvZG93bnJldi54bWxQSwECFAAUAAAACACHTuJAMy8F&#10;njsAAAA5AAAAEAAAAAAAAAABACAAAAAMAQAAZHJzL3NoYXBleG1sLnhtbFBLBQYAAAAABgAGAFsB&#10;AAC2AwAAAAA=&#10;">
                          <v:fill on="f" focussize="0,0"/>
                          <v:stroke color="#FF0000 [3204]" joinstyle="round" endarrow="block"/>
                          <v:imagedata o:title=""/>
                          <o:lock v:ext="edit" aspectratio="f"/>
                        </v:shape>
                        <v:shape id="文本框 91" o:spid="_x0000_s1026" o:spt="202" type="#_x0000_t202" style="position:absolute;left:8715;top:499199;height:660;width:1230;" fillcolor="#FFFFFF [3201]" filled="t" stroked="t" coordsize="21600,21600" o:gfxdata="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naxG8AAAA&#10;3A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4A025E80">
                                <w:pPr>
                                  <w:pStyle w:val="2"/>
                                  <w:jc w:val="center"/>
                                  <w:rPr>
                                    <w:rFonts w:hint="eastAsia"/>
                                    <w:sz w:val="21"/>
                                    <w:szCs w:val="21"/>
                                    <w:lang w:val="en-US" w:eastAsia="zh-CN"/>
                                  </w:rPr>
                                </w:pPr>
                                <w:r>
                                  <w:rPr>
                                    <w:rFonts w:hint="eastAsia"/>
                                    <w:sz w:val="21"/>
                                    <w:szCs w:val="21"/>
                                    <w:lang w:val="en-US" w:eastAsia="zh-CN"/>
                                  </w:rPr>
                                  <w:t>生产用汽</w:t>
                                </w:r>
                              </w:p>
                              <w:p w14:paraId="24A4DFD7">
                                <w:pPr>
                                  <w:pStyle w:val="2"/>
                                  <w:jc w:val="center"/>
                                  <w:rPr>
                                    <w:rFonts w:hint="default"/>
                                    <w:sz w:val="21"/>
                                    <w:szCs w:val="21"/>
                                    <w:lang w:val="en-US" w:eastAsia="zh-CN"/>
                                  </w:rPr>
                                </w:pPr>
                                <w:r>
                                  <w:rPr>
                                    <w:rFonts w:hint="eastAsia"/>
                                    <w:sz w:val="21"/>
                                    <w:szCs w:val="21"/>
                                    <w:lang w:val="en-US" w:eastAsia="zh-CN"/>
                                  </w:rPr>
                                  <w:t>11169</w:t>
                                </w:r>
                              </w:p>
                              <w:p w14:paraId="056656CB">
                                <w:pPr>
                                  <w:pStyle w:val="2"/>
                                  <w:jc w:val="center"/>
                                  <w:rPr>
                                    <w:rFonts w:hint="default"/>
                                    <w:lang w:val="en-US" w:eastAsia="zh-CN"/>
                                  </w:rPr>
                                </w:pPr>
                              </w:p>
                            </w:txbxContent>
                          </v:textbox>
                        </v:shape>
                        <v:shape id="直接箭头连接符 107" o:spid="_x0000_s1026" o:spt="32" type="#_x0000_t32" style="position:absolute;left:9960;top:499514;height:0;width:540;" filled="f" stroked="t" coordsize="21600,21600" o:gfxdata="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PUK6/&#10;AAAA3AAAAA8AAAAAAAAAAQAgAAAAIgAAAGRycy9kb3ducmV2LnhtbFBLAQIUABQAAAAIAIdO4kAz&#10;LwWeOwAAADkAAAAQAAAAAAAAAAEAIAAAAA4BAABkcnMvc2hhcGV4bWwueG1sUEsFBgAAAAAGAAYA&#10;WwEAALgDAAAAAA==&#10;">
                          <v:fill on="f" focussize="0,0"/>
                          <v:stroke color="#FF0000 [3204]" joinstyle="round" endarrow="block"/>
                          <v:imagedata o:title=""/>
                          <o:lock v:ext="edit" aspectratio="f"/>
                        </v:shape>
                        <v:shape id="文本框 108" o:spid="_x0000_s1026" o:spt="202" type="#_x0000_t202" style="position:absolute;left:10515;top:499199;height:660;width:1408;" fillcolor="#FFFFFF [3201]" filled="t" stroked="t" coordsize="21600,21600" o:gfxdata="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OVD9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2E0298C9">
                                <w:pPr>
                                  <w:pStyle w:val="2"/>
                                  <w:jc w:val="center"/>
                                  <w:rPr>
                                    <w:rFonts w:hint="eastAsia"/>
                                    <w:sz w:val="21"/>
                                    <w:szCs w:val="21"/>
                                    <w:lang w:val="en-US" w:eastAsia="zh-CN"/>
                                  </w:rPr>
                                </w:pPr>
                                <w:r>
                                  <w:rPr>
                                    <w:rFonts w:hint="eastAsia"/>
                                    <w:sz w:val="21"/>
                                    <w:szCs w:val="21"/>
                                    <w:lang w:val="en-US" w:eastAsia="zh-CN"/>
                                  </w:rPr>
                                  <w:t>蒸汽凝结水</w:t>
                                </w:r>
                              </w:p>
                              <w:p w14:paraId="1A9DCA99">
                                <w:pPr>
                                  <w:pStyle w:val="2"/>
                                  <w:jc w:val="center"/>
                                  <w:rPr>
                                    <w:rFonts w:hint="default"/>
                                    <w:sz w:val="21"/>
                                    <w:szCs w:val="21"/>
                                    <w:lang w:val="en-US" w:eastAsia="zh-CN"/>
                                  </w:rPr>
                                </w:pPr>
                                <w:r>
                                  <w:rPr>
                                    <w:rFonts w:hint="eastAsia"/>
                                    <w:sz w:val="21"/>
                                    <w:szCs w:val="21"/>
                                    <w:lang w:val="en-US" w:eastAsia="zh-CN"/>
                                  </w:rPr>
                                  <w:t>11169</w:t>
                                </w:r>
                              </w:p>
                            </w:txbxContent>
                          </v:textbox>
                        </v:shape>
                        <v:shape id="直接箭头连接符 109" o:spid="_x0000_s1026" o:spt="32" type="#_x0000_t32" style="position:absolute;left:11940;top:499529;height:0;width:540;" filled="f" stroked="t" coordsize="21600,21600" o:gfxdata="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9qbUG/&#10;AAAA3AAAAA8AAAAAAAAAAQAgAAAAIgAAAGRycy9kb3ducmV2LnhtbFBLAQIUABQAAAAIAIdO4kAz&#10;LwWeOwAAADkAAAAQAAAAAAAAAAEAIAAAAA4BAABkcnMvc2hhcGV4bWwueG1sUEsFBgAAAAAGAAYA&#10;WwEAALgDAAAAAA==&#10;">
                          <v:fill on="f" focussize="0,0"/>
                          <v:stroke color="#FF0000 [3204]" joinstyle="round" endarrow="block"/>
                          <v:imagedata o:title=""/>
                          <o:lock v:ext="edit" aspectratio="f"/>
                        </v:shape>
                        <v:shape id="文本框 212" o:spid="_x0000_s1026" o:spt="202" type="#_x0000_t202" style="position:absolute;left:12495;top:499184;height:705;width:1558;" filled="f" stroked="f" coordsize="21600,21600" o:gfxdata="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8naq&#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4E83CC75">
                                <w:pPr>
                                  <w:pStyle w:val="2"/>
                                  <w:jc w:val="center"/>
                                  <w:rPr>
                                    <w:rFonts w:hint="default"/>
                                    <w:sz w:val="21"/>
                                    <w:szCs w:val="21"/>
                                    <w:lang w:val="en-US" w:eastAsia="zh-CN"/>
                                  </w:rPr>
                                </w:pPr>
                                <w:r>
                                  <w:rPr>
                                    <w:rFonts w:hint="eastAsia"/>
                                    <w:sz w:val="21"/>
                                    <w:szCs w:val="21"/>
                                    <w:lang w:val="en-US" w:eastAsia="zh-CN"/>
                                  </w:rPr>
                                  <w:t>回用于地面冲洗</w:t>
                                </w:r>
                              </w:p>
                            </w:txbxContent>
                          </v:textbox>
                        </v:shape>
                        <v:shape id="文本框 88" o:spid="_x0000_s1026" o:spt="202" type="#_x0000_t202" style="position:absolute;left:6945;top:499211;height:660;width:1230;" fillcolor="#FFFFFF [3201]" filled="t" stroked="t" coordsize="21600,21600" o:gfxdata="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ICVv68AAAA&#10;3A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5F376A4A">
                                <w:pPr>
                                  <w:pStyle w:val="2"/>
                                  <w:jc w:val="center"/>
                                  <w:rPr>
                                    <w:rFonts w:hint="default"/>
                                    <w:sz w:val="21"/>
                                    <w:szCs w:val="21"/>
                                    <w:lang w:val="en-US" w:eastAsia="zh-CN"/>
                                  </w:rPr>
                                </w:pPr>
                                <w:r>
                                  <w:rPr>
                                    <w:rFonts w:hint="eastAsia"/>
                                    <w:sz w:val="21"/>
                                    <w:szCs w:val="21"/>
                                    <w:lang w:val="en-US" w:eastAsia="zh-CN"/>
                                  </w:rPr>
                                  <w:t>园区蒸汽</w:t>
                                </w:r>
                              </w:p>
                              <w:p w14:paraId="4CD69B34">
                                <w:pPr>
                                  <w:pStyle w:val="2"/>
                                  <w:jc w:val="center"/>
                                  <w:rPr>
                                    <w:rFonts w:hint="default"/>
                                    <w:sz w:val="21"/>
                                    <w:szCs w:val="21"/>
                                    <w:lang w:val="en-US" w:eastAsia="zh-CN"/>
                                  </w:rPr>
                                </w:pPr>
                                <w:r>
                                  <w:rPr>
                                    <w:rFonts w:hint="eastAsia"/>
                                    <w:sz w:val="21"/>
                                    <w:szCs w:val="21"/>
                                    <w:lang w:val="en-US" w:eastAsia="zh-CN"/>
                                  </w:rPr>
                                  <w:t>12410</w:t>
                                </w:r>
                              </w:p>
                            </w:txbxContent>
                          </v:textbox>
                        </v:shape>
                      </v:group>
                    </v:group>
                  </w:pict>
                </mc:Fallback>
              </mc:AlternateContent>
            </w:r>
          </w:p>
          <w:p w14:paraId="36401F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3E06A49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4732DE0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0EC3A83E">
            <w:pPr>
              <w:pStyle w:val="2"/>
              <w:keepNext w:val="0"/>
              <w:keepLines w:val="0"/>
              <w:suppressLineNumbers w:val="0"/>
              <w:spacing w:before="0" w:beforeAutospacing="0" w:after="0" w:afterAutospacing="0"/>
              <w:ind w:left="0" w:right="0"/>
              <w:rPr>
                <w:rFonts w:hint="eastAsia"/>
                <w:color w:val="auto"/>
                <w:sz w:val="24"/>
                <w:highlight w:val="none"/>
              </w:rPr>
            </w:pPr>
          </w:p>
          <w:p w14:paraId="52582CCB">
            <w:pPr>
              <w:pStyle w:val="2"/>
              <w:keepNext w:val="0"/>
              <w:keepLines w:val="0"/>
              <w:suppressLineNumbers w:val="0"/>
              <w:spacing w:before="0" w:beforeAutospacing="0" w:after="0" w:afterAutospacing="0"/>
              <w:ind w:left="0" w:right="0"/>
              <w:rPr>
                <w:rFonts w:hint="eastAsia"/>
                <w:color w:val="auto"/>
                <w:sz w:val="24"/>
                <w:highlight w:val="none"/>
              </w:rPr>
            </w:pPr>
          </w:p>
          <w:p w14:paraId="7BC7E2B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r>
              <w:rPr>
                <w:rFonts w:hint="eastAsia"/>
                <w:b/>
                <w:bCs/>
                <w:color w:val="auto"/>
                <w:sz w:val="24"/>
                <w:highlight w:val="none"/>
                <w:lang w:val="en-US" w:eastAsia="zh-CN"/>
              </w:rPr>
              <w:t>图2  全厂蒸汽平衡图（单位：t/a）</w:t>
            </w:r>
          </w:p>
          <w:p w14:paraId="1AA980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006F5AE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275B41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28E60B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g">
                  <w:drawing>
                    <wp:anchor distT="0" distB="0" distL="114300" distR="114300" simplePos="0" relativeHeight="251832320" behindDoc="0" locked="0" layoutInCell="1" allowOverlap="1">
                      <wp:simplePos x="0" y="0"/>
                      <wp:positionH relativeFrom="column">
                        <wp:posOffset>347345</wp:posOffset>
                      </wp:positionH>
                      <wp:positionV relativeFrom="paragraph">
                        <wp:posOffset>194310</wp:posOffset>
                      </wp:positionV>
                      <wp:extent cx="3695065" cy="1086485"/>
                      <wp:effectExtent l="0" t="0" r="0" b="0"/>
                      <wp:wrapNone/>
                      <wp:docPr id="183" name="组合 321"/>
                      <wp:cNvGraphicFramePr/>
                      <a:graphic xmlns:a="http://schemas.openxmlformats.org/drawingml/2006/main">
                        <a:graphicData uri="http://schemas.microsoft.com/office/word/2010/wordprocessingGroup">
                          <wpg:wgp>
                            <wpg:cNvGrpSpPr/>
                            <wpg:grpSpPr>
                              <a:xfrm rot="0">
                                <a:off x="1933575" y="4204970"/>
                                <a:ext cx="3695065" cy="1086485"/>
                                <a:chOff x="4305" y="502277"/>
                                <a:chExt cx="5819" cy="1711"/>
                              </a:xfrm>
                            </wpg:grpSpPr>
                            <wpg:grpSp>
                              <wpg:cNvPr id="184" name="组合 228"/>
                              <wpg:cNvGrpSpPr/>
                              <wpg:grpSpPr>
                                <a:xfrm rot="0">
                                  <a:off x="6090" y="502277"/>
                                  <a:ext cx="2084" cy="735"/>
                                  <a:chOff x="6195" y="495461"/>
                                  <a:chExt cx="2084" cy="735"/>
                                </a:xfrm>
                              </wpg:grpSpPr>
                              <wps:wsp>
                                <wps:cNvPr id="185" name="曲线连接符 100"/>
                                <wps:cNvCnPr/>
                                <wps:spPr>
                                  <a:xfrm flipV="1">
                                    <a:off x="7020" y="495926"/>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186" name="文本框 106"/>
                                <wps:cNvSpPr txBox="1"/>
                                <wps:spPr>
                                  <a:xfrm>
                                    <a:off x="6195" y="495461"/>
                                    <a:ext cx="2084" cy="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14694">
                                      <w:pPr>
                                        <w:pStyle w:val="2"/>
                                        <w:jc w:val="center"/>
                                        <w:rPr>
                                          <w:rFonts w:hint="default"/>
                                          <w:sz w:val="21"/>
                                          <w:szCs w:val="21"/>
                                          <w:lang w:val="en-US" w:eastAsia="zh-CN"/>
                                        </w:rPr>
                                      </w:pPr>
                                      <w:r>
                                        <w:rPr>
                                          <w:rFonts w:hint="eastAsia"/>
                                          <w:sz w:val="21"/>
                                          <w:szCs w:val="21"/>
                                          <w:lang w:val="en-US" w:eastAsia="zh-CN"/>
                                        </w:rPr>
                                        <w:t>损失0.128</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17" name="组合 320"/>
                              <wpg:cNvGrpSpPr/>
                              <wpg:grpSpPr>
                                <a:xfrm>
                                  <a:off x="4305" y="502862"/>
                                  <a:ext cx="5819" cy="1126"/>
                                  <a:chOff x="4305" y="502862"/>
                                  <a:chExt cx="5819" cy="1126"/>
                                </a:xfrm>
                              </wpg:grpSpPr>
                              <wpg:grpSp>
                                <wpg:cNvPr id="220" name="组合 319"/>
                                <wpg:cNvGrpSpPr/>
                                <wpg:grpSpPr>
                                  <a:xfrm>
                                    <a:off x="4305" y="503012"/>
                                    <a:ext cx="5173" cy="976"/>
                                    <a:chOff x="4305" y="503012"/>
                                    <a:chExt cx="5173" cy="976"/>
                                  </a:xfrm>
                                </wpg:grpSpPr>
                                <wps:wsp>
                                  <wps:cNvPr id="230" name="文本框 88"/>
                                  <wps:cNvSpPr txBox="1"/>
                                  <wps:spPr>
                                    <a:xfrm>
                                      <a:off x="4305" y="503537"/>
                                      <a:ext cx="1230" cy="45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9F49A">
                                        <w:pPr>
                                          <w:pStyle w:val="2"/>
                                          <w:jc w:val="center"/>
                                          <w:rPr>
                                            <w:rFonts w:hint="default"/>
                                            <w:sz w:val="21"/>
                                            <w:szCs w:val="21"/>
                                            <w:lang w:val="en-US" w:eastAsia="zh-CN"/>
                                          </w:rPr>
                                        </w:pPr>
                                        <w:r>
                                          <w:rPr>
                                            <w:rFonts w:hint="eastAsia"/>
                                            <w:sz w:val="21"/>
                                            <w:szCs w:val="21"/>
                                            <w:lang w:val="en-US"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4" name="文本框 91"/>
                                  <wps:cNvSpPr txBox="1"/>
                                  <wps:spPr>
                                    <a:xfrm>
                                      <a:off x="6300" y="503012"/>
                                      <a:ext cx="1230" cy="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4974F46">
                                        <w:pPr>
                                          <w:pStyle w:val="2"/>
                                          <w:jc w:val="center"/>
                                          <w:rPr>
                                            <w:rFonts w:hint="default"/>
                                            <w:sz w:val="21"/>
                                            <w:szCs w:val="21"/>
                                            <w:lang w:val="en-US" w:eastAsia="zh-CN"/>
                                          </w:rPr>
                                        </w:pPr>
                                        <w:r>
                                          <w:rPr>
                                            <w:rFonts w:hint="eastAsia"/>
                                            <w:sz w:val="21"/>
                                            <w:szCs w:val="21"/>
                                            <w:lang w:val="en-US" w:eastAsia="zh-CN"/>
                                          </w:rPr>
                                          <w:t>生活用水</w:t>
                                        </w:r>
                                      </w:p>
                                      <w:p w14:paraId="7A609BFF">
                                        <w:pPr>
                                          <w:pStyle w:val="2"/>
                                          <w:jc w:val="cente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5" name="文本框 108"/>
                                  <wps:cNvSpPr txBox="1"/>
                                  <wps:spPr>
                                    <a:xfrm>
                                      <a:off x="8070" y="503027"/>
                                      <a:ext cx="1408" cy="4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79C69CA">
                                        <w:pPr>
                                          <w:pStyle w:val="2"/>
                                          <w:jc w:val="center"/>
                                          <w:rPr>
                                            <w:rFonts w:hint="default"/>
                                            <w:sz w:val="21"/>
                                            <w:szCs w:val="21"/>
                                            <w:lang w:val="en-US" w:eastAsia="zh-CN"/>
                                          </w:rPr>
                                        </w:pPr>
                                        <w:r>
                                          <w:rPr>
                                            <w:rFonts w:hint="eastAsia"/>
                                            <w:sz w:val="21"/>
                                            <w:szCs w:val="21"/>
                                            <w:lang w:val="en-US" w:eastAsia="zh-CN"/>
                                          </w:rPr>
                                          <w:t>防渗化粪池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6" name="直接箭头连接符 109"/>
                                  <wps:cNvCnPr/>
                                  <wps:spPr>
                                    <a:xfrm>
                                      <a:off x="7530" y="503237"/>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51" name="直接箭头连接符 107"/>
                                  <wps:cNvCnPr/>
                                  <wps:spPr>
                                    <a:xfrm>
                                      <a:off x="5745" y="503237"/>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g:grpSp>
                              <wpg:grpSp>
                                <wpg:cNvPr id="272" name="组合 318"/>
                                <wpg:cNvGrpSpPr/>
                                <wpg:grpSpPr>
                                  <a:xfrm>
                                    <a:off x="5610" y="502862"/>
                                    <a:ext cx="4514" cy="510"/>
                                    <a:chOff x="5565" y="502877"/>
                                    <a:chExt cx="4514" cy="510"/>
                                  </a:xfrm>
                                </wpg:grpSpPr>
                                <wps:wsp>
                                  <wps:cNvPr id="279" name="文本框 212"/>
                                  <wps:cNvSpPr txBox="1"/>
                                  <wps:spPr>
                                    <a:xfrm>
                                      <a:off x="5565" y="502877"/>
                                      <a:ext cx="809" cy="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39790">
                                        <w:pPr>
                                          <w:pStyle w:val="2"/>
                                          <w:jc w:val="center"/>
                                          <w:rPr>
                                            <w:rFonts w:hint="default"/>
                                            <w:sz w:val="21"/>
                                            <w:szCs w:val="21"/>
                                            <w:lang w:val="en-US" w:eastAsia="zh-CN"/>
                                          </w:rPr>
                                        </w:pPr>
                                        <w:r>
                                          <w:rPr>
                                            <w:rFonts w:hint="eastAsia"/>
                                            <w:sz w:val="21"/>
                                            <w:szCs w:val="21"/>
                                            <w:lang w:val="en-US" w:eastAsia="zh-CN"/>
                                          </w:rPr>
                                          <w:t>0.64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0" name="文本框 212"/>
                                  <wps:cNvSpPr txBox="1"/>
                                  <wps:spPr>
                                    <a:xfrm>
                                      <a:off x="7380" y="502877"/>
                                      <a:ext cx="809" cy="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3911A">
                                        <w:pPr>
                                          <w:pStyle w:val="2"/>
                                          <w:jc w:val="center"/>
                                          <w:rPr>
                                            <w:rFonts w:hint="default"/>
                                            <w:sz w:val="21"/>
                                            <w:szCs w:val="21"/>
                                            <w:lang w:val="en-US" w:eastAsia="zh-CN"/>
                                          </w:rPr>
                                        </w:pPr>
                                        <w:r>
                                          <w:rPr>
                                            <w:rFonts w:hint="eastAsia"/>
                                            <w:sz w:val="21"/>
                                            <w:szCs w:val="21"/>
                                            <w:lang w:val="en-US" w:eastAsia="zh-CN"/>
                                          </w:rPr>
                                          <w:t>0.512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1" name="文本框 212"/>
                                  <wps:cNvSpPr txBox="1"/>
                                  <wps:spPr>
                                    <a:xfrm>
                                      <a:off x="9270" y="502952"/>
                                      <a:ext cx="809" cy="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AD0B1">
                                        <w:pPr>
                                          <w:pStyle w:val="2"/>
                                          <w:jc w:val="center"/>
                                          <w:rPr>
                                            <w:rFonts w:hint="default"/>
                                            <w:sz w:val="21"/>
                                            <w:szCs w:val="21"/>
                                            <w:lang w:val="en-US" w:eastAsia="zh-CN"/>
                                          </w:rPr>
                                        </w:pPr>
                                        <w:r>
                                          <w:rPr>
                                            <w:rFonts w:hint="eastAsia"/>
                                            <w:sz w:val="21"/>
                                            <w:szCs w:val="21"/>
                                            <w:lang w:val="en-US" w:eastAsia="zh-CN"/>
                                          </w:rPr>
                                          <w:t>0.512</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id="组合 321" o:spid="_x0000_s1026" o:spt="203" style="position:absolute;left:0pt;margin-left:27.35pt;margin-top:15.3pt;height:85.55pt;width:290.95pt;z-index:251832320;mso-width-relative:page;mso-height-relative:page;" coordorigin="4305,502277" coordsize="5819,1711" o:gfxdata="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">
                      <o:lock v:ext="edit" aspectratio="f"/>
                      <v:group id="组合 228" o:spid="_x0000_s1026" o:spt="203" style="position:absolute;left:6090;top:502277;height:735;width:2084;" coordorigin="6195,495461" coordsize="2084,735" o:gfxdata="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fcpiIvAAAANwAAAAPAAAAAAAAAAEAIAAAACIAAABkcnMvZG93bnJldi54bWxQ&#10;SwECFAAUAAAACACHTuJAMy8FnjsAAAA5AAAAFQAAAAAAAAABACAAAAALAQAAZHJzL2dyb3Vwc2hh&#10;cGV4bWwueG1sUEsFBgAAAAAGAAYAYAEAAMgDAAAAAA==&#10;">
                        <o:lock v:ext="edit" aspectratio="f"/>
                        <v:shape id="曲线连接符 100" o:spid="_x0000_s1026" o:spt="38" type="#_x0000_t38" style="position:absolute;left:7020;top:495926;flip:y;height:270;width:300;" filled="f" stroked="t" coordsize="21600,21600" o:gfxdata="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nh4pvQAA&#10;ANwAAAAPAAAAAAAAAAEAIAAAACIAAABkcnMvZG93bnJldi54bWxQSwECFAAUAAAACACHTuJAMy8F&#10;njsAAAA5AAAAEAAAAAAAAAABACAAAAAMAQAAZHJzL3NoYXBleG1sLnhtbFBLBQYAAAAABgAGAFsB&#10;AAC2AwAAAAA=&#10;" adj="10872">
                          <v:fill on="f" focussize="0,0"/>
                          <v:stroke color="#FF0000 [3204]" joinstyle="round" endarrow="block"/>
                          <v:imagedata o:title=""/>
                          <o:lock v:ext="edit" aspectratio="f"/>
                        </v:shape>
                        <v:shape id="文本框 106" o:spid="_x0000_s1026" o:spt="202" type="#_x0000_t202" style="position:absolute;left:6195;top:495461;height:465;width:2084;" filled="f" stroked="f" coordsize="21600,21600" o:gfxdata="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rwzO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D314694">
                                <w:pPr>
                                  <w:pStyle w:val="2"/>
                                  <w:jc w:val="center"/>
                                  <w:rPr>
                                    <w:rFonts w:hint="default"/>
                                    <w:sz w:val="21"/>
                                    <w:szCs w:val="21"/>
                                    <w:lang w:val="en-US" w:eastAsia="zh-CN"/>
                                  </w:rPr>
                                </w:pPr>
                                <w:r>
                                  <w:rPr>
                                    <w:rFonts w:hint="eastAsia"/>
                                    <w:sz w:val="21"/>
                                    <w:szCs w:val="21"/>
                                    <w:lang w:val="en-US" w:eastAsia="zh-CN"/>
                                  </w:rPr>
                                  <w:t>损失0.128</w:t>
                                </w:r>
                              </w:p>
                            </w:txbxContent>
                          </v:textbox>
                        </v:shape>
                      </v:group>
                      <v:group id="组合 320" o:spid="_x0000_s1026" o:spt="203" style="position:absolute;left:4305;top:502862;height:1126;width:5819;" coordorigin="4305,502862" coordsize="5819,1126" o:gfxdata="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cj/IEvwAAANwAAAAPAAAAAAAAAAEAIAAAACIAAABkcnMvZG93bnJldi54&#10;bWxQSwECFAAUAAAACACHTuJAMy8FnjsAAAA5AAAAFQAAAAAAAAABACAAAAAOAQAAZHJzL2dyb3Vw&#10;c2hhcGV4bWwueG1sUEsFBgAAAAAGAAYAYAEAAMsDAAAAAA==&#10;">
                        <o:lock v:ext="edit" aspectratio="f"/>
                        <v:group id="组合 319" o:spid="_x0000_s1026" o:spt="203" style="position:absolute;left:4305;top:503012;height:976;width:5173;" coordorigin="4305,503012" coordsize="5173,976" o:gfxdata="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dCqDNvAAAANwAAAAPAAAAAAAAAAEAIAAAACIAAABkcnMvZG93bnJldi54bWxQ&#10;SwECFAAUAAAACACHTuJAMy8FnjsAAAA5AAAAFQAAAAAAAAABACAAAAALAQAAZHJzL2dyb3Vwc2hh&#10;cGV4bWwueG1sUEsFBgAAAAAGAAYAYAEAAMgDAAAAAA==&#10;">
                          <o:lock v:ext="edit" aspectratio="f"/>
                          <v:shape id="文本框 88" o:spid="_x0000_s1026" o:spt="202" type="#_x0000_t202" style="position:absolute;left:4305;top:503537;height:451;width:1230;" filled="f" stroked="f" coordsize="21600,21600" o:gfxdata="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g6ZP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9A9F49A">
                                  <w:pPr>
                                    <w:pStyle w:val="2"/>
                                    <w:jc w:val="center"/>
                                    <w:rPr>
                                      <w:rFonts w:hint="default"/>
                                      <w:sz w:val="21"/>
                                      <w:szCs w:val="21"/>
                                      <w:lang w:val="en-US" w:eastAsia="zh-CN"/>
                                    </w:rPr>
                                  </w:pPr>
                                  <w:r>
                                    <w:rPr>
                                      <w:rFonts w:hint="eastAsia"/>
                                      <w:sz w:val="21"/>
                                      <w:szCs w:val="21"/>
                                      <w:lang w:val="en-US" w:eastAsia="zh-CN"/>
                                    </w:rPr>
                                    <w:t>新鲜水</w:t>
                                  </w:r>
                                </w:p>
                              </w:txbxContent>
                            </v:textbox>
                          </v:shape>
                          <v:shape id="文本框 91" o:spid="_x0000_s1026" o:spt="202" type="#_x0000_t202" style="position:absolute;left:6300;top:503012;height:435;width:1230;" fillcolor="#FFFFFF [3201]" filled="t" stroked="t" coordsize="21600,21600" o:gfxdata="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1rv0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24974F46">
                                  <w:pPr>
                                    <w:pStyle w:val="2"/>
                                    <w:jc w:val="center"/>
                                    <w:rPr>
                                      <w:rFonts w:hint="default"/>
                                      <w:sz w:val="21"/>
                                      <w:szCs w:val="21"/>
                                      <w:lang w:val="en-US" w:eastAsia="zh-CN"/>
                                    </w:rPr>
                                  </w:pPr>
                                  <w:r>
                                    <w:rPr>
                                      <w:rFonts w:hint="eastAsia"/>
                                      <w:sz w:val="21"/>
                                      <w:szCs w:val="21"/>
                                      <w:lang w:val="en-US" w:eastAsia="zh-CN"/>
                                    </w:rPr>
                                    <w:t>生活用水</w:t>
                                  </w:r>
                                </w:p>
                                <w:p w14:paraId="7A609BFF">
                                  <w:pPr>
                                    <w:pStyle w:val="2"/>
                                    <w:jc w:val="center"/>
                                    <w:rPr>
                                      <w:rFonts w:hint="default"/>
                                      <w:lang w:val="en-US" w:eastAsia="zh-CN"/>
                                    </w:rPr>
                                  </w:pPr>
                                </w:p>
                              </w:txbxContent>
                            </v:textbox>
                          </v:shape>
                          <v:shape id="文本框 108" o:spid="_x0000_s1026" o:spt="202" type="#_x0000_t202" style="position:absolute;left:8070;top:503027;height:420;width:1408;" fillcolor="#FFFFFF [3201]" filled="t" stroked="t" coordsize="21600,21600" o:gfxdata="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mh5v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479C69CA">
                                  <w:pPr>
                                    <w:pStyle w:val="2"/>
                                    <w:jc w:val="center"/>
                                    <w:rPr>
                                      <w:rFonts w:hint="default"/>
                                      <w:sz w:val="21"/>
                                      <w:szCs w:val="21"/>
                                      <w:lang w:val="en-US" w:eastAsia="zh-CN"/>
                                    </w:rPr>
                                  </w:pPr>
                                  <w:r>
                                    <w:rPr>
                                      <w:rFonts w:hint="eastAsia"/>
                                      <w:sz w:val="21"/>
                                      <w:szCs w:val="21"/>
                                      <w:lang w:val="en-US" w:eastAsia="zh-CN"/>
                                    </w:rPr>
                                    <w:t>防渗化粪池</w:t>
                                  </w:r>
                                </w:p>
                              </w:txbxContent>
                            </v:textbox>
                          </v:shape>
                          <v:shape id="直接箭头连接符 109" o:spid="_x0000_s1026" o:spt="32" type="#_x0000_t32" style="position:absolute;left:7530;top:503237;height:0;width:540;" filled="f" stroked="t" coordsize="21600,21600" o:gfxdata="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yJdC/&#10;AAAA3AAAAA8AAAAAAAAAAQAgAAAAIgAAAGRycy9kb3ducmV2LnhtbFBLAQIUABQAAAAIAIdO4kAz&#10;LwWeOwAAADkAAAAQAAAAAAAAAAEAIAAAAA4BAABkcnMvc2hhcGV4bWwueG1sUEsFBgAAAAAGAAYA&#10;WwEAALgDAAAAAA==&#10;">
                            <v:fill on="f" focussize="0,0"/>
                            <v:stroke color="#FF0000 [3204]" joinstyle="round" endarrow="block"/>
                            <v:imagedata o:title=""/>
                            <o:lock v:ext="edit" aspectratio="f"/>
                          </v:shape>
                          <v:shape id="直接箭头连接符 107" o:spid="_x0000_s1026" o:spt="32" type="#_x0000_t32" style="position:absolute;left:5745;top:503237;height:0;width:540;" filled="f" stroked="t" coordsize="21600,21600" o:gfxdata="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EWAS/&#10;AAAA3AAAAA8AAAAAAAAAAQAgAAAAIgAAAGRycy9kb3ducmV2LnhtbFBLAQIUABQAAAAIAIdO4kAz&#10;LwWeOwAAADkAAAAQAAAAAAAAAAEAIAAAAA4BAABkcnMvc2hhcGV4bWwueG1sUEsFBgAAAAAGAAYA&#10;WwEAALgDAAAAAA==&#10;">
                            <v:fill on="f" focussize="0,0"/>
                            <v:stroke color="#FF0000 [3204]" joinstyle="round" endarrow="block"/>
                            <v:imagedata o:title=""/>
                            <o:lock v:ext="edit" aspectratio="f"/>
                          </v:shape>
                        </v:group>
                        <v:group id="组合 318" o:spid="_x0000_s1026" o:spt="203" style="position:absolute;left:5610;top:502862;height:510;width:4514;" coordorigin="5565,502877" coordsize="4514,510" o:gfxdata="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EntDy+AAAA3AAAAA8AAAAAAAAAAQAgAAAAIgAAAGRycy9kb3ducmV2Lnht&#10;bFBLAQIUABQAAAAIAIdO4kAzLwWeOwAAADkAAAAVAAAAAAAAAAEAIAAAAA0BAABkcnMvZ3JvdXBz&#10;aGFwZXhtbC54bWxQSwUGAAAAAAYABgBgAQAAygMAAAAA&#10;">
                          <o:lock v:ext="edit" aspectratio="f"/>
                          <v:shape id="文本框 212" o:spid="_x0000_s1026" o:spt="202" type="#_x0000_t202" style="position:absolute;left:5565;top:502877;height:435;width:809;" filled="f" stroked="f" coordsize="21600,21600" o:gfxdata="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3TthK/&#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6539790">
                                  <w:pPr>
                                    <w:pStyle w:val="2"/>
                                    <w:jc w:val="center"/>
                                    <w:rPr>
                                      <w:rFonts w:hint="default"/>
                                      <w:sz w:val="21"/>
                                      <w:szCs w:val="21"/>
                                      <w:lang w:val="en-US" w:eastAsia="zh-CN"/>
                                    </w:rPr>
                                  </w:pPr>
                                  <w:r>
                                    <w:rPr>
                                      <w:rFonts w:hint="eastAsia"/>
                                      <w:sz w:val="21"/>
                                      <w:szCs w:val="21"/>
                                      <w:lang w:val="en-US" w:eastAsia="zh-CN"/>
                                    </w:rPr>
                                    <w:t>0.64</w:t>
                                  </w:r>
                                </w:p>
                              </w:txbxContent>
                            </v:textbox>
                          </v:shape>
                          <v:shape id="文本框 212" o:spid="_x0000_s1026" o:spt="202" type="#_x0000_t202" style="position:absolute;left:7380;top:502877;height:435;width:809;" filled="f" stroked="f" coordsize="21600,21600" o:gfxdata="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8b6i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2D3911A">
                                  <w:pPr>
                                    <w:pStyle w:val="2"/>
                                    <w:jc w:val="center"/>
                                    <w:rPr>
                                      <w:rFonts w:hint="default"/>
                                      <w:sz w:val="21"/>
                                      <w:szCs w:val="21"/>
                                      <w:lang w:val="en-US" w:eastAsia="zh-CN"/>
                                    </w:rPr>
                                  </w:pPr>
                                  <w:r>
                                    <w:rPr>
                                      <w:rFonts w:hint="eastAsia"/>
                                      <w:sz w:val="21"/>
                                      <w:szCs w:val="21"/>
                                      <w:lang w:val="en-US" w:eastAsia="zh-CN"/>
                                    </w:rPr>
                                    <w:t>0.512</w:t>
                                  </w:r>
                                </w:p>
                              </w:txbxContent>
                            </v:textbox>
                          </v:shape>
                          <v:shape id="文本框 212" o:spid="_x0000_s1026" o:spt="202" type="#_x0000_t202" style="position:absolute;left:9270;top:502952;height:435;width:809;" filled="f" stroked="f" coordsize="21600,21600" o:gfxdata="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ZwyjO/&#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A1AD0B1">
                                  <w:pPr>
                                    <w:pStyle w:val="2"/>
                                    <w:jc w:val="center"/>
                                    <w:rPr>
                                      <w:rFonts w:hint="default"/>
                                      <w:sz w:val="21"/>
                                      <w:szCs w:val="21"/>
                                      <w:lang w:val="en-US" w:eastAsia="zh-CN"/>
                                    </w:rPr>
                                  </w:pPr>
                                  <w:r>
                                    <w:rPr>
                                      <w:rFonts w:hint="eastAsia"/>
                                      <w:sz w:val="21"/>
                                      <w:szCs w:val="21"/>
                                      <w:lang w:val="en-US" w:eastAsia="zh-CN"/>
                                    </w:rPr>
                                    <w:t>0.512</w:t>
                                  </w:r>
                                </w:p>
                              </w:txbxContent>
                            </v:textbox>
                          </v:shape>
                        </v:group>
                      </v:group>
                    </v:group>
                  </w:pict>
                </mc:Fallback>
              </mc:AlternateContent>
            </w:r>
          </w:p>
          <w:p w14:paraId="6822D10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0EB035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6534527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37440" behindDoc="0" locked="0" layoutInCell="1" allowOverlap="1">
                      <wp:simplePos x="0" y="0"/>
                      <wp:positionH relativeFrom="column">
                        <wp:posOffset>804545</wp:posOffset>
                      </wp:positionH>
                      <wp:positionV relativeFrom="paragraph">
                        <wp:posOffset>154305</wp:posOffset>
                      </wp:positionV>
                      <wp:extent cx="581660" cy="264795"/>
                      <wp:effectExtent l="0" t="0" r="0" b="0"/>
                      <wp:wrapNone/>
                      <wp:docPr id="406" name="文本框 88"/>
                      <wp:cNvGraphicFramePr/>
                      <a:graphic xmlns:a="http://schemas.openxmlformats.org/drawingml/2006/main">
                        <a:graphicData uri="http://schemas.microsoft.com/office/word/2010/wordprocessingShape">
                          <wps:wsp>
                            <wps:cNvSpPr txBox="1"/>
                            <wps:spPr>
                              <a:xfrm>
                                <a:off x="5143500" y="4676775"/>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AE5C8">
                                  <w:pPr>
                                    <w:pStyle w:val="2"/>
                                    <w:jc w:val="center"/>
                                    <w:rPr>
                                      <w:rFonts w:hint="default"/>
                                      <w:sz w:val="21"/>
                                      <w:szCs w:val="21"/>
                                      <w:lang w:val="en-US" w:eastAsia="zh-CN"/>
                                    </w:rPr>
                                  </w:pPr>
                                  <w:r>
                                    <w:rPr>
                                      <w:rFonts w:hint="eastAsia"/>
                                      <w:sz w:val="21"/>
                                      <w:szCs w:val="21"/>
                                      <w:lang w:val="en-US" w:eastAsia="zh-CN"/>
                                    </w:rPr>
                                    <w:t>2.14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63.35pt;margin-top:12.15pt;height:20.85pt;width:45.8pt;z-index:251837440;mso-width-relative:page;mso-height-relative:page;" filled="f" stroked="f" coordsize="21600,21600" o:gfxdata="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W4+trZAAAACQEAAA8AAAAAAAAA&#10;AQAgAAAAIgAAAGRycy9kb3ducmV2LnhtbFBLAQIUABQAAAAIAIdO4kAocdywSQIAAHQEAAAOAAAA&#10;AAAAAAEAIAAAACgBAABkcnMvZTJvRG9jLnhtbFBLBQYAAAAABgAGAFkBAADjBQAAAAA=&#10;">
                      <v:fill on="f" focussize="0,0"/>
                      <v:stroke on="f" weight="0.5pt"/>
                      <v:imagedata o:title=""/>
                      <o:lock v:ext="edit" aspectratio="f"/>
                      <v:textbox>
                        <w:txbxContent>
                          <w:p w14:paraId="636AE5C8">
                            <w:pPr>
                              <w:pStyle w:val="2"/>
                              <w:jc w:val="center"/>
                              <w:rPr>
                                <w:rFonts w:hint="default"/>
                                <w:sz w:val="21"/>
                                <w:szCs w:val="21"/>
                                <w:lang w:val="en-US" w:eastAsia="zh-CN"/>
                              </w:rPr>
                            </w:pPr>
                            <w:r>
                              <w:rPr>
                                <w:rFonts w:hint="eastAsia"/>
                                <w:sz w:val="21"/>
                                <w:szCs w:val="21"/>
                                <w:lang w:val="en-US" w:eastAsia="zh-CN"/>
                              </w:rPr>
                              <w:t>2.14</w:t>
                            </w:r>
                          </w:p>
                        </w:txbxContent>
                      </v:textbox>
                    </v:shape>
                  </w:pict>
                </mc:Fallback>
              </mc:AlternateContent>
            </w:r>
            <w:r>
              <w:rPr>
                <w:color w:val="auto"/>
                <w:sz w:val="24"/>
              </w:rPr>
              <mc:AlternateContent>
                <mc:Choice Requires="wps">
                  <w:drawing>
                    <wp:anchor distT="0" distB="0" distL="114300" distR="114300" simplePos="0" relativeHeight="251835392" behindDoc="0" locked="0" layoutInCell="1" allowOverlap="1">
                      <wp:simplePos x="0" y="0"/>
                      <wp:positionH relativeFrom="column">
                        <wp:posOffset>3942080</wp:posOffset>
                      </wp:positionH>
                      <wp:positionV relativeFrom="paragraph">
                        <wp:posOffset>29210</wp:posOffset>
                      </wp:positionV>
                      <wp:extent cx="15240" cy="1560195"/>
                      <wp:effectExtent l="4445" t="0" r="18415" b="1905"/>
                      <wp:wrapNone/>
                      <wp:docPr id="314" name="直接箭头连接符 316"/>
                      <wp:cNvGraphicFramePr/>
                      <a:graphic xmlns:a="http://schemas.openxmlformats.org/drawingml/2006/main">
                        <a:graphicData uri="http://schemas.microsoft.com/office/word/2010/wordprocessingShape">
                          <wps:wsp>
                            <wps:cNvCnPr/>
                            <wps:spPr>
                              <a:xfrm flipH="1">
                                <a:off x="5086350" y="5132705"/>
                                <a:ext cx="15240" cy="1560195"/>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316" o:spid="_x0000_s1026" o:spt="32" type="#_x0000_t32" style="position:absolute;left:0pt;flip:x;margin-left:310.4pt;margin-top:2.3pt;height:122.85pt;width:1.2pt;z-index:251835392;mso-width-relative:page;mso-height-relative:page;" filled="f" stroked="t" coordsize="21600,21600" o:gfxdata="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XGGOtgAAAAJAQAADwAA&#10;AAAAAAABACAAAAAiAAAAZHJzL2Rvd25yZXYueG1sUEsBAhQAFAAAAAgAh07iQGKkIdsWAgAA5AMA&#10;AA4AAAAAAAAAAQAgAAAAJwEAAGRycy9lMm9Eb2MueG1sUEsFBgAAAAAGAAYAWQEAAK8FAAAAAA==&#10;">
                      <v:fill on="f" focussize="0,0"/>
                      <v:stroke color="#FF0000 [3204]" joinstyle="round"/>
                      <v:imagedata o:title=""/>
                      <o:lock v:ext="edit" aspectratio="f"/>
                    </v:shape>
                  </w:pict>
                </mc:Fallback>
              </mc:AlternateContent>
            </w:r>
            <w:r>
              <w:rPr>
                <w:color w:val="auto"/>
                <w:sz w:val="24"/>
              </w:rPr>
              <mc:AlternateContent>
                <mc:Choice Requires="wpg">
                  <w:drawing>
                    <wp:anchor distT="0" distB="0" distL="114300" distR="114300" simplePos="0" relativeHeight="251836416" behindDoc="0" locked="0" layoutInCell="1" allowOverlap="1">
                      <wp:simplePos x="0" y="0"/>
                      <wp:positionH relativeFrom="column">
                        <wp:posOffset>1461770</wp:posOffset>
                      </wp:positionH>
                      <wp:positionV relativeFrom="paragraph">
                        <wp:posOffset>191135</wp:posOffset>
                      </wp:positionV>
                      <wp:extent cx="1592580" cy="732790"/>
                      <wp:effectExtent l="0" t="0" r="0" b="8890"/>
                      <wp:wrapNone/>
                      <wp:docPr id="363" name="组合 348"/>
                      <wp:cNvGraphicFramePr/>
                      <a:graphic xmlns:a="http://schemas.openxmlformats.org/drawingml/2006/main">
                        <a:graphicData uri="http://schemas.microsoft.com/office/word/2010/wordprocessingGroup">
                          <wpg:wgp>
                            <wpg:cNvGrpSpPr/>
                            <wpg:grpSpPr>
                              <a:xfrm rot="0">
                                <a:off x="3267075" y="5767070"/>
                                <a:ext cx="1592580" cy="732790"/>
                                <a:chOff x="6555" y="504767"/>
                                <a:chExt cx="2508" cy="1154"/>
                              </a:xfrm>
                            </wpg:grpSpPr>
                            <wps:wsp>
                              <wps:cNvPr id="364" name="文本框 212"/>
                              <wps:cNvSpPr txBox="1"/>
                              <wps:spPr>
                                <a:xfrm>
                                  <a:off x="6840" y="505487"/>
                                  <a:ext cx="1558" cy="435"/>
                                </a:xfrm>
                                <a:prstGeom prst="rect">
                                  <a:avLst/>
                                </a:prstGeom>
                                <a:noFill/>
                                <a:ln w="1270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4E8A358">
                                    <w:pPr>
                                      <w:pStyle w:val="2"/>
                                      <w:jc w:val="center"/>
                                      <w:rPr>
                                        <w:rFonts w:hint="default"/>
                                        <w:sz w:val="21"/>
                                        <w:szCs w:val="21"/>
                                        <w:lang w:val="en-US" w:eastAsia="zh-CN"/>
                                      </w:rPr>
                                    </w:pPr>
                                    <w:r>
                                      <w:rPr>
                                        <w:rFonts w:hint="eastAsia"/>
                                        <w:sz w:val="21"/>
                                        <w:szCs w:val="21"/>
                                        <w:lang w:val="en-US" w:eastAsia="zh-CN"/>
                                      </w:rPr>
                                      <w:t>循环水系统</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65" name="组合 347"/>
                              <wpg:cNvGrpSpPr/>
                              <wpg:grpSpPr>
                                <a:xfrm>
                                  <a:off x="6555" y="504767"/>
                                  <a:ext cx="2508" cy="972"/>
                                  <a:chOff x="6555" y="504767"/>
                                  <a:chExt cx="2508" cy="972"/>
                                </a:xfrm>
                              </wpg:grpSpPr>
                              <wpg:grpSp>
                                <wpg:cNvPr id="366" name="组合 228"/>
                                <wpg:cNvGrpSpPr/>
                                <wpg:grpSpPr>
                                  <a:xfrm rot="0">
                                    <a:off x="6555" y="504767"/>
                                    <a:ext cx="2084" cy="735"/>
                                    <a:chOff x="6195" y="495461"/>
                                    <a:chExt cx="2084" cy="735"/>
                                  </a:xfrm>
                                </wpg:grpSpPr>
                                <wps:wsp>
                                  <wps:cNvPr id="367" name="曲线连接符 100"/>
                                  <wps:cNvCnPr/>
                                  <wps:spPr>
                                    <a:xfrm flipV="1">
                                      <a:off x="7020" y="495926"/>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368" name="文本框 106"/>
                                  <wps:cNvSpPr txBox="1"/>
                                  <wps:spPr>
                                    <a:xfrm>
                                      <a:off x="6195" y="495461"/>
                                      <a:ext cx="2084" cy="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AC16E">
                                        <w:pPr>
                                          <w:pStyle w:val="2"/>
                                          <w:jc w:val="center"/>
                                          <w:rPr>
                                            <w:rFonts w:hint="default"/>
                                            <w:sz w:val="21"/>
                                            <w:szCs w:val="21"/>
                                            <w:lang w:val="en-US" w:eastAsia="zh-CN"/>
                                          </w:rPr>
                                        </w:pPr>
                                        <w:r>
                                          <w:rPr>
                                            <w:rFonts w:hint="eastAsia"/>
                                            <w:sz w:val="21"/>
                                            <w:szCs w:val="21"/>
                                            <w:lang w:val="en-US" w:eastAsia="zh-CN"/>
                                          </w:rPr>
                                          <w:t>损失0.15</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369" name="组合 346"/>
                                <wpg:cNvGrpSpPr/>
                                <wpg:grpSpPr>
                                  <a:xfrm>
                                    <a:off x="7695" y="505271"/>
                                    <a:ext cx="1368" cy="469"/>
                                    <a:chOff x="7695" y="505271"/>
                                    <a:chExt cx="1368" cy="469"/>
                                  </a:xfrm>
                                </wpg:grpSpPr>
                                <wpg:grpSp>
                                  <wpg:cNvPr id="370" name="组合 307"/>
                                  <wpg:cNvGrpSpPr/>
                                  <wpg:grpSpPr>
                                    <a:xfrm>
                                      <a:off x="7695" y="505271"/>
                                      <a:ext cx="1244" cy="381"/>
                                      <a:chOff x="7695" y="504731"/>
                                      <a:chExt cx="1244" cy="486"/>
                                    </a:xfrm>
                                  </wpg:grpSpPr>
                                  <wps:wsp>
                                    <wps:cNvPr id="371" name="直接箭头连接符 294"/>
                                    <wps:cNvCnPr/>
                                    <wps:spPr>
                                      <a:xfrm>
                                        <a:off x="8445" y="505217"/>
                                        <a:ext cx="495" cy="0"/>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wps:wsp>
                                    <wps:cNvPr id="372" name="直接箭头连接符 303"/>
                                    <wps:cNvCnPr/>
                                    <wps:spPr>
                                      <a:xfrm flipV="1">
                                        <a:off x="8925" y="504752"/>
                                        <a:ext cx="0" cy="459"/>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wps:wsp>
                                    <wps:cNvPr id="373" name="直接箭头连接符 305"/>
                                    <wps:cNvCnPr/>
                                    <wps:spPr>
                                      <a:xfrm>
                                        <a:off x="7695" y="504731"/>
                                        <a:ext cx="1230" cy="6"/>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wps:wsp>
                                    <wps:cNvPr id="374" name="直接箭头连接符 306"/>
                                    <wps:cNvCnPr/>
                                    <wps:spPr>
                                      <a:xfrm>
                                        <a:off x="7710" y="504731"/>
                                        <a:ext cx="0" cy="195"/>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g:grpSp>
                                <wps:wsp>
                                  <wps:cNvPr id="384" name="文本框 88"/>
                                  <wps:cNvSpPr txBox="1"/>
                                  <wps:spPr>
                                    <a:xfrm>
                                      <a:off x="8325" y="505324"/>
                                      <a:ext cx="738"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BBE54">
                                        <w:pPr>
                                          <w:pStyle w:val="2"/>
                                          <w:jc w:val="center"/>
                                          <w:rPr>
                                            <w:rFonts w:hint="default"/>
                                            <w:sz w:val="21"/>
                                            <w:szCs w:val="21"/>
                                            <w:lang w:val="en-US" w:eastAsia="zh-CN"/>
                                          </w:rPr>
                                        </w:pPr>
                                        <w:r>
                                          <w:rPr>
                                            <w:rFonts w:hint="eastAsia"/>
                                            <w:sz w:val="21"/>
                                            <w:szCs w:val="21"/>
                                            <w:lang w:val="en-US" w:eastAsia="zh-CN"/>
                                          </w:rPr>
                                          <w:t>150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id="组合 348" o:spid="_x0000_s1026" o:spt="203" style="position:absolute;left:0pt;margin-left:115.1pt;margin-top:15.05pt;height:57.7pt;width:125.4pt;z-index:251836416;mso-width-relative:page;mso-height-relative:page;" coordorigin="6555,504767" coordsize="2508,1154" o:gfxdata="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">
                      <o:lock v:ext="edit" aspectratio="f"/>
                      <v:shape id="文本框 212" o:spid="_x0000_s1026" o:spt="202" type="#_x0000_t202" style="position:absolute;left:6840;top:505487;height:435;width:1558;" filled="f" stroked="t" coordsize="21600,21600" o:gfxdata="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9B774A&#10;AADcAAAADwAAAAAAAAABACAAAAAiAAAAZHJzL2Rvd25yZXYueG1sUEsBAhQAFAAAAAgAh07iQDMv&#10;BZ47AAAAOQAAABAAAAAAAAAAAQAgAAAADQEAAGRycy9zaGFwZXhtbC54bWxQSwUGAAAAAAYABgBb&#10;AQAAtwMAAAAA&#10;">
                        <v:fill on="f" focussize="0,0"/>
                        <v:stroke weight="1pt" color="#000000 [3213]" joinstyle="round"/>
                        <v:imagedata o:title=""/>
                        <o:lock v:ext="edit" aspectratio="f"/>
                        <v:textbox>
                          <w:txbxContent>
                            <w:p w14:paraId="14E8A358">
                              <w:pPr>
                                <w:pStyle w:val="2"/>
                                <w:jc w:val="center"/>
                                <w:rPr>
                                  <w:rFonts w:hint="default"/>
                                  <w:sz w:val="21"/>
                                  <w:szCs w:val="21"/>
                                  <w:lang w:val="en-US" w:eastAsia="zh-CN"/>
                                </w:rPr>
                              </w:pPr>
                              <w:r>
                                <w:rPr>
                                  <w:rFonts w:hint="eastAsia"/>
                                  <w:sz w:val="21"/>
                                  <w:szCs w:val="21"/>
                                  <w:lang w:val="en-US" w:eastAsia="zh-CN"/>
                                </w:rPr>
                                <w:t>循环水系统</w:t>
                              </w:r>
                            </w:p>
                          </w:txbxContent>
                        </v:textbox>
                      </v:shape>
                      <v:group id="组合 347" o:spid="_x0000_s1026" o:spt="203" style="position:absolute;left:6555;top:504767;height:972;width:2508;" coordorigin="6555,504767" coordsize="2508,972" o:gfxdata="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7fa1CMAAAADcAAAADwAAAAAAAAABACAAAAAiAAAAZHJzL2Rvd25yZXYu&#10;eG1sUEsBAhQAFAAAAAgAh07iQDMvBZ47AAAAOQAAABUAAAAAAAAAAQAgAAAADwEAAGRycy9ncm91&#10;cHNoYXBleG1sLnhtbFBLBQYAAAAABgAGAGABAADMAwAAAAA=&#10;">
                        <o:lock v:ext="edit" aspectratio="f"/>
                        <v:group id="组合 228" o:spid="_x0000_s1026" o:spt="203" style="position:absolute;left:6555;top:504767;height:735;width:2084;" coordorigin="6195,495461" coordsize="2084,735" o:gfxdata="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0kK3++AAAA3AAAAA8AAAAAAAAAAQAgAAAAIgAAAGRycy9kb3ducmV2Lnht&#10;bFBLAQIUABQAAAAIAIdO4kAzLwWeOwAAADkAAAAVAAAAAAAAAAEAIAAAAA0BAABkcnMvZ3JvdXBz&#10;aGFwZXhtbC54bWxQSwUGAAAAAAYABgBgAQAAygMAAAAA&#10;">
                          <o:lock v:ext="edit" aspectratio="f"/>
                          <v:shape id="曲线连接符 100" o:spid="_x0000_s1026" o:spt="38" type="#_x0000_t38" style="position:absolute;left:7020;top:495926;flip:y;height:270;width:300;" filled="f" stroked="t" coordsize="21600,21600" o:gfxdata="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cit3r4A&#10;AADcAAAADwAAAAAAAAABACAAAAAiAAAAZHJzL2Rvd25yZXYueG1sUEsBAhQAFAAAAAgAh07iQDMv&#10;BZ47AAAAOQAAABAAAAAAAAAAAQAgAAAADQEAAGRycy9zaGFwZXhtbC54bWxQSwUGAAAAAAYABgBb&#10;AQAAtwMAAAAA&#10;" adj="10872">
                            <v:fill on="f" focussize="0,0"/>
                            <v:stroke color="#FF0000 [3204]" joinstyle="round" endarrow="block"/>
                            <v:imagedata o:title=""/>
                            <o:lock v:ext="edit" aspectratio="f"/>
                          </v:shape>
                          <v:shape id="文本框 106" o:spid="_x0000_s1026" o:spt="202" type="#_x0000_t202" style="position:absolute;left:6195;top:495461;height:465;width:2084;" filled="f" stroked="f" coordsize="21600,21600" o:gfxdata="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p4rJ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0CCAC16E">
                                  <w:pPr>
                                    <w:pStyle w:val="2"/>
                                    <w:jc w:val="center"/>
                                    <w:rPr>
                                      <w:rFonts w:hint="default"/>
                                      <w:sz w:val="21"/>
                                      <w:szCs w:val="21"/>
                                      <w:lang w:val="en-US" w:eastAsia="zh-CN"/>
                                    </w:rPr>
                                  </w:pPr>
                                  <w:r>
                                    <w:rPr>
                                      <w:rFonts w:hint="eastAsia"/>
                                      <w:sz w:val="21"/>
                                      <w:szCs w:val="21"/>
                                      <w:lang w:val="en-US" w:eastAsia="zh-CN"/>
                                    </w:rPr>
                                    <w:t>损失0.15</w:t>
                                  </w:r>
                                </w:p>
                              </w:txbxContent>
                            </v:textbox>
                          </v:shape>
                        </v:group>
                        <v:group id="组合 346" o:spid="_x0000_s1026" o:spt="203" style="position:absolute;left:7695;top:505271;height:469;width:1368;" coordorigin="7695,505271" coordsize="1368,469" o:gfxdata="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bLu/DcAAAADcAAAADwAAAAAAAAABACAAAAAiAAAAZHJzL2Rvd25yZXYu&#10;eG1sUEsBAhQAFAAAAAgAh07iQDMvBZ47AAAAOQAAABUAAAAAAAAAAQAgAAAADwEAAGRycy9ncm91&#10;cHNoYXBleG1sLnhtbFBLBQYAAAAABgAGAGABAADMAwAAAAA=&#10;">
                          <o:lock v:ext="edit" aspectratio="f"/>
                          <v:group id="组合 307" o:spid="_x0000_s1026" o:spt="203" style="position:absolute;left:7695;top:505271;height:381;width:1244;" coordorigin="7695,504731" coordsize="1244,486" o:gfxdata="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4WIBNvAAAANwAAAAPAAAAAAAAAAEAIAAAACIAAABkcnMvZG93bnJldi54bWxQ&#10;SwECFAAUAAAACACHTuJAMy8FnjsAAAA5AAAAFQAAAAAAAAABACAAAAALAQAAZHJzL2dyb3Vwc2hh&#10;cGV4bWwueG1sUEsFBgAAAAAGAAYAYAEAAMgDAAAAAA==&#10;">
                            <o:lock v:ext="edit" aspectratio="f"/>
                            <v:shape id="直接箭头连接符 294" o:spid="_x0000_s1026" o:spt="32" type="#_x0000_t32" style="position:absolute;left:8445;top:505217;height:0;width:495;" filled="f" stroked="t" coordsize="21600,21600" o:gfxdata="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oIN26/&#10;AAAA3AAAAA8AAAAAAAAAAQAgAAAAIgAAAGRycy9kb3ducmV2LnhtbFBLAQIUABQAAAAIAIdO4kAz&#10;LwWeOwAAADkAAAAQAAAAAAAAAAEAIAAAAA4BAABkcnMvc2hhcGV4bWwueG1sUEsFBgAAAAAGAAYA&#10;WwEAALgDAAAAAA==&#10;">
                              <v:fill on="f" focussize="0,0"/>
                              <v:stroke color="#FF0000 [3204]" joinstyle="round"/>
                              <v:imagedata o:title=""/>
                              <o:lock v:ext="edit" aspectratio="f"/>
                            </v:shape>
                            <v:shape id="直接箭头连接符 303" o:spid="_x0000_s1026" o:spt="32" type="#_x0000_t32" style="position:absolute;left:8925;top:504752;flip:y;height:459;width:0;" filled="f" stroked="t" coordsize="21600,21600" o:gfxdata="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WolL4A&#10;AADcAAAADwAAAAAAAAABACAAAAAiAAAAZHJzL2Rvd25yZXYueG1sUEsBAhQAFAAAAAgAh07iQDMv&#10;BZ47AAAAOQAAABAAAAAAAAAAAQAgAAAADQEAAGRycy9zaGFwZXhtbC54bWxQSwUGAAAAAAYABgBb&#10;AQAAtwMAAAAA&#10;">
                              <v:fill on="f" focussize="0,0"/>
                              <v:stroke color="#FF0000 [3204]" joinstyle="round"/>
                              <v:imagedata o:title=""/>
                              <o:lock v:ext="edit" aspectratio="f"/>
                            </v:shape>
                            <v:shape id="直接箭头连接符 305" o:spid="_x0000_s1026" o:spt="32" type="#_x0000_t32" style="position:absolute;left:7695;top:504731;height:6;width:1230;" filled="f" stroked="t" coordsize="21600,21600" o:gfxdata="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lgyC&#10;wAAAANwAAAAPAAAAAAAAAAEAIAAAACIAAABkcnMvZG93bnJldi54bWxQSwECFAAUAAAACACHTuJA&#10;My8FnjsAAAA5AAAAEAAAAAAAAAABACAAAAAPAQAAZHJzL3NoYXBleG1sLnhtbFBLBQYAAAAABgAG&#10;AFsBAAC5AwAAAAA=&#10;">
                              <v:fill on="f" focussize="0,0"/>
                              <v:stroke color="#FF0000 [3204]" joinstyle="round"/>
                              <v:imagedata o:title=""/>
                              <o:lock v:ext="edit" aspectratio="f"/>
                            </v:shape>
                            <v:shape id="直接箭头连接符 306" o:spid="_x0000_s1026" o:spt="32" type="#_x0000_t32" style="position:absolute;left:7710;top:504731;height:195;width:0;" filled="f" stroked="t" coordsize="21600,21600" o:gfxdata="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56hh&#10;wAAAANwAAAAPAAAAAAAAAAEAIAAAACIAAABkcnMvZG93bnJldi54bWxQSwECFAAUAAAACACHTuJA&#10;My8FnjsAAAA5AAAAEAAAAAAAAAABACAAAAAPAQAAZHJzL3NoYXBleG1sLnhtbFBLBQYAAAAABgAG&#10;AFsBAAC5AwAAAAA=&#10;">
                              <v:fill on="f" focussize="0,0"/>
                              <v:stroke color="#FF0000 [3204]" joinstyle="round" endarrow="block"/>
                              <v:imagedata o:title=""/>
                              <o:lock v:ext="edit" aspectratio="f"/>
                            </v:shape>
                          </v:group>
                          <v:shape id="文本框 88" o:spid="_x0000_s1026" o:spt="202" type="#_x0000_t202" style="position:absolute;left:8325;top:505324;height:417;width:738;" filled="f" stroked="f" coordsize="21600,21600" o:gfxdata="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5mY2&#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293BBE54">
                                  <w:pPr>
                                    <w:pStyle w:val="2"/>
                                    <w:jc w:val="center"/>
                                    <w:rPr>
                                      <w:rFonts w:hint="default"/>
                                      <w:sz w:val="21"/>
                                      <w:szCs w:val="21"/>
                                      <w:lang w:val="en-US" w:eastAsia="zh-CN"/>
                                    </w:rPr>
                                  </w:pPr>
                                  <w:r>
                                    <w:rPr>
                                      <w:rFonts w:hint="eastAsia"/>
                                      <w:sz w:val="21"/>
                                      <w:szCs w:val="21"/>
                                      <w:lang w:val="en-US" w:eastAsia="zh-CN"/>
                                    </w:rPr>
                                    <w:t>150</w:t>
                                  </w:r>
                                </w:p>
                              </w:txbxContent>
                            </v:textbox>
                          </v:shape>
                        </v:group>
                      </v:group>
                    </v:group>
                  </w:pict>
                </mc:Fallback>
              </mc:AlternateContent>
            </w:r>
            <w:r>
              <w:rPr>
                <w:color w:val="auto"/>
                <w:sz w:val="24"/>
              </w:rPr>
              <mc:AlternateContent>
                <mc:Choice Requires="wps">
                  <w:drawing>
                    <wp:anchor distT="0" distB="0" distL="114300" distR="114300" simplePos="0" relativeHeight="251836416" behindDoc="0" locked="0" layoutInCell="1" allowOverlap="1">
                      <wp:simplePos x="0" y="0"/>
                      <wp:positionH relativeFrom="column">
                        <wp:posOffset>1261745</wp:posOffset>
                      </wp:positionH>
                      <wp:positionV relativeFrom="paragraph">
                        <wp:posOffset>6350</wp:posOffset>
                      </wp:positionV>
                      <wp:extent cx="3810" cy="792480"/>
                      <wp:effectExtent l="4445" t="0" r="10795" b="7620"/>
                      <wp:wrapNone/>
                      <wp:docPr id="329" name="直接箭头连接符 107"/>
                      <wp:cNvGraphicFramePr/>
                      <a:graphic xmlns:a="http://schemas.openxmlformats.org/drawingml/2006/main">
                        <a:graphicData uri="http://schemas.microsoft.com/office/word/2010/wordprocessingShape">
                          <wps:wsp>
                            <wps:cNvCnPr/>
                            <wps:spPr>
                              <a:xfrm>
                                <a:off x="2647950" y="3947795"/>
                                <a:ext cx="3810" cy="792480"/>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107" o:spid="_x0000_s1026" o:spt="32" type="#_x0000_t32" style="position:absolute;left:0pt;margin-left:99.35pt;margin-top:0.5pt;height:62.4pt;width:0.3pt;z-index:251836416;mso-width-relative:page;mso-height-relative:page;" filled="f" stroked="t" coordsize="21600,21600" o:gfxdata="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be2+J1wAAAAkBAAAPAAAAAAAAAAEAIAAA&#10;ACIAAABkcnMvZG93bnJldi54bWxQSwECFAAUAAAACACHTuJAQTXddQ0CAADYAwAADgAAAAAAAAAB&#10;ACAAAAAmAQAAZHJzL2Uyb0RvYy54bWxQSwUGAAAAAAYABgBZAQAApQUAAAAA&#10;">
                      <v:fill on="f" focussize="0,0"/>
                      <v:stroke color="#FF0000 [3204]" joinstyle="round"/>
                      <v:imagedata o:title=""/>
                      <o:lock v:ext="edit" aspectratio="f"/>
                    </v:shape>
                  </w:pict>
                </mc:Fallback>
              </mc:AlternateContent>
            </w:r>
            <w:r>
              <w:rPr>
                <w:color w:val="auto"/>
                <w:sz w:val="24"/>
              </w:rPr>
              <mc:AlternateContent>
                <mc:Choice Requires="wps">
                  <w:drawing>
                    <wp:anchor distT="0" distB="0" distL="114300" distR="114300" simplePos="0" relativeHeight="251837440" behindDoc="0" locked="0" layoutInCell="1" allowOverlap="1">
                      <wp:simplePos x="0" y="0"/>
                      <wp:positionH relativeFrom="column">
                        <wp:posOffset>3642995</wp:posOffset>
                      </wp:positionH>
                      <wp:positionV relativeFrom="paragraph">
                        <wp:posOffset>24130</wp:posOffset>
                      </wp:positionV>
                      <wp:extent cx="314325" cy="0"/>
                      <wp:effectExtent l="0" t="38100" r="9525" b="38100"/>
                      <wp:wrapNone/>
                      <wp:docPr id="331" name="直接箭头连接符 292"/>
                      <wp:cNvGraphicFramePr/>
                      <a:graphic xmlns:a="http://schemas.openxmlformats.org/drawingml/2006/main">
                        <a:graphicData uri="http://schemas.microsoft.com/office/word/2010/wordprocessingShape">
                          <wps:wsp>
                            <wps:cNvCnPr/>
                            <wps:spPr>
                              <a:xfrm>
                                <a:off x="2647950" y="3965575"/>
                                <a:ext cx="314325"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92" o:spid="_x0000_s1026" o:spt="32" type="#_x0000_t32" style="position:absolute;left:0pt;margin-left:286.85pt;margin-top:1.9pt;height:0pt;width:24.75pt;z-index:251837440;mso-width-relative:page;mso-height-relative:page;" filled="f" stroked="t" coordsize="21600,21600" o:gfxdata="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akBYo1wAAAAcBAAAPAAAAAAAAAAEAIAAA&#10;ACIAAABkcnMvZG93bnJldi54bWxQSwECFAAUAAAACACHTuJAraqmNw0CAADZAwAADgAAAAAAAAAB&#10;ACAAAAAmAQAAZHJzL2Uyb0RvYy54bWxQSwUGAAAAAAYABgBZAQAApQUAAAAA&#10;">
                      <v:fill on="f" focussize="0,0"/>
                      <v:stroke color="#FF0000 [3204]" joinstyle="round" endarrow="block"/>
                      <v:imagedata o:title=""/>
                      <o:lock v:ext="edit" aspectratio="f"/>
                    </v:shape>
                  </w:pict>
                </mc:Fallback>
              </mc:AlternateContent>
            </w:r>
          </w:p>
          <w:p w14:paraId="771626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35392" behindDoc="0" locked="0" layoutInCell="1" allowOverlap="1">
                      <wp:simplePos x="0" y="0"/>
                      <wp:positionH relativeFrom="column">
                        <wp:posOffset>937895</wp:posOffset>
                      </wp:positionH>
                      <wp:positionV relativeFrom="paragraph">
                        <wp:posOffset>107315</wp:posOffset>
                      </wp:positionV>
                      <wp:extent cx="314325" cy="0"/>
                      <wp:effectExtent l="0" t="38100" r="9525" b="38100"/>
                      <wp:wrapNone/>
                      <wp:docPr id="327" name="直接箭头连接符 291"/>
                      <wp:cNvGraphicFramePr/>
                      <a:graphic xmlns:a="http://schemas.openxmlformats.org/drawingml/2006/main">
                        <a:graphicData uri="http://schemas.microsoft.com/office/word/2010/wordprocessingShape">
                          <wps:wsp>
                            <wps:cNvCnPr/>
                            <wps:spPr>
                              <a:xfrm>
                                <a:off x="2324100" y="4412615"/>
                                <a:ext cx="314325"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91" o:spid="_x0000_s1026" o:spt="32" type="#_x0000_t32" style="position:absolute;left:0pt;margin-left:73.85pt;margin-top:8.45pt;height:0pt;width:24.75pt;z-index:251835392;mso-width-relative:page;mso-height-relative:page;" filled="f" stroked="t" coordsize="21600,21600" o:gfxdata="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DYY09gAAAAJAQAADwAAAAAAAAABACAA&#10;AAAiAAAAZHJzL2Rvd25yZXYueG1sUEsBAhQAFAAAAAgAh07iQMf26d0NAgAA2QMAAA4AAAAAAAAA&#10;AQAgAAAAJwEAAGRycy9lMm9Eb2MueG1sUEsFBgAAAAAGAAYAWQEAAKYFAAAAAA==&#10;">
                      <v:fill on="f" focussize="0,0"/>
                      <v:stroke color="#FF0000 [3204]" joinstyle="round" endarrow="block"/>
                      <v:imagedata o:title=""/>
                      <o:lock v:ext="edit" aspectratio="f"/>
                    </v:shape>
                  </w:pict>
                </mc:Fallback>
              </mc:AlternateContent>
            </w:r>
          </w:p>
          <w:p w14:paraId="7F4CF41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33344" behindDoc="0" locked="0" layoutInCell="1" allowOverlap="1">
                      <wp:simplePos x="0" y="0"/>
                      <wp:positionH relativeFrom="column">
                        <wp:posOffset>4300220</wp:posOffset>
                      </wp:positionH>
                      <wp:positionV relativeFrom="paragraph">
                        <wp:posOffset>71120</wp:posOffset>
                      </wp:positionV>
                      <wp:extent cx="752475" cy="457200"/>
                      <wp:effectExtent l="0" t="0" r="0" b="0"/>
                      <wp:wrapNone/>
                      <wp:docPr id="302" name="文本框 212"/>
                      <wp:cNvGraphicFramePr/>
                      <a:graphic xmlns:a="http://schemas.openxmlformats.org/drawingml/2006/main">
                        <a:graphicData uri="http://schemas.microsoft.com/office/word/2010/wordprocessingShape">
                          <wps:wsp>
                            <wps:cNvSpPr txBox="1"/>
                            <wps:spPr>
                              <a:xfrm>
                                <a:off x="4686300" y="3751580"/>
                                <a:ext cx="75247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39714">
                                  <w:pPr>
                                    <w:pStyle w:val="2"/>
                                    <w:jc w:val="center"/>
                                    <w:rPr>
                                      <w:rFonts w:hint="eastAsia"/>
                                      <w:sz w:val="21"/>
                                      <w:szCs w:val="21"/>
                                      <w:lang w:val="en-US" w:eastAsia="zh-CN"/>
                                    </w:rPr>
                                  </w:pPr>
                                  <w:r>
                                    <w:rPr>
                                      <w:rFonts w:hint="eastAsia"/>
                                      <w:sz w:val="21"/>
                                      <w:szCs w:val="21"/>
                                      <w:lang w:val="en-US" w:eastAsia="zh-CN"/>
                                    </w:rPr>
                                    <w:t>东泽污水</w:t>
                                  </w:r>
                                </w:p>
                                <w:p w14:paraId="72C82C43">
                                  <w:pPr>
                                    <w:pStyle w:val="2"/>
                                    <w:jc w:val="center"/>
                                    <w:rPr>
                                      <w:rFonts w:hint="default"/>
                                      <w:sz w:val="21"/>
                                      <w:szCs w:val="21"/>
                                      <w:lang w:val="en-US" w:eastAsia="zh-CN"/>
                                    </w:rPr>
                                  </w:pPr>
                                  <w:r>
                                    <w:rPr>
                                      <w:rFonts w:hint="eastAsia"/>
                                      <w:sz w:val="21"/>
                                      <w:szCs w:val="21"/>
                                      <w:lang w:val="en-US" w:eastAsia="zh-CN"/>
                                    </w:rPr>
                                    <w:t>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12" o:spid="_x0000_s1026" o:spt="202" type="#_x0000_t202" style="position:absolute;left:0pt;margin-left:338.6pt;margin-top:5.6pt;height:36pt;width:59.25pt;z-index:251833344;mso-width-relative:page;mso-height-relative:page;" filled="f" stroked="f" coordsize="21600,21600" o:gfxdata="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l4x3X2gAAAAkBAAAPAAAAAAAA&#10;AAEAIAAAACIAAABkcnMvZG93bnJldi54bWxQSwECFAAUAAAACACHTuJAQLsbxEkCAAB1BAAADgAA&#10;AAAAAAABACAAAAApAQAAZHJzL2Uyb0RvYy54bWxQSwUGAAAAAAYABgBZAQAA5AUAAAAA&#10;">
                      <v:fill on="f" focussize="0,0"/>
                      <v:stroke on="f" weight="0.5pt"/>
                      <v:imagedata o:title=""/>
                      <o:lock v:ext="edit" aspectratio="f"/>
                      <v:textbox>
                        <w:txbxContent>
                          <w:p w14:paraId="53C39714">
                            <w:pPr>
                              <w:pStyle w:val="2"/>
                              <w:jc w:val="center"/>
                              <w:rPr>
                                <w:rFonts w:hint="eastAsia"/>
                                <w:sz w:val="21"/>
                                <w:szCs w:val="21"/>
                                <w:lang w:val="en-US" w:eastAsia="zh-CN"/>
                              </w:rPr>
                            </w:pPr>
                            <w:r>
                              <w:rPr>
                                <w:rFonts w:hint="eastAsia"/>
                                <w:sz w:val="21"/>
                                <w:szCs w:val="21"/>
                                <w:lang w:val="en-US" w:eastAsia="zh-CN"/>
                              </w:rPr>
                              <w:t>东泽污水</w:t>
                            </w:r>
                          </w:p>
                          <w:p w14:paraId="72C82C43">
                            <w:pPr>
                              <w:pStyle w:val="2"/>
                              <w:jc w:val="center"/>
                              <w:rPr>
                                <w:rFonts w:hint="default"/>
                                <w:sz w:val="21"/>
                                <w:szCs w:val="21"/>
                                <w:lang w:val="en-US" w:eastAsia="zh-CN"/>
                              </w:rPr>
                            </w:pPr>
                            <w:r>
                              <w:rPr>
                                <w:rFonts w:hint="eastAsia"/>
                                <w:sz w:val="21"/>
                                <w:szCs w:val="21"/>
                                <w:lang w:val="en-US" w:eastAsia="zh-CN"/>
                              </w:rPr>
                              <w:t>处理厂</w:t>
                            </w:r>
                          </w:p>
                        </w:txbxContent>
                      </v:textbox>
                    </v:shape>
                  </w:pict>
                </mc:Fallback>
              </mc:AlternateContent>
            </w:r>
            <w:r>
              <w:rPr>
                <w:color w:val="auto"/>
                <w:sz w:val="24"/>
              </w:rPr>
              <mc:AlternateContent>
                <mc:Choice Requires="wps">
                  <w:drawing>
                    <wp:anchor distT="0" distB="0" distL="114300" distR="114300" simplePos="0" relativeHeight="251844608" behindDoc="0" locked="0" layoutInCell="1" allowOverlap="1">
                      <wp:simplePos x="0" y="0"/>
                      <wp:positionH relativeFrom="column">
                        <wp:posOffset>3833495</wp:posOffset>
                      </wp:positionH>
                      <wp:positionV relativeFrom="paragraph">
                        <wp:posOffset>85725</wp:posOffset>
                      </wp:positionV>
                      <wp:extent cx="581660" cy="264795"/>
                      <wp:effectExtent l="0" t="0" r="0" b="0"/>
                      <wp:wrapNone/>
                      <wp:docPr id="508" name="文本框 88"/>
                      <wp:cNvGraphicFramePr/>
                      <a:graphic xmlns:a="http://schemas.openxmlformats.org/drawingml/2006/main">
                        <a:graphicData uri="http://schemas.microsoft.com/office/word/2010/wordprocessingShape">
                          <wps:wsp>
                            <wps:cNvSpPr txBox="1"/>
                            <wps:spPr>
                              <a:xfrm>
                                <a:off x="0" y="0"/>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7C4EE">
                                  <w:pPr>
                                    <w:pStyle w:val="2"/>
                                    <w:jc w:val="center"/>
                                    <w:rPr>
                                      <w:rFonts w:hint="default"/>
                                      <w:sz w:val="21"/>
                                      <w:szCs w:val="21"/>
                                      <w:lang w:val="en-US" w:eastAsia="zh-CN"/>
                                    </w:rPr>
                                  </w:pPr>
                                  <w:r>
                                    <w:rPr>
                                      <w:rFonts w:hint="eastAsia"/>
                                      <w:sz w:val="21"/>
                                      <w:szCs w:val="21"/>
                                      <w:lang w:val="en-US" w:eastAsia="zh-CN"/>
                                    </w:rPr>
                                    <w:t>3.302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301.85pt;margin-top:6.75pt;height:20.85pt;width:45.8pt;z-index:251844608;mso-width-relative:page;mso-height-relative:page;" filled="f" stroked="f" coordsize="21600,21600" o:gfxdata="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ZxaHl2gAAAAkBAAAPAAAAAAAAAAEAIAAAACIAAABk&#10;cnMvZG93bnJldi54bWxQSwECFAAUAAAACACHTuJAsHRO4z0CAABoBAAADgAAAAAAAAABACAAAAAp&#10;AQAAZHJzL2Uyb0RvYy54bWxQSwUGAAAAAAYABgBZAQAA2AUAAAAA&#10;">
                      <v:fill on="f" focussize="0,0"/>
                      <v:stroke on="f" weight="0.5pt"/>
                      <v:imagedata o:title=""/>
                      <o:lock v:ext="edit" aspectratio="f"/>
                      <v:textbox>
                        <w:txbxContent>
                          <w:p w14:paraId="1777C4EE">
                            <w:pPr>
                              <w:pStyle w:val="2"/>
                              <w:jc w:val="center"/>
                              <w:rPr>
                                <w:rFonts w:hint="default"/>
                                <w:sz w:val="21"/>
                                <w:szCs w:val="21"/>
                                <w:lang w:val="en-US" w:eastAsia="zh-CN"/>
                              </w:rPr>
                            </w:pPr>
                            <w:r>
                              <w:rPr>
                                <w:rFonts w:hint="eastAsia"/>
                                <w:sz w:val="21"/>
                                <w:szCs w:val="21"/>
                                <w:lang w:val="en-US" w:eastAsia="zh-CN"/>
                              </w:rPr>
                              <w:t>3.302</w:t>
                            </w:r>
                          </w:p>
                        </w:txbxContent>
                      </v:textbox>
                    </v:shape>
                  </w:pict>
                </mc:Fallback>
              </mc:AlternateContent>
            </w:r>
            <w:r>
              <w:rPr>
                <w:color w:val="auto"/>
                <w:sz w:val="24"/>
              </w:rPr>
              <mc:AlternateContent>
                <mc:Choice Requires="wps">
                  <w:drawing>
                    <wp:anchor distT="0" distB="0" distL="114300" distR="114300" simplePos="0" relativeHeight="251836416" behindDoc="0" locked="0" layoutInCell="1" allowOverlap="1">
                      <wp:simplePos x="0" y="0"/>
                      <wp:positionH relativeFrom="column">
                        <wp:posOffset>2928620</wp:posOffset>
                      </wp:positionH>
                      <wp:positionV relativeFrom="paragraph">
                        <wp:posOffset>85725</wp:posOffset>
                      </wp:positionV>
                      <wp:extent cx="581660" cy="264795"/>
                      <wp:effectExtent l="0" t="0" r="0" b="0"/>
                      <wp:wrapNone/>
                      <wp:docPr id="403" name="文本框 88"/>
                      <wp:cNvGraphicFramePr/>
                      <a:graphic xmlns:a="http://schemas.openxmlformats.org/drawingml/2006/main">
                        <a:graphicData uri="http://schemas.microsoft.com/office/word/2010/wordprocessingShape">
                          <wps:wsp>
                            <wps:cNvSpPr txBox="1"/>
                            <wps:spPr>
                              <a:xfrm>
                                <a:off x="4448175" y="4972050"/>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1649D5">
                                  <w:pPr>
                                    <w:pStyle w:val="2"/>
                                    <w:jc w:val="center"/>
                                    <w:rPr>
                                      <w:rFonts w:hint="default"/>
                                      <w:sz w:val="21"/>
                                      <w:szCs w:val="21"/>
                                      <w:lang w:val="en-US" w:eastAsia="zh-CN"/>
                                    </w:rPr>
                                  </w:pPr>
                                  <w:r>
                                    <w:rPr>
                                      <w:rFonts w:hint="eastAsia"/>
                                      <w:sz w:val="21"/>
                                      <w:szCs w:val="21"/>
                                      <w:lang w:val="en-US" w:eastAsia="zh-CN"/>
                                    </w:rPr>
                                    <w:t>1.35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230.6pt;margin-top:6.75pt;height:20.85pt;width:45.8pt;z-index:251836416;mso-width-relative:page;mso-height-relative:page;" filled="f" stroked="f" coordsize="21600,21600" o:gfxdata="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eolOOtkAAAAJAQAADwAAAAAAAAAB&#10;ACAAAAAiAAAAZHJzL2Rvd25yZXYueG1sUEsBAhQAFAAAAAgAh07iQCVMIjtIAgAAdAQAAA4AAAAA&#10;AAAAAQAgAAAAKAEAAGRycy9lMm9Eb2MueG1sUEsFBgAAAAAGAAYAWQEAAOIFAAAAAA==&#10;">
                      <v:fill on="f" focussize="0,0"/>
                      <v:stroke on="f" weight="0.5pt"/>
                      <v:imagedata o:title=""/>
                      <o:lock v:ext="edit" aspectratio="f"/>
                      <v:textbox>
                        <w:txbxContent>
                          <w:p w14:paraId="3C1649D5">
                            <w:pPr>
                              <w:pStyle w:val="2"/>
                              <w:jc w:val="center"/>
                              <w:rPr>
                                <w:rFonts w:hint="default"/>
                                <w:sz w:val="21"/>
                                <w:szCs w:val="21"/>
                                <w:lang w:val="en-US" w:eastAsia="zh-CN"/>
                              </w:rPr>
                            </w:pPr>
                            <w:r>
                              <w:rPr>
                                <w:rFonts w:hint="eastAsia"/>
                                <w:sz w:val="21"/>
                                <w:szCs w:val="21"/>
                                <w:lang w:val="en-US" w:eastAsia="zh-CN"/>
                              </w:rPr>
                              <w:t>1.35</w:t>
                            </w:r>
                          </w:p>
                        </w:txbxContent>
                      </v:textbox>
                    </v:shape>
                  </w:pict>
                </mc:Fallback>
              </mc:AlternateContent>
            </w:r>
            <w:r>
              <w:rPr>
                <w:color w:val="auto"/>
                <w:sz w:val="24"/>
              </w:rPr>
              <mc:AlternateContent>
                <mc:Choice Requires="wps">
                  <w:drawing>
                    <wp:anchor distT="0" distB="0" distL="114300" distR="114300" simplePos="0" relativeHeight="251834368" behindDoc="0" locked="0" layoutInCell="1" allowOverlap="1">
                      <wp:simplePos x="0" y="0"/>
                      <wp:positionH relativeFrom="column">
                        <wp:posOffset>1109345</wp:posOffset>
                      </wp:positionH>
                      <wp:positionV relativeFrom="paragraph">
                        <wp:posOffset>47625</wp:posOffset>
                      </wp:positionV>
                      <wp:extent cx="581660" cy="264795"/>
                      <wp:effectExtent l="0" t="0" r="0" b="0"/>
                      <wp:wrapNone/>
                      <wp:docPr id="399" name="文本框 88"/>
                      <wp:cNvGraphicFramePr/>
                      <a:graphic xmlns:a="http://schemas.openxmlformats.org/drawingml/2006/main">
                        <a:graphicData uri="http://schemas.microsoft.com/office/word/2010/wordprocessingShape">
                          <wps:wsp>
                            <wps:cNvSpPr txBox="1"/>
                            <wps:spPr>
                              <a:xfrm>
                                <a:off x="2819400" y="5819775"/>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774F5">
                                  <w:pPr>
                                    <w:pStyle w:val="2"/>
                                    <w:jc w:val="center"/>
                                    <w:rPr>
                                      <w:rFonts w:hint="default"/>
                                      <w:sz w:val="21"/>
                                      <w:szCs w:val="21"/>
                                      <w:lang w:val="en-US" w:eastAsia="zh-CN"/>
                                    </w:rPr>
                                  </w:pPr>
                                  <w:r>
                                    <w:rPr>
                                      <w:rFonts w:hint="eastAsia"/>
                                      <w:sz w:val="21"/>
                                      <w:szCs w:val="21"/>
                                      <w:lang w:val="en-US" w:eastAsia="zh-CN"/>
                                    </w:rPr>
                                    <w:t>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87.35pt;margin-top:3.75pt;height:20.85pt;width:45.8pt;z-index:251834368;mso-width-relative:page;mso-height-relative:page;" filled="f" stroked="f" coordsize="21600,21600" o:gfxdata="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Q8UXHaAAAACAEAAA8AAAAAAAAA&#10;AQAgAAAAIgAAAGRycy9kb3ducmV2LnhtbFBLAQIUABQAAAAIAIdO4kA0Z+MmSAIAAHQEAAAOAAAA&#10;AAAAAAEAIAAAACkBAABkcnMvZTJvRG9jLnhtbFBLBQYAAAAABgAGAFkBAADjBQAAAAA=&#10;">
                      <v:fill on="f" focussize="0,0"/>
                      <v:stroke on="f" weight="0.5pt"/>
                      <v:imagedata o:title=""/>
                      <o:lock v:ext="edit" aspectratio="f"/>
                      <v:textbox>
                        <w:txbxContent>
                          <w:p w14:paraId="44A774F5">
                            <w:pPr>
                              <w:pStyle w:val="2"/>
                              <w:jc w:val="center"/>
                              <w:rPr>
                                <w:rFonts w:hint="default"/>
                                <w:sz w:val="21"/>
                                <w:szCs w:val="21"/>
                                <w:lang w:val="en-US" w:eastAsia="zh-CN"/>
                              </w:rPr>
                            </w:pPr>
                            <w:r>
                              <w:rPr>
                                <w:rFonts w:hint="eastAsia"/>
                                <w:sz w:val="21"/>
                                <w:szCs w:val="21"/>
                                <w:lang w:val="en-US" w:eastAsia="zh-CN"/>
                              </w:rPr>
                              <w:t>1.5</w:t>
                            </w:r>
                          </w:p>
                        </w:txbxContent>
                      </v:textbox>
                    </v:shape>
                  </w:pict>
                </mc:Fallback>
              </mc:AlternateContent>
            </w:r>
          </w:p>
          <w:p w14:paraId="442BCF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43584" behindDoc="0" locked="0" layoutInCell="1" allowOverlap="1">
                      <wp:simplePos x="0" y="0"/>
                      <wp:positionH relativeFrom="column">
                        <wp:posOffset>3928745</wp:posOffset>
                      </wp:positionH>
                      <wp:positionV relativeFrom="paragraph">
                        <wp:posOffset>38735</wp:posOffset>
                      </wp:positionV>
                      <wp:extent cx="314325" cy="0"/>
                      <wp:effectExtent l="0" t="38100" r="9525" b="38100"/>
                      <wp:wrapNone/>
                      <wp:docPr id="507" name="直接箭头连接符 291"/>
                      <wp:cNvGraphicFramePr/>
                      <a:graphic xmlns:a="http://schemas.openxmlformats.org/drawingml/2006/main">
                        <a:graphicData uri="http://schemas.microsoft.com/office/word/2010/wordprocessingShape">
                          <wps:wsp>
                            <wps:cNvCnPr/>
                            <wps:spPr>
                              <a:xfrm>
                                <a:off x="0" y="0"/>
                                <a:ext cx="314325"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91" o:spid="_x0000_s1026" o:spt="32" type="#_x0000_t32" style="position:absolute;left:0pt;margin-left:309.35pt;margin-top:3.05pt;height:0pt;width:24.75pt;z-index:251843584;mso-width-relative:page;mso-height-relative:page;" filled="f" stroked="t" coordsize="21600,21600" o:gfxdata="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5aHmXdYAAAAHAQAADwAAAAAAAAABACAAAAAiAAAAZHJzL2Rvd25yZXYu&#10;eG1sUEsBAhQAFAAAAAgAh07iQL4PcI39AQAAzQMAAA4AAAAAAAAAAQAgAAAAJQEAAGRycy9lMm9E&#10;b2MueG1sUEsFBgAAAAAGAAYAWQEAAJQFAAAAAA==&#10;">
                      <v:fill on="f" focussize="0,0"/>
                      <v:stroke color="#FF0000 [3204]" joinstyle="round" endarrow="block"/>
                      <v:imagedata o:title=""/>
                      <o:lock v:ext="edit" aspectratio="f"/>
                    </v:shape>
                  </w:pict>
                </mc:Fallback>
              </mc:AlternateContent>
            </w:r>
            <w:r>
              <w:rPr>
                <w:color w:val="auto"/>
                <w:sz w:val="24"/>
              </w:rPr>
              <mc:AlternateContent>
                <mc:Choice Requires="wpg">
                  <w:drawing>
                    <wp:anchor distT="0" distB="0" distL="114300" distR="114300" simplePos="0" relativeHeight="251841536" behindDoc="0" locked="0" layoutInCell="1" allowOverlap="1">
                      <wp:simplePos x="0" y="0"/>
                      <wp:positionH relativeFrom="column">
                        <wp:posOffset>1671320</wp:posOffset>
                      </wp:positionH>
                      <wp:positionV relativeFrom="paragraph">
                        <wp:posOffset>173990</wp:posOffset>
                      </wp:positionV>
                      <wp:extent cx="1323340" cy="732790"/>
                      <wp:effectExtent l="0" t="0" r="0" b="8255"/>
                      <wp:wrapNone/>
                      <wp:docPr id="334" name="组合 349"/>
                      <wp:cNvGraphicFramePr/>
                      <a:graphic xmlns:a="http://schemas.openxmlformats.org/drawingml/2006/main">
                        <a:graphicData uri="http://schemas.microsoft.com/office/word/2010/wordprocessingGroup">
                          <wpg:wgp>
                            <wpg:cNvGrpSpPr/>
                            <wpg:grpSpPr>
                              <a:xfrm rot="0">
                                <a:off x="3248025" y="2837180"/>
                                <a:ext cx="1323340" cy="732790"/>
                                <a:chOff x="6825" y="503357"/>
                                <a:chExt cx="2084" cy="1154"/>
                              </a:xfrm>
                            </wpg:grpSpPr>
                            <wps:wsp>
                              <wps:cNvPr id="336" name="文本框 212"/>
                              <wps:cNvSpPr txBox="1"/>
                              <wps:spPr>
                                <a:xfrm>
                                  <a:off x="6840" y="504077"/>
                                  <a:ext cx="1693" cy="435"/>
                                </a:xfrm>
                                <a:prstGeom prst="rect">
                                  <a:avLst/>
                                </a:prstGeom>
                                <a:no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CCBAC89">
                                    <w:pPr>
                                      <w:pStyle w:val="2"/>
                                      <w:jc w:val="center"/>
                                      <w:rPr>
                                        <w:rFonts w:hint="default"/>
                                        <w:sz w:val="21"/>
                                        <w:szCs w:val="21"/>
                                        <w:lang w:val="en-US" w:eastAsia="zh-CN"/>
                                      </w:rPr>
                                    </w:pPr>
                                    <w:r>
                                      <w:rPr>
                                        <w:rFonts w:hint="eastAsia"/>
                                        <w:sz w:val="21"/>
                                        <w:szCs w:val="21"/>
                                        <w:lang w:val="en-US" w:eastAsia="zh-CN"/>
                                      </w:rPr>
                                      <w:t>地面冲洗用水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55" name="组合 228"/>
                              <wpg:cNvGrpSpPr/>
                              <wpg:grpSpPr>
                                <a:xfrm rot="0">
                                  <a:off x="6825" y="503357"/>
                                  <a:ext cx="2084" cy="735"/>
                                  <a:chOff x="6195" y="495461"/>
                                  <a:chExt cx="2084" cy="735"/>
                                </a:xfrm>
                              </wpg:grpSpPr>
                              <wps:wsp>
                                <wps:cNvPr id="356" name="曲线连接符 100"/>
                                <wps:cNvCnPr/>
                                <wps:spPr>
                                  <a:xfrm flipV="1">
                                    <a:off x="7020" y="495926"/>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362" name="文本框 106"/>
                                <wps:cNvSpPr txBox="1"/>
                                <wps:spPr>
                                  <a:xfrm>
                                    <a:off x="6195" y="495461"/>
                                    <a:ext cx="2084" cy="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E9929">
                                      <w:pPr>
                                        <w:pStyle w:val="2"/>
                                        <w:jc w:val="center"/>
                                        <w:rPr>
                                          <w:rFonts w:hint="default"/>
                                          <w:sz w:val="21"/>
                                          <w:szCs w:val="21"/>
                                          <w:lang w:val="en-US" w:eastAsia="zh-CN"/>
                                        </w:rPr>
                                      </w:pPr>
                                      <w:r>
                                        <w:rPr>
                                          <w:rFonts w:hint="eastAsia"/>
                                          <w:sz w:val="21"/>
                                          <w:szCs w:val="21"/>
                                          <w:lang w:val="en-US" w:eastAsia="zh-CN"/>
                                        </w:rPr>
                                        <w:t>损失0.36</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组合 349" o:spid="_x0000_s1026" o:spt="203" style="position:absolute;left:0pt;margin-left:131.6pt;margin-top:13.7pt;height:57.7pt;width:104.2pt;z-index:251841536;mso-width-relative:page;mso-height-relative:page;" coordorigin="6825,503357" coordsize="2084,1154" o:gfxdata="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">
                      <o:lock v:ext="edit" aspectratio="f"/>
                      <v:shape id="文本框 212" o:spid="_x0000_s1026" o:spt="202" type="#_x0000_t202" style="position:absolute;left:6840;top:504077;height:435;width:1693;" filled="f" stroked="t" coordsize="21600,21600" o:gfxdata="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cT+Bu/&#10;AAAA3AAAAA8AAAAAAAAAAQAgAAAAIgAAAGRycy9kb3ducmV2LnhtbFBLAQIUABQAAAAIAIdO4kAz&#10;LwWeOwAAADkAAAAQAAAAAAAAAAEAIAAAAA4BAABkcnMvc2hhcGV4bWwueG1sUEsFBgAAAAAGAAYA&#10;WwEAALgDAAAAAA==&#10;">
                        <v:fill on="f" focussize="0,0"/>
                        <v:stroke color="#000000 [3213]" joinstyle="round"/>
                        <v:imagedata o:title=""/>
                        <o:lock v:ext="edit" aspectratio="f"/>
                        <v:textbox>
                          <w:txbxContent>
                            <w:p w14:paraId="5CCBAC89">
                              <w:pPr>
                                <w:pStyle w:val="2"/>
                                <w:jc w:val="center"/>
                                <w:rPr>
                                  <w:rFonts w:hint="default"/>
                                  <w:sz w:val="21"/>
                                  <w:szCs w:val="21"/>
                                  <w:lang w:val="en-US" w:eastAsia="zh-CN"/>
                                </w:rPr>
                              </w:pPr>
                              <w:r>
                                <w:rPr>
                                  <w:rFonts w:hint="eastAsia"/>
                                  <w:sz w:val="21"/>
                                  <w:szCs w:val="21"/>
                                  <w:lang w:val="en-US" w:eastAsia="zh-CN"/>
                                </w:rPr>
                                <w:t>地面冲洗用水</w:t>
                              </w:r>
                            </w:p>
                          </w:txbxContent>
                        </v:textbox>
                      </v:shape>
                      <v:group id="组合 228" o:spid="_x0000_s1026" o:spt="203" style="position:absolute;left:6825;top:503357;height:735;width:2084;" coordorigin="6195,495461" coordsize="2084,735" o:gfxdata="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jmn+1vwAAANwAAAAPAAAAAAAAAAEAIAAAACIAAABkcnMvZG93bnJldi54&#10;bWxQSwECFAAUAAAACACHTuJAMy8FnjsAAAA5AAAAFQAAAAAAAAABACAAAAAOAQAAZHJzL2dyb3Vw&#10;c2hhcGV4bWwueG1sUEsFBgAAAAAGAAYAYAEAAMsDAAAAAA==&#10;">
                        <o:lock v:ext="edit" aspectratio="f"/>
                        <v:shape id="曲线连接符 100" o:spid="_x0000_s1026" o:spt="38" type="#_x0000_t38" style="position:absolute;left:7020;top:495926;flip:y;height:270;width:300;" filled="f" stroked="t" coordsize="21600,21600" o:gfxdata="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jC+L4A&#10;AADcAAAADwAAAAAAAAABACAAAAAiAAAAZHJzL2Rvd25yZXYueG1sUEsBAhQAFAAAAAgAh07iQDMv&#10;BZ47AAAAOQAAABAAAAAAAAAAAQAgAAAADQEAAGRycy9zaGFwZXhtbC54bWxQSwUGAAAAAAYABgBb&#10;AQAAtwMAAAAA&#10;" adj="10872">
                          <v:fill on="f" focussize="0,0"/>
                          <v:stroke color="#FF0000 [3204]" joinstyle="round" endarrow="block"/>
                          <v:imagedata o:title=""/>
                          <o:lock v:ext="edit" aspectratio="f"/>
                        </v:shape>
                        <v:shape id="文本框 106" o:spid="_x0000_s1026" o:spt="202" type="#_x0000_t202" style="position:absolute;left:6195;top:495461;height:465;width:2084;" filled="f" stroked="f" coordsize="21600,21600" o:gfxdata="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T70j&#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304E9929">
                                <w:pPr>
                                  <w:pStyle w:val="2"/>
                                  <w:jc w:val="center"/>
                                  <w:rPr>
                                    <w:rFonts w:hint="default"/>
                                    <w:sz w:val="21"/>
                                    <w:szCs w:val="21"/>
                                    <w:lang w:val="en-US" w:eastAsia="zh-CN"/>
                                  </w:rPr>
                                </w:pPr>
                                <w:r>
                                  <w:rPr>
                                    <w:rFonts w:hint="eastAsia"/>
                                    <w:sz w:val="21"/>
                                    <w:szCs w:val="21"/>
                                    <w:lang w:val="en-US" w:eastAsia="zh-CN"/>
                                  </w:rPr>
                                  <w:t>损失0.36</w:t>
                                </w:r>
                              </w:p>
                            </w:txbxContent>
                          </v:textbox>
                        </v:shape>
                      </v:group>
                    </v:group>
                  </w:pict>
                </mc:Fallback>
              </mc:AlternateContent>
            </w:r>
            <w:r>
              <w:rPr>
                <w:color w:val="auto"/>
                <w:sz w:val="24"/>
              </w:rPr>
              <mc:AlternateContent>
                <mc:Choice Requires="wps">
                  <w:drawing>
                    <wp:anchor distT="0" distB="0" distL="114300" distR="114300" simplePos="0" relativeHeight="251834368" behindDoc="0" locked="0" layoutInCell="1" allowOverlap="1">
                      <wp:simplePos x="0" y="0"/>
                      <wp:positionH relativeFrom="column">
                        <wp:posOffset>2642870</wp:posOffset>
                      </wp:positionH>
                      <wp:positionV relativeFrom="paragraph">
                        <wp:posOffset>38735</wp:posOffset>
                      </wp:positionV>
                      <wp:extent cx="1280160" cy="1905"/>
                      <wp:effectExtent l="0" t="38100" r="15240" b="36195"/>
                      <wp:wrapNone/>
                      <wp:docPr id="313" name="直接箭头连接符 304"/>
                      <wp:cNvGraphicFramePr/>
                      <a:graphic xmlns:a="http://schemas.openxmlformats.org/drawingml/2006/main">
                        <a:graphicData uri="http://schemas.microsoft.com/office/word/2010/wordprocessingShape">
                          <wps:wsp>
                            <wps:cNvCnPr/>
                            <wps:spPr>
                              <a:xfrm flipV="1">
                                <a:off x="4162425" y="5828030"/>
                                <a:ext cx="1280160" cy="1905"/>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304" o:spid="_x0000_s1026" o:spt="32" type="#_x0000_t32" style="position:absolute;left:0pt;flip:y;margin-left:208.1pt;margin-top:3.05pt;height:0.15pt;width:100.8pt;z-index:251834368;mso-width-relative:page;mso-height-relative:page;" filled="f" stroked="t" coordsize="21600,21600" o:gfxdata="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n9sz6dgAAAAHAQAADwAA&#10;AAAAAAABACAAAAAiAAAAZHJzL2Rvd25yZXYueG1sUEsBAhQAFAAAAAgAh07iQOqlOa0WAgAA5wMA&#10;AA4AAAAAAAAAAQAgAAAAJwEAAGRycy9lMm9Eb2MueG1sUEsFBgAAAAAGAAYAWQEAAK8FAAAAAA==&#10;">
                      <v:fill on="f" focussize="0,0"/>
                      <v:stroke color="#FF0000 [3204]" joinstyle="round" endarrow="block"/>
                      <v:imagedata o:title=""/>
                      <o:lock v:ext="edit" aspectratio="f"/>
                    </v:shape>
                  </w:pict>
                </mc:Fallback>
              </mc:AlternateContent>
            </w:r>
            <w:r>
              <w:rPr>
                <w:color w:val="auto"/>
                <w:sz w:val="24"/>
              </w:rPr>
              <mc:AlternateContent>
                <mc:Choice Requires="wps">
                  <w:drawing>
                    <wp:anchor distT="0" distB="0" distL="114300" distR="114300" simplePos="0" relativeHeight="251838464" behindDoc="0" locked="0" layoutInCell="1" allowOverlap="1">
                      <wp:simplePos x="0" y="0"/>
                      <wp:positionH relativeFrom="column">
                        <wp:posOffset>1271270</wp:posOffset>
                      </wp:positionH>
                      <wp:positionV relativeFrom="paragraph">
                        <wp:posOffset>17145</wp:posOffset>
                      </wp:positionV>
                      <wp:extent cx="314325" cy="0"/>
                      <wp:effectExtent l="0" t="38100" r="9525" b="38100"/>
                      <wp:wrapNone/>
                      <wp:docPr id="333" name="直接箭头连接符 293"/>
                      <wp:cNvGraphicFramePr/>
                      <a:graphic xmlns:a="http://schemas.openxmlformats.org/drawingml/2006/main">
                        <a:graphicData uri="http://schemas.microsoft.com/office/word/2010/wordprocessingShape">
                          <wps:wsp>
                            <wps:cNvCnPr/>
                            <wps:spPr>
                              <a:xfrm>
                                <a:off x="2647950" y="4947285"/>
                                <a:ext cx="314325"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93" o:spid="_x0000_s1026" o:spt="32" type="#_x0000_t32" style="position:absolute;left:0pt;margin-left:100.1pt;margin-top:1.35pt;height:0pt;width:24.75pt;z-index:251838464;mso-width-relative:page;mso-height-relative:page;" filled="f" stroked="t" coordsize="21600,21600" o:gfxdata="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2PzWdQAAAAHAQAADwAAAAAAAAABACAAAAAi&#10;AAAAZHJzL2Rvd25yZXYueG1sUEsBAhQAFAAAAAgAh07iQAQHCRoOAgAA2QMAAA4AAAAAAAAAAQAg&#10;AAAAIwEAAGRycy9lMm9Eb2MueG1sUEsFBgAAAAAGAAYAWQEAAKMFAAAAAA==&#10;">
                      <v:fill on="f" focussize="0,0"/>
                      <v:stroke color="#FF0000 [3204]" joinstyle="round" endarrow="block"/>
                      <v:imagedata o:title=""/>
                      <o:lock v:ext="edit" aspectratio="f"/>
                    </v:shape>
                  </w:pict>
                </mc:Fallback>
              </mc:AlternateContent>
            </w:r>
          </w:p>
          <w:p w14:paraId="5886DA6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08B56F5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40512" behindDoc="0" locked="0" layoutInCell="1" allowOverlap="1">
                      <wp:simplePos x="0" y="0"/>
                      <wp:positionH relativeFrom="column">
                        <wp:posOffset>2757170</wp:posOffset>
                      </wp:positionH>
                      <wp:positionV relativeFrom="paragraph">
                        <wp:posOffset>11430</wp:posOffset>
                      </wp:positionV>
                      <wp:extent cx="581660" cy="264795"/>
                      <wp:effectExtent l="0" t="0" r="0" b="0"/>
                      <wp:wrapNone/>
                      <wp:docPr id="396" name="文本框 88"/>
                      <wp:cNvGraphicFramePr/>
                      <a:graphic xmlns:a="http://schemas.openxmlformats.org/drawingml/2006/main">
                        <a:graphicData uri="http://schemas.microsoft.com/office/word/2010/wordprocessingShape">
                          <wps:wsp>
                            <wps:cNvSpPr txBox="1"/>
                            <wps:spPr>
                              <a:xfrm>
                                <a:off x="4219575" y="3238500"/>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57F78">
                                  <w:pPr>
                                    <w:pStyle w:val="2"/>
                                    <w:jc w:val="center"/>
                                    <w:rPr>
                                      <w:rFonts w:hint="default"/>
                                      <w:sz w:val="21"/>
                                      <w:szCs w:val="21"/>
                                      <w:lang w:val="en-US" w:eastAsia="zh-CN"/>
                                    </w:rPr>
                                  </w:pPr>
                                  <w:r>
                                    <w:rPr>
                                      <w:rFonts w:hint="eastAsia"/>
                                      <w:sz w:val="21"/>
                                      <w:szCs w:val="21"/>
                                      <w:lang w:val="en-US" w:eastAsia="zh-CN"/>
                                    </w:rPr>
                                    <w:t>1.44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217.1pt;margin-top:0.9pt;height:20.85pt;width:45.8pt;z-index:251840512;mso-width-relative:page;mso-height-relative:page;" filled="f" stroked="f" coordsize="21600,21600" o:gfxdata="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RDErNcAAAAIAQAADwAAAAAAAAAB&#10;ACAAAAAiAAAAZHJzL2Rvd25yZXYueG1sUEsBAhQAFAAAAAgAh07iQJDGVj5KAgAAdAQAAA4AAAAA&#10;AAAAAQAgAAAAJgEAAGRycy9lMm9Eb2MueG1sUEsFBgAAAAAGAAYAWQEAAOIFAAAAAA==&#10;">
                      <v:fill on="f" focussize="0,0"/>
                      <v:stroke on="f" weight="0.5pt"/>
                      <v:imagedata o:title=""/>
                      <o:lock v:ext="edit" aspectratio="f"/>
                      <v:textbox>
                        <w:txbxContent>
                          <w:p w14:paraId="1F857F78">
                            <w:pPr>
                              <w:pStyle w:val="2"/>
                              <w:jc w:val="center"/>
                              <w:rPr>
                                <w:rFonts w:hint="default"/>
                                <w:sz w:val="21"/>
                                <w:szCs w:val="21"/>
                                <w:lang w:val="en-US" w:eastAsia="zh-CN"/>
                              </w:rPr>
                            </w:pPr>
                            <w:r>
                              <w:rPr>
                                <w:rFonts w:hint="eastAsia"/>
                                <w:sz w:val="21"/>
                                <w:szCs w:val="21"/>
                                <w:lang w:val="en-US" w:eastAsia="zh-CN"/>
                              </w:rPr>
                              <w:t>1.44</w:t>
                            </w:r>
                          </w:p>
                        </w:txbxContent>
                      </v:textbox>
                    </v:shape>
                  </w:pict>
                </mc:Fallback>
              </mc:AlternateContent>
            </w:r>
            <w:r>
              <w:rPr>
                <w:color w:val="auto"/>
                <w:sz w:val="24"/>
              </w:rPr>
              <mc:AlternateContent>
                <mc:Choice Requires="wps">
                  <w:drawing>
                    <wp:anchor distT="0" distB="0" distL="114300" distR="114300" simplePos="0" relativeHeight="251839488" behindDoc="0" locked="0" layoutInCell="1" allowOverlap="1">
                      <wp:simplePos x="0" y="0"/>
                      <wp:positionH relativeFrom="column">
                        <wp:posOffset>2766695</wp:posOffset>
                      </wp:positionH>
                      <wp:positionV relativeFrom="paragraph">
                        <wp:posOffset>246380</wp:posOffset>
                      </wp:positionV>
                      <wp:extent cx="1194435" cy="1905"/>
                      <wp:effectExtent l="0" t="38100" r="5715" b="36195"/>
                      <wp:wrapNone/>
                      <wp:docPr id="311" name="直接箭头连接符 315"/>
                      <wp:cNvGraphicFramePr/>
                      <a:graphic xmlns:a="http://schemas.openxmlformats.org/drawingml/2006/main">
                        <a:graphicData uri="http://schemas.microsoft.com/office/word/2010/wordprocessingShape">
                          <wps:wsp>
                            <wps:cNvCnPr/>
                            <wps:spPr>
                              <a:xfrm flipV="1">
                                <a:off x="4343400" y="3437255"/>
                                <a:ext cx="1194435" cy="1905"/>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315" o:spid="_x0000_s1026" o:spt="32" type="#_x0000_t32" style="position:absolute;left:0pt;flip:y;margin-left:217.85pt;margin-top:19.4pt;height:0.15pt;width:94.05pt;z-index:251839488;mso-width-relative:page;mso-height-relative:page;" filled="f" stroked="t" coordsize="21600,21600" o:gfxdata="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i/ky9oAAAAJAQAA&#10;DwAAAAAAAAABACAAAAAiAAAAZHJzL2Rvd25yZXYueG1sUEsBAhQAFAAAAAgAh07iQDKVwCgXAgAA&#10;5wMAAA4AAAAAAAAAAQAgAAAAKQEAAGRycy9lMm9Eb2MueG1sUEsFBgAAAAAGAAYAWQEAALIFAAAA&#10;AA==&#10;">
                      <v:fill on="f" focussize="0,0"/>
                      <v:stroke color="#FF0000 [3204]" joinstyle="round" endarrow="block"/>
                      <v:imagedata o:title=""/>
                      <o:lock v:ext="edit" aspectratio="f"/>
                    </v:shape>
                  </w:pict>
                </mc:Fallback>
              </mc:AlternateContent>
            </w:r>
            <w:r>
              <w:rPr>
                <w:color w:val="auto"/>
                <w:sz w:val="24"/>
              </w:rPr>
              <mc:AlternateContent>
                <mc:Choice Requires="wpg">
                  <w:drawing>
                    <wp:anchor distT="0" distB="0" distL="114300" distR="114300" simplePos="0" relativeHeight="251842560" behindDoc="0" locked="0" layoutInCell="1" allowOverlap="1">
                      <wp:simplePos x="0" y="0"/>
                      <wp:positionH relativeFrom="column">
                        <wp:posOffset>1233170</wp:posOffset>
                      </wp:positionH>
                      <wp:positionV relativeFrom="paragraph">
                        <wp:posOffset>20955</wp:posOffset>
                      </wp:positionV>
                      <wp:extent cx="467360" cy="264160"/>
                      <wp:effectExtent l="0" t="0" r="8255" b="26670"/>
                      <wp:wrapNone/>
                      <wp:docPr id="476" name="组合 476"/>
                      <wp:cNvGraphicFramePr/>
                      <a:graphic xmlns:a="http://schemas.openxmlformats.org/drawingml/2006/main">
                        <a:graphicData uri="http://schemas.microsoft.com/office/word/2010/wordprocessingGroup">
                          <wpg:wgp>
                            <wpg:cNvGrpSpPr/>
                            <wpg:grpSpPr>
                              <a:xfrm rot="0">
                                <a:off x="2809875" y="3209925"/>
                                <a:ext cx="467360" cy="264160"/>
                                <a:chOff x="9984" y="509099"/>
                                <a:chExt cx="736" cy="416"/>
                              </a:xfrm>
                            </wpg:grpSpPr>
                            <wps:wsp>
                              <wps:cNvPr id="400" name="文本框 88"/>
                              <wps:cNvSpPr txBox="1"/>
                              <wps:spPr>
                                <a:xfrm>
                                  <a:off x="9984" y="509099"/>
                                  <a:ext cx="737"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35C69">
                                    <w:pPr>
                                      <w:pStyle w:val="2"/>
                                      <w:jc w:val="center"/>
                                      <w:rPr>
                                        <w:rFonts w:hint="default"/>
                                        <w:sz w:val="21"/>
                                        <w:szCs w:val="21"/>
                                        <w:lang w:val="en-US" w:eastAsia="zh-CN"/>
                                      </w:rPr>
                                    </w:pPr>
                                    <w:r>
                                      <w:rPr>
                                        <w:rFonts w:hint="eastAsia"/>
                                        <w:sz w:val="21"/>
                                        <w:szCs w:val="21"/>
                                        <w:lang w:val="en-US" w:eastAsia="zh-CN"/>
                                      </w:rPr>
                                      <w:t>1.8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0" name="直接箭头连接符 304"/>
                              <wps:cNvCnPr/>
                              <wps:spPr>
                                <a:xfrm flipV="1">
                                  <a:off x="10089" y="509469"/>
                                  <a:ext cx="591" cy="3"/>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97.1pt;margin-top:1.65pt;height:20.8pt;width:36.8pt;z-index:251842560;mso-width-relative:page;mso-height-relative:page;" coordorigin="9984,509099" coordsize="736,416" o:gfxdata="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">
                      <o:lock v:ext="edit" aspectratio="f"/>
                      <v:shape id="文本框 88" o:spid="_x0000_s1026" o:spt="202" type="#_x0000_t202" style="position:absolute;left:9984;top:509099;height:417;width:737;" filled="f" stroked="f" coordsize="21600,21600" o:gfxdata="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Kkrgq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AA35C69">
                              <w:pPr>
                                <w:pStyle w:val="2"/>
                                <w:jc w:val="center"/>
                                <w:rPr>
                                  <w:rFonts w:hint="default"/>
                                  <w:sz w:val="21"/>
                                  <w:szCs w:val="21"/>
                                  <w:lang w:val="en-US" w:eastAsia="zh-CN"/>
                                </w:rPr>
                              </w:pPr>
                              <w:r>
                                <w:rPr>
                                  <w:rFonts w:hint="eastAsia"/>
                                  <w:sz w:val="21"/>
                                  <w:szCs w:val="21"/>
                                  <w:lang w:val="en-US" w:eastAsia="zh-CN"/>
                                </w:rPr>
                                <w:t>1.8</w:t>
                              </w:r>
                            </w:p>
                          </w:txbxContent>
                        </v:textbox>
                      </v:shape>
                      <v:shape id="直接箭头连接符 304" o:spid="_x0000_s1026" o:spt="32" type="#_x0000_t32" style="position:absolute;left:10089;top:509469;flip:y;height:3;width:591;" filled="f" stroked="t" coordsize="21600,21600" o:gfxdata="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0aSwL4A&#10;AADcAAAADwAAAAAAAAABACAAAAAiAAAAZHJzL2Rvd25yZXYueG1sUEsBAhQAFAAAAAgAh07iQDMv&#10;BZ47AAAAOQAAABAAAAAAAAAAAQAgAAAADQEAAGRycy9zaGFwZXhtbC54bWxQSwUGAAAAAAYABgBb&#10;AQAAtwMAAAAA&#10;">
                        <v:fill on="f" focussize="0,0"/>
                        <v:stroke color="#FF0000 [3204]" joinstyle="round" endarrow="block"/>
                        <v:imagedata o:title=""/>
                        <o:lock v:ext="edit" aspectratio="f"/>
                      </v:shape>
                    </v:group>
                  </w:pict>
                </mc:Fallback>
              </mc:AlternateContent>
            </w:r>
            <w:r>
              <w:rPr>
                <w:color w:val="auto"/>
                <w:sz w:val="24"/>
              </w:rPr>
              <mc:AlternateContent>
                <mc:Choice Requires="wps">
                  <w:drawing>
                    <wp:anchor distT="0" distB="0" distL="114300" distR="114300" simplePos="0" relativeHeight="251840512" behindDoc="0" locked="0" layoutInCell="1" allowOverlap="1">
                      <wp:simplePos x="0" y="0"/>
                      <wp:positionH relativeFrom="column">
                        <wp:posOffset>490220</wp:posOffset>
                      </wp:positionH>
                      <wp:positionV relativeFrom="paragraph">
                        <wp:posOffset>125730</wp:posOffset>
                      </wp:positionV>
                      <wp:extent cx="856615" cy="236855"/>
                      <wp:effectExtent l="0" t="0" r="0" b="0"/>
                      <wp:wrapNone/>
                      <wp:docPr id="325" name="文本框 88"/>
                      <wp:cNvGraphicFramePr/>
                      <a:graphic xmlns:a="http://schemas.openxmlformats.org/drawingml/2006/main">
                        <a:graphicData uri="http://schemas.microsoft.com/office/word/2010/wordprocessingShape">
                          <wps:wsp>
                            <wps:cNvSpPr txBox="1"/>
                            <wps:spPr>
                              <a:xfrm>
                                <a:off x="2066925" y="3314700"/>
                                <a:ext cx="85661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692A7E">
                                  <w:pPr>
                                    <w:pStyle w:val="2"/>
                                    <w:jc w:val="center"/>
                                    <w:rPr>
                                      <w:rFonts w:hint="default"/>
                                      <w:sz w:val="21"/>
                                      <w:szCs w:val="21"/>
                                      <w:lang w:val="en-US" w:eastAsia="zh-CN"/>
                                    </w:rPr>
                                  </w:pPr>
                                  <w:r>
                                    <w:rPr>
                                      <w:rFonts w:hint="eastAsia"/>
                                      <w:sz w:val="21"/>
                                      <w:szCs w:val="21"/>
                                      <w:lang w:val="en-US" w:eastAsia="zh-CN"/>
                                    </w:rPr>
                                    <w:t>蒸汽凝结水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38.6pt;margin-top:9.9pt;height:18.65pt;width:67.45pt;z-index:251840512;mso-width-relative:page;mso-height-relative:page;" filled="f" stroked="f" coordsize="21600,21600" o:gfxdata="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3gi8NkAAAAIAQAADwAAAAAAAAAB&#10;ACAAAAAiAAAAZHJzL2Rvd25yZXYueG1sUEsBAhQAFAAAAAgAh07iQA86dGpIAgAAdAQAAA4AAAAA&#10;AAAAAQAgAAAAKAEAAGRycy9lMm9Eb2MueG1sUEsFBgAAAAAGAAYAWQEAAOIFAAAAAA==&#10;">
                      <v:fill on="f" focussize="0,0"/>
                      <v:stroke on="f" weight="0.5pt"/>
                      <v:imagedata o:title=""/>
                      <o:lock v:ext="edit" aspectratio="f"/>
                      <v:textbox>
                        <w:txbxContent>
                          <w:p w14:paraId="73692A7E">
                            <w:pPr>
                              <w:pStyle w:val="2"/>
                              <w:jc w:val="center"/>
                              <w:rPr>
                                <w:rFonts w:hint="default"/>
                                <w:sz w:val="21"/>
                                <w:szCs w:val="21"/>
                                <w:lang w:val="en-US" w:eastAsia="zh-CN"/>
                              </w:rPr>
                            </w:pPr>
                            <w:r>
                              <w:rPr>
                                <w:rFonts w:hint="eastAsia"/>
                                <w:sz w:val="21"/>
                                <w:szCs w:val="21"/>
                                <w:lang w:val="en-US" w:eastAsia="zh-CN"/>
                              </w:rPr>
                              <w:t>蒸汽凝结水</w:t>
                            </w:r>
                          </w:p>
                        </w:txbxContent>
                      </v:textbox>
                    </v:shape>
                  </w:pict>
                </mc:Fallback>
              </mc:AlternateContent>
            </w:r>
          </w:p>
          <w:p w14:paraId="20531E9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36B915F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r>
              <w:rPr>
                <w:rFonts w:hint="eastAsia"/>
                <w:b/>
                <w:bCs/>
                <w:color w:val="auto"/>
                <w:sz w:val="24"/>
                <w:highlight w:val="none"/>
                <w:lang w:val="en-US" w:eastAsia="zh-CN"/>
              </w:rPr>
              <w:t>图3  现有项目水平衡图（单位：t/d）</w:t>
            </w:r>
          </w:p>
          <w:p w14:paraId="16A6F8A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highlight w:val="none"/>
              </w:rPr>
              <mc:AlternateContent>
                <mc:Choice Requires="wpg">
                  <w:drawing>
                    <wp:anchor distT="0" distB="0" distL="114300" distR="114300" simplePos="0" relativeHeight="251737088" behindDoc="0" locked="0" layoutInCell="1" allowOverlap="1">
                      <wp:simplePos x="0" y="0"/>
                      <wp:positionH relativeFrom="column">
                        <wp:posOffset>833120</wp:posOffset>
                      </wp:positionH>
                      <wp:positionV relativeFrom="paragraph">
                        <wp:posOffset>231775</wp:posOffset>
                      </wp:positionV>
                      <wp:extent cx="3265170" cy="992505"/>
                      <wp:effectExtent l="4445" t="0" r="0" b="19685"/>
                      <wp:wrapNone/>
                      <wp:docPr id="265" name="组合 265"/>
                      <wp:cNvGraphicFramePr/>
                      <a:graphic xmlns:a="http://schemas.openxmlformats.org/drawingml/2006/main">
                        <a:graphicData uri="http://schemas.microsoft.com/office/word/2010/wordprocessingGroup">
                          <wpg:wgp>
                            <wpg:cNvGrpSpPr/>
                            <wpg:grpSpPr>
                              <a:xfrm>
                                <a:off x="0" y="0"/>
                                <a:ext cx="3265170" cy="992505"/>
                                <a:chOff x="6990" y="500456"/>
                                <a:chExt cx="5142" cy="1563"/>
                              </a:xfrm>
                            </wpg:grpSpPr>
                            <wpg:grpSp>
                              <wpg:cNvPr id="263" name="组合 263"/>
                              <wpg:cNvGrpSpPr/>
                              <wpg:grpSpPr>
                                <a:xfrm>
                                  <a:off x="8550" y="500456"/>
                                  <a:ext cx="2084" cy="885"/>
                                  <a:chOff x="8550" y="500456"/>
                                  <a:chExt cx="2084" cy="885"/>
                                </a:xfrm>
                              </wpg:grpSpPr>
                              <wps:wsp>
                                <wps:cNvPr id="252" name="曲线连接符 100"/>
                                <wps:cNvCnPr/>
                                <wps:spPr>
                                  <a:xfrm flipV="1">
                                    <a:off x="9375" y="501071"/>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53" name="文本框 106"/>
                                <wps:cNvSpPr txBox="1"/>
                                <wps:spPr>
                                  <a:xfrm>
                                    <a:off x="8550" y="500456"/>
                                    <a:ext cx="2084" cy="65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7C452">
                                      <w:pPr>
                                        <w:pStyle w:val="2"/>
                                        <w:jc w:val="center"/>
                                        <w:rPr>
                                          <w:rFonts w:hint="eastAsia"/>
                                          <w:sz w:val="21"/>
                                          <w:szCs w:val="21"/>
                                          <w:lang w:val="en-US" w:eastAsia="zh-CN"/>
                                        </w:rPr>
                                      </w:pPr>
                                      <w:r>
                                        <w:rPr>
                                          <w:rFonts w:hint="eastAsia"/>
                                          <w:sz w:val="21"/>
                                          <w:szCs w:val="21"/>
                                          <w:lang w:val="en-US" w:eastAsia="zh-CN"/>
                                        </w:rPr>
                                        <w:t>管道损失、生产损失</w:t>
                                      </w:r>
                                    </w:p>
                                    <w:p w14:paraId="17607F0D">
                                      <w:pPr>
                                        <w:pStyle w:val="2"/>
                                        <w:jc w:val="center"/>
                                        <w:rPr>
                                          <w:rFonts w:hint="default"/>
                                          <w:sz w:val="21"/>
                                          <w:szCs w:val="21"/>
                                          <w:lang w:val="en-US" w:eastAsia="zh-CN"/>
                                        </w:rPr>
                                      </w:pPr>
                                      <w:r>
                                        <w:rPr>
                                          <w:rFonts w:hint="eastAsia"/>
                                          <w:sz w:val="21"/>
                                          <w:szCs w:val="21"/>
                                          <w:lang w:val="en-US" w:eastAsia="zh-CN"/>
                                        </w:rPr>
                                        <w:t>0.01</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64" name="组合 264"/>
                              <wpg:cNvGrpSpPr/>
                              <wpg:grpSpPr>
                                <a:xfrm>
                                  <a:off x="6990" y="501299"/>
                                  <a:ext cx="5143" cy="720"/>
                                  <a:chOff x="6990" y="501299"/>
                                  <a:chExt cx="5143" cy="720"/>
                                </a:xfrm>
                              </wpg:grpSpPr>
                              <wps:wsp>
                                <wps:cNvPr id="255" name="直接箭头连接符 89"/>
                                <wps:cNvCnPr/>
                                <wps:spPr>
                                  <a:xfrm>
                                    <a:off x="8220" y="501644"/>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58" name="文本框 108"/>
                                <wps:cNvSpPr txBox="1"/>
                                <wps:spPr>
                                  <a:xfrm>
                                    <a:off x="8760" y="501359"/>
                                    <a:ext cx="1408" cy="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6D7E4F">
                                      <w:pPr>
                                        <w:pStyle w:val="2"/>
                                        <w:jc w:val="center"/>
                                        <w:rPr>
                                          <w:rFonts w:hint="eastAsia"/>
                                          <w:sz w:val="21"/>
                                          <w:szCs w:val="21"/>
                                          <w:lang w:val="en-US" w:eastAsia="zh-CN"/>
                                        </w:rPr>
                                      </w:pPr>
                                      <w:r>
                                        <w:rPr>
                                          <w:rFonts w:hint="eastAsia"/>
                                          <w:sz w:val="21"/>
                                          <w:szCs w:val="21"/>
                                          <w:lang w:val="en-US" w:eastAsia="zh-CN"/>
                                        </w:rPr>
                                        <w:t>蒸汽凝结水</w:t>
                                      </w:r>
                                    </w:p>
                                    <w:p w14:paraId="5EDA9234">
                                      <w:pPr>
                                        <w:pStyle w:val="2"/>
                                        <w:jc w:val="center"/>
                                        <w:rPr>
                                          <w:rFonts w:hint="default"/>
                                          <w:sz w:val="21"/>
                                          <w:szCs w:val="21"/>
                                          <w:lang w:val="en-US" w:eastAsia="zh-CN"/>
                                        </w:rPr>
                                      </w:pPr>
                                      <w:r>
                                        <w:rPr>
                                          <w:rFonts w:hint="eastAsia"/>
                                          <w:sz w:val="21"/>
                                          <w:szCs w:val="21"/>
                                          <w:lang w:val="en-US" w:eastAsia="zh-CN"/>
                                        </w:rPr>
                                        <w:t>0.99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9" name="直接箭头连接符 109"/>
                                <wps:cNvCnPr/>
                                <wps:spPr>
                                  <a:xfrm>
                                    <a:off x="10215" y="501689"/>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260" name="文本框 212"/>
                                <wps:cNvSpPr txBox="1"/>
                                <wps:spPr>
                                  <a:xfrm>
                                    <a:off x="10575" y="501299"/>
                                    <a:ext cx="1558" cy="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2E2DE">
                                      <w:pPr>
                                        <w:pStyle w:val="2"/>
                                        <w:jc w:val="center"/>
                                        <w:rPr>
                                          <w:rFonts w:hint="default"/>
                                          <w:sz w:val="21"/>
                                          <w:szCs w:val="21"/>
                                          <w:lang w:val="en-US" w:eastAsia="zh-CN"/>
                                        </w:rPr>
                                      </w:pPr>
                                      <w:r>
                                        <w:rPr>
                                          <w:rFonts w:hint="eastAsia"/>
                                          <w:sz w:val="21"/>
                                          <w:szCs w:val="21"/>
                                          <w:lang w:val="en-US" w:eastAsia="zh-CN"/>
                                        </w:rPr>
                                        <w:t>回用于地面冲洗</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1" name="文本框 88"/>
                                <wps:cNvSpPr txBox="1"/>
                                <wps:spPr>
                                  <a:xfrm>
                                    <a:off x="6990" y="501356"/>
                                    <a:ext cx="1230" cy="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32726E1">
                                      <w:pPr>
                                        <w:pStyle w:val="2"/>
                                        <w:jc w:val="center"/>
                                        <w:rPr>
                                          <w:rFonts w:hint="default"/>
                                          <w:sz w:val="21"/>
                                          <w:szCs w:val="21"/>
                                          <w:lang w:val="en-US" w:eastAsia="zh-CN"/>
                                        </w:rPr>
                                      </w:pPr>
                                      <w:r>
                                        <w:rPr>
                                          <w:rFonts w:hint="eastAsia"/>
                                          <w:sz w:val="21"/>
                                          <w:szCs w:val="21"/>
                                          <w:lang w:val="en-US" w:eastAsia="zh-CN"/>
                                        </w:rPr>
                                        <w:t>园区蒸汽</w:t>
                                      </w:r>
                                    </w:p>
                                    <w:p w14:paraId="11252D12">
                                      <w:pPr>
                                        <w:pStyle w:val="2"/>
                                        <w:jc w:val="center"/>
                                        <w:rPr>
                                          <w:rFonts w:hint="default"/>
                                          <w:sz w:val="21"/>
                                          <w:szCs w:val="21"/>
                                          <w:lang w:val="en-US" w:eastAsia="zh-CN"/>
                                        </w:rPr>
                                      </w:pPr>
                                      <w:r>
                                        <w:rPr>
                                          <w:rFonts w:hint="eastAsia"/>
                                          <w:sz w:val="21"/>
                                          <w:szCs w:val="21"/>
                                          <w:lang w:val="en-US" w:eastAsia="zh-CN"/>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65.6pt;margin-top:18.25pt;height:78.15pt;width:257.1pt;z-index:251737088;mso-width-relative:page;mso-height-relative:page;" coordorigin="6990,500456" coordsize="5142,1563" o:gfxdata="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">
                      <o:lock v:ext="edit" aspectratio="f"/>
                      <v:group id="_x0000_s1026" o:spid="_x0000_s1026" o:spt="203" style="position:absolute;left:8550;top:500456;height:885;width:2084;" coordorigin="8550,500456" coordsize="2084,885" o:gfxdata="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7sod6vwAAANwAAAAPAAAAAAAAAAEAIAAAACIAAABkcnMvZG93bnJldi54&#10;bWxQSwECFAAUAAAACACHTuJAMy8FnjsAAAA5AAAAFQAAAAAAAAABACAAAAAOAQAAZHJzL2dyb3Vw&#10;c2hhcGV4bWwueG1sUEsFBgAAAAAGAAYAYAEAAMsDAAAAAA==&#10;">
                        <o:lock v:ext="edit" aspectratio="f"/>
                        <v:shape id="曲线连接符 100" o:spid="_x0000_s1026" o:spt="38" type="#_x0000_t38" style="position:absolute;left:9375;top:501071;flip:y;height:270;width:300;" filled="f" stroked="t" coordsize="21600,21600" o:gfxdata="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LLZr4A&#10;AADcAAAADwAAAAAAAAABACAAAAAiAAAAZHJzL2Rvd25yZXYueG1sUEsBAhQAFAAAAAgAh07iQDMv&#10;BZ47AAAAOQAAABAAAAAAAAAAAQAgAAAADQEAAGRycy9zaGFwZXhtbC54bWxQSwUGAAAAAAYABgBb&#10;AQAAtwMAAAAA&#10;" adj="10872">
                          <v:fill on="f" focussize="0,0"/>
                          <v:stroke color="#FF0000 [3204]" joinstyle="round" endarrow="block"/>
                          <v:imagedata o:title=""/>
                          <o:lock v:ext="edit" aspectratio="f"/>
                        </v:shape>
                        <v:shape id="文本框 106" o:spid="_x0000_s1026" o:spt="202" type="#_x0000_t202" style="position:absolute;left:8550;top:500456;height:659;width:2084;" filled="f" stroked="f" coordsize="21600,21600" o:gfxdata="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jt2Y&#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3CB7C452">
                                <w:pPr>
                                  <w:pStyle w:val="2"/>
                                  <w:jc w:val="center"/>
                                  <w:rPr>
                                    <w:rFonts w:hint="eastAsia"/>
                                    <w:sz w:val="21"/>
                                    <w:szCs w:val="21"/>
                                    <w:lang w:val="en-US" w:eastAsia="zh-CN"/>
                                  </w:rPr>
                                </w:pPr>
                                <w:r>
                                  <w:rPr>
                                    <w:rFonts w:hint="eastAsia"/>
                                    <w:sz w:val="21"/>
                                    <w:szCs w:val="21"/>
                                    <w:lang w:val="en-US" w:eastAsia="zh-CN"/>
                                  </w:rPr>
                                  <w:t>管道损失、生产损失</w:t>
                                </w:r>
                              </w:p>
                              <w:p w14:paraId="17607F0D">
                                <w:pPr>
                                  <w:pStyle w:val="2"/>
                                  <w:jc w:val="center"/>
                                  <w:rPr>
                                    <w:rFonts w:hint="default"/>
                                    <w:sz w:val="21"/>
                                    <w:szCs w:val="21"/>
                                    <w:lang w:val="en-US" w:eastAsia="zh-CN"/>
                                  </w:rPr>
                                </w:pPr>
                                <w:r>
                                  <w:rPr>
                                    <w:rFonts w:hint="eastAsia"/>
                                    <w:sz w:val="21"/>
                                    <w:szCs w:val="21"/>
                                    <w:lang w:val="en-US" w:eastAsia="zh-CN"/>
                                  </w:rPr>
                                  <w:t>0.01</w:t>
                                </w:r>
                              </w:p>
                            </w:txbxContent>
                          </v:textbox>
                        </v:shape>
                      </v:group>
                      <v:group id="_x0000_s1026" o:spid="_x0000_s1026" o:spt="203" style="position:absolute;left:6990;top:501299;height:720;width:5143;" coordorigin="6990,501299" coordsize="5143,720" o:gfxdata="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9FsfDsAAAADcAAAADwAAAAAAAAABACAAAAAiAAAAZHJzL2Rvd25yZXYu&#10;eG1sUEsBAhQAFAAAAAgAh07iQDMvBZ47AAAAOQAAABUAAAAAAAAAAQAgAAAADwEAAGRycy9ncm91&#10;cHNoYXBleG1sLnhtbFBLBQYAAAAABgAGAGABAADMAwAAAAA=&#10;">
                        <o:lock v:ext="edit" aspectratio="f"/>
                        <v:shape id="直接箭头连接符 89" o:spid="_x0000_s1026" o:spt="32" type="#_x0000_t32" style="position:absolute;left:8220;top:501644;height:0;width:540;" filled="f" stroked="t" coordsize="21600,21600" o:gfxdata="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Xge/&#10;AAAA3AAAAA8AAAAAAAAAAQAgAAAAIgAAAGRycy9kb3ducmV2LnhtbFBLAQIUABQAAAAIAIdO4kAz&#10;LwWeOwAAADkAAAAQAAAAAAAAAAEAIAAAAA4BAABkcnMvc2hhcGV4bWwueG1sUEsFBgAAAAAGAAYA&#10;WwEAALgDAAAAAA==&#10;">
                          <v:fill on="f" focussize="0,0"/>
                          <v:stroke color="#FF0000 [3204]" joinstyle="round" endarrow="block"/>
                          <v:imagedata o:title=""/>
                          <o:lock v:ext="edit" aspectratio="f"/>
                        </v:shape>
                        <v:shape id="文本框 108" o:spid="_x0000_s1026" o:spt="202" type="#_x0000_t202" style="position:absolute;left:8760;top:501359;height:660;width:1408;" fillcolor="#FFFFFF [3201]" filled="t" stroked="t" coordsize="21600,21600" o:gfxdata="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kRUUb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586D7E4F">
                                <w:pPr>
                                  <w:pStyle w:val="2"/>
                                  <w:jc w:val="center"/>
                                  <w:rPr>
                                    <w:rFonts w:hint="eastAsia"/>
                                    <w:sz w:val="21"/>
                                    <w:szCs w:val="21"/>
                                    <w:lang w:val="en-US" w:eastAsia="zh-CN"/>
                                  </w:rPr>
                                </w:pPr>
                                <w:r>
                                  <w:rPr>
                                    <w:rFonts w:hint="eastAsia"/>
                                    <w:sz w:val="21"/>
                                    <w:szCs w:val="21"/>
                                    <w:lang w:val="en-US" w:eastAsia="zh-CN"/>
                                  </w:rPr>
                                  <w:t>蒸汽凝结水</w:t>
                                </w:r>
                              </w:p>
                              <w:p w14:paraId="5EDA9234">
                                <w:pPr>
                                  <w:pStyle w:val="2"/>
                                  <w:jc w:val="center"/>
                                  <w:rPr>
                                    <w:rFonts w:hint="default"/>
                                    <w:sz w:val="21"/>
                                    <w:szCs w:val="21"/>
                                    <w:lang w:val="en-US" w:eastAsia="zh-CN"/>
                                  </w:rPr>
                                </w:pPr>
                                <w:r>
                                  <w:rPr>
                                    <w:rFonts w:hint="eastAsia"/>
                                    <w:sz w:val="21"/>
                                    <w:szCs w:val="21"/>
                                    <w:lang w:val="en-US" w:eastAsia="zh-CN"/>
                                  </w:rPr>
                                  <w:t>0.99</w:t>
                                </w:r>
                              </w:p>
                            </w:txbxContent>
                          </v:textbox>
                        </v:shape>
                        <v:shape id="直接箭头连接符 109" o:spid="_x0000_s1026" o:spt="32" type="#_x0000_t32" style="position:absolute;left:10215;top:501689;height:0;width:540;" filled="f" stroked="t" coordsize="21600,21600" o:gfxdata="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slQC&#10;wAAAANwAAAAPAAAAAAAAAAEAIAAAACIAAABkcnMvZG93bnJldi54bWxQSwECFAAUAAAACACHTuJA&#10;My8FnjsAAAA5AAAAEAAAAAAAAAABACAAAAAPAQAAZHJzL3NoYXBleG1sLnhtbFBLBQYAAAAABgAG&#10;AFsBAAC5AwAAAAA=&#10;">
                          <v:fill on="f" focussize="0,0"/>
                          <v:stroke color="#FF0000 [3204]" joinstyle="round" endarrow="block"/>
                          <v:imagedata o:title=""/>
                          <o:lock v:ext="edit" aspectratio="f"/>
                        </v:shape>
                        <v:shape id="文本框 212" o:spid="_x0000_s1026" o:spt="202" type="#_x0000_t202" style="position:absolute;left:10575;top:501299;height:705;width:1558;" filled="f" stroked="f" coordsize="21600,21600" o:gfxdata="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TCJUr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36E2E2DE">
                                <w:pPr>
                                  <w:pStyle w:val="2"/>
                                  <w:jc w:val="center"/>
                                  <w:rPr>
                                    <w:rFonts w:hint="default"/>
                                    <w:sz w:val="21"/>
                                    <w:szCs w:val="21"/>
                                    <w:lang w:val="en-US" w:eastAsia="zh-CN"/>
                                  </w:rPr>
                                </w:pPr>
                                <w:r>
                                  <w:rPr>
                                    <w:rFonts w:hint="eastAsia"/>
                                    <w:sz w:val="21"/>
                                    <w:szCs w:val="21"/>
                                    <w:lang w:val="en-US" w:eastAsia="zh-CN"/>
                                  </w:rPr>
                                  <w:t>回用于地面冲洗</w:t>
                                </w:r>
                              </w:p>
                            </w:txbxContent>
                          </v:textbox>
                        </v:shape>
                        <v:shape id="文本框 88" o:spid="_x0000_s1026" o:spt="202" type="#_x0000_t202" style="position:absolute;left:6990;top:501356;height:660;width:1230;" fillcolor="#FFFFFF [3201]" filled="t" stroked="t" coordsize="21600,21600" o:gfxdata="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RI3cbsAAADc&#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532726E1">
                                <w:pPr>
                                  <w:pStyle w:val="2"/>
                                  <w:jc w:val="center"/>
                                  <w:rPr>
                                    <w:rFonts w:hint="default"/>
                                    <w:sz w:val="21"/>
                                    <w:szCs w:val="21"/>
                                    <w:lang w:val="en-US" w:eastAsia="zh-CN"/>
                                  </w:rPr>
                                </w:pPr>
                                <w:r>
                                  <w:rPr>
                                    <w:rFonts w:hint="eastAsia"/>
                                    <w:sz w:val="21"/>
                                    <w:szCs w:val="21"/>
                                    <w:lang w:val="en-US" w:eastAsia="zh-CN"/>
                                  </w:rPr>
                                  <w:t>园区蒸汽</w:t>
                                </w:r>
                              </w:p>
                              <w:p w14:paraId="11252D12">
                                <w:pPr>
                                  <w:pStyle w:val="2"/>
                                  <w:jc w:val="center"/>
                                  <w:rPr>
                                    <w:rFonts w:hint="default"/>
                                    <w:sz w:val="21"/>
                                    <w:szCs w:val="21"/>
                                    <w:lang w:val="en-US" w:eastAsia="zh-CN"/>
                                  </w:rPr>
                                </w:pPr>
                                <w:r>
                                  <w:rPr>
                                    <w:rFonts w:hint="eastAsia"/>
                                    <w:sz w:val="21"/>
                                    <w:szCs w:val="21"/>
                                    <w:lang w:val="en-US" w:eastAsia="zh-CN"/>
                                  </w:rPr>
                                  <w:t>1.0</w:t>
                                </w:r>
                              </w:p>
                            </w:txbxContent>
                          </v:textbox>
                        </v:shape>
                      </v:group>
                    </v:group>
                  </w:pict>
                </mc:Fallback>
              </mc:AlternateContent>
            </w:r>
          </w:p>
          <w:p w14:paraId="49864C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34AE31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38B585A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15242B0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color w:val="auto"/>
                <w:sz w:val="24"/>
                <w:highlight w:val="none"/>
                <w:lang w:val="en-US" w:eastAsia="zh-CN"/>
              </w:rPr>
            </w:pPr>
          </w:p>
          <w:p w14:paraId="52233B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default" w:eastAsia="宋体"/>
                <w:b/>
                <w:bCs/>
                <w:color w:val="auto"/>
                <w:sz w:val="24"/>
                <w:highlight w:val="none"/>
                <w:lang w:val="en-US" w:eastAsia="zh-CN"/>
              </w:rPr>
            </w:pPr>
            <w:r>
              <w:rPr>
                <w:rFonts w:hint="eastAsia"/>
                <w:b/>
                <w:bCs/>
                <w:color w:val="auto"/>
                <w:sz w:val="24"/>
                <w:highlight w:val="none"/>
                <w:lang w:val="en-US" w:eastAsia="zh-CN"/>
              </w:rPr>
              <w:t>图4  本项目水平衡图（t/h）</w:t>
            </w:r>
          </w:p>
          <w:p w14:paraId="7D93BCE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g">
                  <w:drawing>
                    <wp:anchor distT="0" distB="0" distL="114300" distR="114300" simplePos="0" relativeHeight="251845632" behindDoc="0" locked="0" layoutInCell="1" allowOverlap="1">
                      <wp:simplePos x="0" y="0"/>
                      <wp:positionH relativeFrom="column">
                        <wp:posOffset>347345</wp:posOffset>
                      </wp:positionH>
                      <wp:positionV relativeFrom="paragraph">
                        <wp:posOffset>194310</wp:posOffset>
                      </wp:positionV>
                      <wp:extent cx="3695065" cy="1086485"/>
                      <wp:effectExtent l="0" t="0" r="0" b="0"/>
                      <wp:wrapNone/>
                      <wp:docPr id="509" name="组合 321"/>
                      <wp:cNvGraphicFramePr/>
                      <a:graphic xmlns:a="http://schemas.openxmlformats.org/drawingml/2006/main">
                        <a:graphicData uri="http://schemas.microsoft.com/office/word/2010/wordprocessingGroup">
                          <wpg:wgp>
                            <wpg:cNvGrpSpPr/>
                            <wpg:grpSpPr>
                              <a:xfrm rot="0">
                                <a:off x="1933575" y="4204970"/>
                                <a:ext cx="3695065" cy="1086485"/>
                                <a:chOff x="4305" y="502277"/>
                                <a:chExt cx="5819" cy="1711"/>
                              </a:xfrm>
                            </wpg:grpSpPr>
                            <wpg:grpSp>
                              <wpg:cNvPr id="510" name="组合 228"/>
                              <wpg:cNvGrpSpPr/>
                              <wpg:grpSpPr>
                                <a:xfrm rot="0">
                                  <a:off x="6090" y="502277"/>
                                  <a:ext cx="2084" cy="735"/>
                                  <a:chOff x="6195" y="495461"/>
                                  <a:chExt cx="2084" cy="735"/>
                                </a:xfrm>
                              </wpg:grpSpPr>
                              <wps:wsp>
                                <wps:cNvPr id="511" name="曲线连接符 100"/>
                                <wps:cNvCnPr/>
                                <wps:spPr>
                                  <a:xfrm flipV="1">
                                    <a:off x="7020" y="495926"/>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512" name="文本框 106"/>
                                <wps:cNvSpPr txBox="1"/>
                                <wps:spPr>
                                  <a:xfrm>
                                    <a:off x="6195" y="495461"/>
                                    <a:ext cx="2084" cy="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DD3A35">
                                      <w:pPr>
                                        <w:pStyle w:val="2"/>
                                        <w:jc w:val="center"/>
                                        <w:rPr>
                                          <w:rFonts w:hint="default"/>
                                          <w:sz w:val="21"/>
                                          <w:szCs w:val="21"/>
                                          <w:lang w:val="en-US" w:eastAsia="zh-CN"/>
                                        </w:rPr>
                                      </w:pPr>
                                      <w:r>
                                        <w:rPr>
                                          <w:rFonts w:hint="eastAsia"/>
                                          <w:sz w:val="21"/>
                                          <w:szCs w:val="21"/>
                                          <w:lang w:val="en-US" w:eastAsia="zh-CN"/>
                                        </w:rPr>
                                        <w:t>损失0.128</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517" name="组合 320"/>
                              <wpg:cNvGrpSpPr/>
                              <wpg:grpSpPr>
                                <a:xfrm>
                                  <a:off x="4305" y="502862"/>
                                  <a:ext cx="5819" cy="1126"/>
                                  <a:chOff x="4305" y="502862"/>
                                  <a:chExt cx="5819" cy="1126"/>
                                </a:xfrm>
                              </wpg:grpSpPr>
                              <wpg:grpSp>
                                <wpg:cNvPr id="524" name="组合 319"/>
                                <wpg:cNvGrpSpPr/>
                                <wpg:grpSpPr>
                                  <a:xfrm>
                                    <a:off x="4305" y="503012"/>
                                    <a:ext cx="5173" cy="976"/>
                                    <a:chOff x="4305" y="503012"/>
                                    <a:chExt cx="5173" cy="976"/>
                                  </a:xfrm>
                                </wpg:grpSpPr>
                                <wps:wsp>
                                  <wps:cNvPr id="525" name="文本框 88"/>
                                  <wps:cNvSpPr txBox="1"/>
                                  <wps:spPr>
                                    <a:xfrm>
                                      <a:off x="4305" y="503537"/>
                                      <a:ext cx="1230" cy="45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68A10">
                                        <w:pPr>
                                          <w:pStyle w:val="2"/>
                                          <w:jc w:val="center"/>
                                          <w:rPr>
                                            <w:rFonts w:hint="default"/>
                                            <w:sz w:val="21"/>
                                            <w:szCs w:val="21"/>
                                            <w:lang w:val="en-US" w:eastAsia="zh-CN"/>
                                          </w:rPr>
                                        </w:pPr>
                                        <w:r>
                                          <w:rPr>
                                            <w:rFonts w:hint="eastAsia"/>
                                            <w:sz w:val="21"/>
                                            <w:szCs w:val="21"/>
                                            <w:lang w:val="en-US"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4" name="文本框 91"/>
                                  <wps:cNvSpPr txBox="1"/>
                                  <wps:spPr>
                                    <a:xfrm>
                                      <a:off x="6300" y="503012"/>
                                      <a:ext cx="1230" cy="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3A0D2F">
                                        <w:pPr>
                                          <w:pStyle w:val="2"/>
                                          <w:jc w:val="center"/>
                                          <w:rPr>
                                            <w:rFonts w:hint="default"/>
                                            <w:sz w:val="21"/>
                                            <w:szCs w:val="21"/>
                                            <w:lang w:val="en-US" w:eastAsia="zh-CN"/>
                                          </w:rPr>
                                        </w:pPr>
                                        <w:r>
                                          <w:rPr>
                                            <w:rFonts w:hint="eastAsia"/>
                                            <w:sz w:val="21"/>
                                            <w:szCs w:val="21"/>
                                            <w:lang w:val="en-US" w:eastAsia="zh-CN"/>
                                          </w:rPr>
                                          <w:t>生活用水</w:t>
                                        </w:r>
                                      </w:p>
                                      <w:p w14:paraId="287013D1">
                                        <w:pPr>
                                          <w:pStyle w:val="2"/>
                                          <w:jc w:val="cente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5" name="文本框 108"/>
                                  <wps:cNvSpPr txBox="1"/>
                                  <wps:spPr>
                                    <a:xfrm>
                                      <a:off x="8070" y="503027"/>
                                      <a:ext cx="1408" cy="4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2D5376F">
                                        <w:pPr>
                                          <w:pStyle w:val="2"/>
                                          <w:jc w:val="center"/>
                                          <w:rPr>
                                            <w:rFonts w:hint="default"/>
                                            <w:sz w:val="21"/>
                                            <w:szCs w:val="21"/>
                                            <w:lang w:val="en-US" w:eastAsia="zh-CN"/>
                                          </w:rPr>
                                        </w:pPr>
                                        <w:r>
                                          <w:rPr>
                                            <w:rFonts w:hint="eastAsia"/>
                                            <w:sz w:val="21"/>
                                            <w:szCs w:val="21"/>
                                            <w:lang w:val="en-US" w:eastAsia="zh-CN"/>
                                          </w:rPr>
                                          <w:t>防渗化粪池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6" name="直接箭头连接符 109"/>
                                  <wps:cNvCnPr/>
                                  <wps:spPr>
                                    <a:xfrm>
                                      <a:off x="7530" y="503237"/>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547" name="直接箭头连接符 107"/>
                                  <wps:cNvCnPr/>
                                  <wps:spPr>
                                    <a:xfrm>
                                      <a:off x="5745" y="503237"/>
                                      <a:ext cx="540"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g:grpSp>
                              <wpg:grpSp>
                                <wpg:cNvPr id="548" name="组合 318"/>
                                <wpg:cNvGrpSpPr/>
                                <wpg:grpSpPr>
                                  <a:xfrm>
                                    <a:off x="5610" y="502862"/>
                                    <a:ext cx="4514" cy="510"/>
                                    <a:chOff x="5565" y="502877"/>
                                    <a:chExt cx="4514" cy="510"/>
                                  </a:xfrm>
                                </wpg:grpSpPr>
                                <wps:wsp>
                                  <wps:cNvPr id="551" name="文本框 212"/>
                                  <wps:cNvSpPr txBox="1"/>
                                  <wps:spPr>
                                    <a:xfrm>
                                      <a:off x="5565" y="502877"/>
                                      <a:ext cx="809" cy="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50B1F">
                                        <w:pPr>
                                          <w:pStyle w:val="2"/>
                                          <w:jc w:val="center"/>
                                          <w:rPr>
                                            <w:rFonts w:hint="default"/>
                                            <w:sz w:val="21"/>
                                            <w:szCs w:val="21"/>
                                            <w:lang w:val="en-US" w:eastAsia="zh-CN"/>
                                          </w:rPr>
                                        </w:pPr>
                                        <w:r>
                                          <w:rPr>
                                            <w:rFonts w:hint="eastAsia"/>
                                            <w:sz w:val="21"/>
                                            <w:szCs w:val="21"/>
                                            <w:lang w:val="en-US" w:eastAsia="zh-CN"/>
                                          </w:rPr>
                                          <w:t>0.64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2" name="文本框 212"/>
                                  <wps:cNvSpPr txBox="1"/>
                                  <wps:spPr>
                                    <a:xfrm>
                                      <a:off x="7380" y="502877"/>
                                      <a:ext cx="809" cy="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E14AB">
                                        <w:pPr>
                                          <w:pStyle w:val="2"/>
                                          <w:jc w:val="center"/>
                                          <w:rPr>
                                            <w:rFonts w:hint="default"/>
                                            <w:sz w:val="21"/>
                                            <w:szCs w:val="21"/>
                                            <w:lang w:val="en-US" w:eastAsia="zh-CN"/>
                                          </w:rPr>
                                        </w:pPr>
                                        <w:r>
                                          <w:rPr>
                                            <w:rFonts w:hint="eastAsia"/>
                                            <w:sz w:val="21"/>
                                            <w:szCs w:val="21"/>
                                            <w:lang w:val="en-US" w:eastAsia="zh-CN"/>
                                          </w:rPr>
                                          <w:t>0.512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3" name="文本框 212"/>
                                  <wps:cNvSpPr txBox="1"/>
                                  <wps:spPr>
                                    <a:xfrm>
                                      <a:off x="9270" y="502952"/>
                                      <a:ext cx="809" cy="4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E9C00">
                                        <w:pPr>
                                          <w:pStyle w:val="2"/>
                                          <w:jc w:val="center"/>
                                          <w:rPr>
                                            <w:rFonts w:hint="default"/>
                                            <w:sz w:val="21"/>
                                            <w:szCs w:val="21"/>
                                            <w:lang w:val="en-US" w:eastAsia="zh-CN"/>
                                          </w:rPr>
                                        </w:pPr>
                                        <w:r>
                                          <w:rPr>
                                            <w:rFonts w:hint="eastAsia"/>
                                            <w:sz w:val="21"/>
                                            <w:szCs w:val="21"/>
                                            <w:lang w:val="en-US" w:eastAsia="zh-CN"/>
                                          </w:rPr>
                                          <w:t>0.512</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id="组合 321" o:spid="_x0000_s1026" o:spt="203" style="position:absolute;left:0pt;margin-left:27.35pt;margin-top:15.3pt;height:85.55pt;width:290.95pt;z-index:251845632;mso-width-relative:page;mso-height-relative:page;" coordorigin="4305,502277" coordsize="5819,1711" o:gfxdata="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">
                      <o:lock v:ext="edit" aspectratio="f"/>
                      <v:group id="组合 228" o:spid="_x0000_s1026" o:spt="203" style="position:absolute;left:6090;top:502277;height:735;width:2084;" coordorigin="6195,495461" coordsize="2084,735" o:gfxdata="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E8ynFboAAADcAAAADwAAAAAAAAABACAAAAAiAAAAZHJzL2Rvd25yZXYueG1sUEsB&#10;AhQAFAAAAAgAh07iQDMvBZ47AAAAOQAAABUAAAAAAAAAAQAgAAAACQEAAGRycy9ncm91cHNoYXBl&#10;eG1sLnhtbFBLBQYAAAAABgAGAGABAADGAwAAAAA=&#10;">
                        <o:lock v:ext="edit" aspectratio="f"/>
                        <v:shape id="曲线连接符 100" o:spid="_x0000_s1026" o:spt="38" type="#_x0000_t38" style="position:absolute;left:7020;top:495926;flip:y;height:270;width:300;" filled="f" stroked="t" coordsize="21600,21600" o:gfxdata="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yAhtL4A&#10;AADcAAAADwAAAAAAAAABACAAAAAiAAAAZHJzL2Rvd25yZXYueG1sUEsBAhQAFAAAAAgAh07iQDMv&#10;BZ47AAAAOQAAABAAAAAAAAAAAQAgAAAADQEAAGRycy9zaGFwZXhtbC54bWxQSwUGAAAAAAYABgBb&#10;AQAAtwMAAAAA&#10;" adj="10872">
                          <v:fill on="f" focussize="0,0"/>
                          <v:stroke color="#FF0000 [3204]" joinstyle="round" endarrow="block"/>
                          <v:imagedata o:title=""/>
                          <o:lock v:ext="edit" aspectratio="f"/>
                        </v:shape>
                        <v:shape id="文本框 106" o:spid="_x0000_s1026" o:spt="202" type="#_x0000_t202" style="position:absolute;left:6195;top:495461;height:465;width:2084;" filled="f" stroked="f" coordsize="21600,21600" o:gfxdata="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Agym&#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2CDD3A35">
                                <w:pPr>
                                  <w:pStyle w:val="2"/>
                                  <w:jc w:val="center"/>
                                  <w:rPr>
                                    <w:rFonts w:hint="default"/>
                                    <w:sz w:val="21"/>
                                    <w:szCs w:val="21"/>
                                    <w:lang w:val="en-US" w:eastAsia="zh-CN"/>
                                  </w:rPr>
                                </w:pPr>
                                <w:r>
                                  <w:rPr>
                                    <w:rFonts w:hint="eastAsia"/>
                                    <w:sz w:val="21"/>
                                    <w:szCs w:val="21"/>
                                    <w:lang w:val="en-US" w:eastAsia="zh-CN"/>
                                  </w:rPr>
                                  <w:t>损失0.128</w:t>
                                </w:r>
                              </w:p>
                            </w:txbxContent>
                          </v:textbox>
                        </v:shape>
                      </v:group>
                      <v:group id="组合 320" o:spid="_x0000_s1026" o:spt="203" style="position:absolute;left:4305;top:502862;height:1126;width:5819;" coordorigin="4305,502862" coordsize="5819,1126" o:gfxdata="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cJT9hvwAAANwAAAAPAAAAAAAAAAEAIAAAACIAAABkcnMvZG93bnJldi54&#10;bWxQSwECFAAUAAAACACHTuJAMy8FnjsAAAA5AAAAFQAAAAAAAAABACAAAAAOAQAAZHJzL2dyb3Vw&#10;c2hhcGV4bWwueG1sUEsFBgAAAAAGAAYAYAEAAMsDAAAAAA==&#10;">
                        <o:lock v:ext="edit" aspectratio="f"/>
                        <v:group id="组合 319" o:spid="_x0000_s1026" o:spt="203" style="position:absolute;left:4305;top:503012;height:976;width:5173;" coordorigin="4305,503012" coordsize="5173,976" o:gfxdata="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im2urvwAAANwAAAAPAAAAAAAAAAEAIAAAACIAAABkcnMvZG93bnJldi54&#10;bWxQSwECFAAUAAAACACHTuJAMy8FnjsAAAA5AAAAFQAAAAAAAAABACAAAAAOAQAAZHJzL2dyb3Vw&#10;c2hhcGV4bWwueG1sUEsFBgAAAAAGAAYAYAEAAMsDAAAAAA==&#10;">
                          <o:lock v:ext="edit" aspectratio="f"/>
                          <v:shape id="文本框 88" o:spid="_x0000_s1026" o:spt="202" type="#_x0000_t202" style="position:absolute;left:4305;top:503537;height:451;width:1230;" filled="f" stroked="f" coordsize="21600,21600" o:gfxdata="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Xm+/&#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ED68A10">
                                  <w:pPr>
                                    <w:pStyle w:val="2"/>
                                    <w:jc w:val="center"/>
                                    <w:rPr>
                                      <w:rFonts w:hint="default"/>
                                      <w:sz w:val="21"/>
                                      <w:szCs w:val="21"/>
                                      <w:lang w:val="en-US" w:eastAsia="zh-CN"/>
                                    </w:rPr>
                                  </w:pPr>
                                  <w:r>
                                    <w:rPr>
                                      <w:rFonts w:hint="eastAsia"/>
                                      <w:sz w:val="21"/>
                                      <w:szCs w:val="21"/>
                                      <w:lang w:val="en-US" w:eastAsia="zh-CN"/>
                                    </w:rPr>
                                    <w:t>新鲜水</w:t>
                                  </w:r>
                                </w:p>
                              </w:txbxContent>
                            </v:textbox>
                          </v:shape>
                          <v:shape id="文本框 91" o:spid="_x0000_s1026" o:spt="202" type="#_x0000_t202" style="position:absolute;left:6300;top:503012;height:435;width:1230;" fillcolor="#FFFFFF [3201]" filled="t" stroked="t" coordsize="21600,21600" o:gfxdata="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noF7LgAAADcAAAA&#10;DwAAAAAAAAABACAAAAAiAAAAZHJzL2Rvd25yZXYueG1sUEsBAhQAFAAAAAgAh07iQDMvBZ47AAAA&#10;OQAAABAAAAAAAAAAAQAgAAAABwEAAGRycy9zaGFwZXhtbC54bWxQSwUGAAAAAAYABgBbAQAAsQMA&#10;AAAA&#10;">
                            <v:fill on="t" focussize="0,0"/>
                            <v:stroke weight="0.5pt" color="#000000 [3204]" joinstyle="round"/>
                            <v:imagedata o:title=""/>
                            <o:lock v:ext="edit" aspectratio="f"/>
                            <v:textbox>
                              <w:txbxContent>
                                <w:p w14:paraId="3D3A0D2F">
                                  <w:pPr>
                                    <w:pStyle w:val="2"/>
                                    <w:jc w:val="center"/>
                                    <w:rPr>
                                      <w:rFonts w:hint="default"/>
                                      <w:sz w:val="21"/>
                                      <w:szCs w:val="21"/>
                                      <w:lang w:val="en-US" w:eastAsia="zh-CN"/>
                                    </w:rPr>
                                  </w:pPr>
                                  <w:r>
                                    <w:rPr>
                                      <w:rFonts w:hint="eastAsia"/>
                                      <w:sz w:val="21"/>
                                      <w:szCs w:val="21"/>
                                      <w:lang w:val="en-US" w:eastAsia="zh-CN"/>
                                    </w:rPr>
                                    <w:t>生活用水</w:t>
                                  </w:r>
                                </w:p>
                                <w:p w14:paraId="287013D1">
                                  <w:pPr>
                                    <w:pStyle w:val="2"/>
                                    <w:jc w:val="center"/>
                                    <w:rPr>
                                      <w:rFonts w:hint="default"/>
                                      <w:lang w:val="en-US" w:eastAsia="zh-CN"/>
                                    </w:rPr>
                                  </w:pPr>
                                </w:p>
                              </w:txbxContent>
                            </v:textbox>
                          </v:shape>
                          <v:shape id="文本框 108" o:spid="_x0000_s1026" o:spt="202" type="#_x0000_t202" style="position:absolute;left:8070;top:503027;height:420;width:1408;" fillcolor="#FFFFFF [3201]" filled="t" stroked="t" coordsize="21600,21600" o:gfxdata="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Tagd7gAAADcAAAA&#10;DwAAAAAAAAABACAAAAAiAAAAZHJzL2Rvd25yZXYueG1sUEsBAhQAFAAAAAgAh07iQDMvBZ47AAAA&#10;OQAAABAAAAAAAAAAAQAgAAAABwEAAGRycy9zaGFwZXhtbC54bWxQSwUGAAAAAAYABgBbAQAAsQMA&#10;AAAA&#10;">
                            <v:fill on="t" focussize="0,0"/>
                            <v:stroke weight="0.5pt" color="#000000 [3204]" joinstyle="round"/>
                            <v:imagedata o:title=""/>
                            <o:lock v:ext="edit" aspectratio="f"/>
                            <v:textbox>
                              <w:txbxContent>
                                <w:p w14:paraId="52D5376F">
                                  <w:pPr>
                                    <w:pStyle w:val="2"/>
                                    <w:jc w:val="center"/>
                                    <w:rPr>
                                      <w:rFonts w:hint="default"/>
                                      <w:sz w:val="21"/>
                                      <w:szCs w:val="21"/>
                                      <w:lang w:val="en-US" w:eastAsia="zh-CN"/>
                                    </w:rPr>
                                  </w:pPr>
                                  <w:r>
                                    <w:rPr>
                                      <w:rFonts w:hint="eastAsia"/>
                                      <w:sz w:val="21"/>
                                      <w:szCs w:val="21"/>
                                      <w:lang w:val="en-US" w:eastAsia="zh-CN"/>
                                    </w:rPr>
                                    <w:t>防渗化粪池</w:t>
                                  </w:r>
                                </w:p>
                              </w:txbxContent>
                            </v:textbox>
                          </v:shape>
                          <v:shape id="直接箭头连接符 109" o:spid="_x0000_s1026" o:spt="32" type="#_x0000_t32" style="position:absolute;left:7530;top:503237;height:0;width:540;" filled="f" stroked="t" coordsize="21600,21600" o:gfxdata="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XpvI&#10;wAAAANwAAAAPAAAAAAAAAAEAIAAAACIAAABkcnMvZG93bnJldi54bWxQSwECFAAUAAAACACHTuJA&#10;My8FnjsAAAA5AAAAEAAAAAAAAAABACAAAAAPAQAAZHJzL3NoYXBleG1sLnhtbFBLBQYAAAAABgAG&#10;AFsBAAC5AwAAAAA=&#10;">
                            <v:fill on="f" focussize="0,0"/>
                            <v:stroke color="#FF0000 [3204]" joinstyle="round" endarrow="block"/>
                            <v:imagedata o:title=""/>
                            <o:lock v:ext="edit" aspectratio="f"/>
                          </v:shape>
                          <v:shape id="直接箭头连接符 107" o:spid="_x0000_s1026" o:spt="32" type="#_x0000_t32" style="position:absolute;left:5745;top:503237;height:0;width:540;" filled="f" stroked="t" coordsize="21600,21600" o:gfxdata="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Ej5T&#10;wAAAANwAAAAPAAAAAAAAAAEAIAAAACIAAABkcnMvZG93bnJldi54bWxQSwECFAAUAAAACACHTuJA&#10;My8FnjsAAAA5AAAAEAAAAAAAAAABACAAAAAPAQAAZHJzL3NoYXBleG1sLnhtbFBLBQYAAAAABgAG&#10;AFsBAAC5AwAAAAA=&#10;">
                            <v:fill on="f" focussize="0,0"/>
                            <v:stroke color="#FF0000 [3204]" joinstyle="round" endarrow="block"/>
                            <v:imagedata o:title=""/>
                            <o:lock v:ext="edit" aspectratio="f"/>
                          </v:shape>
                        </v:group>
                        <v:group id="组合 318" o:spid="_x0000_s1026" o:spt="203" style="position:absolute;left:5610;top:502862;height:510;width:4514;" coordorigin="5565,502877" coordsize="4514,510" o:gfxdata="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CYQOvAAAANwAAAAPAAAAAAAAAAEAIAAAACIAAABkcnMvZG93bnJldi54bWxQ&#10;SwECFAAUAAAACACHTuJAMy8FnjsAAAA5AAAAFQAAAAAAAAABACAAAAALAQAAZHJzL2dyb3Vwc2hh&#10;cGV4bWwueG1sUEsFBgAAAAAGAAYAYAEAAMgDAAAAAA==&#10;">
                          <o:lock v:ext="edit" aspectratio="f"/>
                          <v:shape id="文本框 212" o:spid="_x0000_s1026" o:spt="202" type="#_x0000_t202" style="position:absolute;left:5565;top:502877;height:435;width:809;" filled="f" stroked="f" coordsize="21600,21600" o:gfxdata="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uisR&#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05050B1F">
                                  <w:pPr>
                                    <w:pStyle w:val="2"/>
                                    <w:jc w:val="center"/>
                                    <w:rPr>
                                      <w:rFonts w:hint="default"/>
                                      <w:sz w:val="21"/>
                                      <w:szCs w:val="21"/>
                                      <w:lang w:val="en-US" w:eastAsia="zh-CN"/>
                                    </w:rPr>
                                  </w:pPr>
                                  <w:r>
                                    <w:rPr>
                                      <w:rFonts w:hint="eastAsia"/>
                                      <w:sz w:val="21"/>
                                      <w:szCs w:val="21"/>
                                      <w:lang w:val="en-US" w:eastAsia="zh-CN"/>
                                    </w:rPr>
                                    <w:t>0.64</w:t>
                                  </w:r>
                                </w:p>
                              </w:txbxContent>
                            </v:textbox>
                          </v:shape>
                          <v:shape id="文本框 212" o:spid="_x0000_s1026" o:spt="202" type="#_x0000_t202" style="position:absolute;left:7380;top:502877;height:435;width:809;" filled="f" stroked="f" coordsize="21600,21600" o:gfxdata="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otWa/&#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AAE14AB">
                                  <w:pPr>
                                    <w:pStyle w:val="2"/>
                                    <w:jc w:val="center"/>
                                    <w:rPr>
                                      <w:rFonts w:hint="default"/>
                                      <w:sz w:val="21"/>
                                      <w:szCs w:val="21"/>
                                      <w:lang w:val="en-US" w:eastAsia="zh-CN"/>
                                    </w:rPr>
                                  </w:pPr>
                                  <w:r>
                                    <w:rPr>
                                      <w:rFonts w:hint="eastAsia"/>
                                      <w:sz w:val="21"/>
                                      <w:szCs w:val="21"/>
                                      <w:lang w:val="en-US" w:eastAsia="zh-CN"/>
                                    </w:rPr>
                                    <w:t>0.512</w:t>
                                  </w:r>
                                </w:p>
                              </w:txbxContent>
                            </v:textbox>
                          </v:shape>
                          <v:shape id="文本框 212" o:spid="_x0000_s1026" o:spt="202" type="#_x0000_t202" style="position:absolute;left:9270;top:502952;height:435;width:809;" filled="f" stroked="f" coordsize="21600,21600" o:gfxdata="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kEP2/&#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85E9C00">
                                  <w:pPr>
                                    <w:pStyle w:val="2"/>
                                    <w:jc w:val="center"/>
                                    <w:rPr>
                                      <w:rFonts w:hint="default"/>
                                      <w:sz w:val="21"/>
                                      <w:szCs w:val="21"/>
                                      <w:lang w:val="en-US" w:eastAsia="zh-CN"/>
                                    </w:rPr>
                                  </w:pPr>
                                  <w:r>
                                    <w:rPr>
                                      <w:rFonts w:hint="eastAsia"/>
                                      <w:sz w:val="21"/>
                                      <w:szCs w:val="21"/>
                                      <w:lang w:val="en-US" w:eastAsia="zh-CN"/>
                                    </w:rPr>
                                    <w:t>0.512</w:t>
                                  </w:r>
                                </w:p>
                              </w:txbxContent>
                            </v:textbox>
                          </v:shape>
                        </v:group>
                      </v:group>
                    </v:group>
                  </w:pict>
                </mc:Fallback>
              </mc:AlternateContent>
            </w:r>
          </w:p>
          <w:p w14:paraId="2D33764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0264D1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0BCB73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50752" behindDoc="0" locked="0" layoutInCell="1" allowOverlap="1">
                      <wp:simplePos x="0" y="0"/>
                      <wp:positionH relativeFrom="column">
                        <wp:posOffset>804545</wp:posOffset>
                      </wp:positionH>
                      <wp:positionV relativeFrom="paragraph">
                        <wp:posOffset>154305</wp:posOffset>
                      </wp:positionV>
                      <wp:extent cx="581660" cy="264795"/>
                      <wp:effectExtent l="0" t="0" r="0" b="0"/>
                      <wp:wrapNone/>
                      <wp:docPr id="554" name="文本框 88"/>
                      <wp:cNvGraphicFramePr/>
                      <a:graphic xmlns:a="http://schemas.openxmlformats.org/drawingml/2006/main">
                        <a:graphicData uri="http://schemas.microsoft.com/office/word/2010/wordprocessingShape">
                          <wps:wsp>
                            <wps:cNvSpPr txBox="1"/>
                            <wps:spPr>
                              <a:xfrm>
                                <a:off x="5143500" y="4676775"/>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C6C6B">
                                  <w:pPr>
                                    <w:pStyle w:val="2"/>
                                    <w:jc w:val="center"/>
                                    <w:rPr>
                                      <w:rFonts w:hint="default"/>
                                      <w:sz w:val="21"/>
                                      <w:szCs w:val="21"/>
                                      <w:lang w:val="en-US" w:eastAsia="zh-CN"/>
                                    </w:rPr>
                                  </w:pPr>
                                  <w:r>
                                    <w:rPr>
                                      <w:rFonts w:hint="eastAsia"/>
                                      <w:sz w:val="21"/>
                                      <w:szCs w:val="21"/>
                                      <w:lang w:val="en-US" w:eastAsia="zh-CN"/>
                                    </w:rPr>
                                    <w:t>2.14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63.35pt;margin-top:12.15pt;height:20.85pt;width:45.8pt;z-index:251850752;mso-width-relative:page;mso-height-relative:page;" filled="f" stroked="f" coordsize="21600,21600" o:gfxdata="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luPra2QAAAAkBAAAPAAAAAAAA&#10;AAEAIAAAACIAAABkcnMvZG93bnJldi54bWxQSwECFAAUAAAACACHTuJAT/KUbEoCAAB0BAAADgAA&#10;AAAAAAABACAAAAAoAQAAZHJzL2Uyb0RvYy54bWxQSwUGAAAAAAYABgBZAQAA5AUAAAAA&#10;">
                      <v:fill on="f" focussize="0,0"/>
                      <v:stroke on="f" weight="0.5pt"/>
                      <v:imagedata o:title=""/>
                      <o:lock v:ext="edit" aspectratio="f"/>
                      <v:textbox>
                        <w:txbxContent>
                          <w:p w14:paraId="32EC6C6B">
                            <w:pPr>
                              <w:pStyle w:val="2"/>
                              <w:jc w:val="center"/>
                              <w:rPr>
                                <w:rFonts w:hint="default"/>
                                <w:sz w:val="21"/>
                                <w:szCs w:val="21"/>
                                <w:lang w:val="en-US" w:eastAsia="zh-CN"/>
                              </w:rPr>
                            </w:pPr>
                            <w:r>
                              <w:rPr>
                                <w:rFonts w:hint="eastAsia"/>
                                <w:sz w:val="21"/>
                                <w:szCs w:val="21"/>
                                <w:lang w:val="en-US" w:eastAsia="zh-CN"/>
                              </w:rPr>
                              <w:t>2.14</w:t>
                            </w:r>
                          </w:p>
                        </w:txbxContent>
                      </v:textbox>
                    </v:shape>
                  </w:pict>
                </mc:Fallback>
              </mc:AlternateContent>
            </w:r>
            <w:r>
              <w:rPr>
                <w:color w:val="auto"/>
                <w:sz w:val="24"/>
              </w:rPr>
              <mc:AlternateContent>
                <mc:Choice Requires="wps">
                  <w:drawing>
                    <wp:anchor distT="0" distB="0" distL="114300" distR="114300" simplePos="0" relativeHeight="251848704" behindDoc="0" locked="0" layoutInCell="1" allowOverlap="1">
                      <wp:simplePos x="0" y="0"/>
                      <wp:positionH relativeFrom="column">
                        <wp:posOffset>3942080</wp:posOffset>
                      </wp:positionH>
                      <wp:positionV relativeFrom="paragraph">
                        <wp:posOffset>29210</wp:posOffset>
                      </wp:positionV>
                      <wp:extent cx="15240" cy="1560195"/>
                      <wp:effectExtent l="4445" t="0" r="18415" b="1905"/>
                      <wp:wrapNone/>
                      <wp:docPr id="557" name="直接箭头连接符 316"/>
                      <wp:cNvGraphicFramePr/>
                      <a:graphic xmlns:a="http://schemas.openxmlformats.org/drawingml/2006/main">
                        <a:graphicData uri="http://schemas.microsoft.com/office/word/2010/wordprocessingShape">
                          <wps:wsp>
                            <wps:cNvCnPr/>
                            <wps:spPr>
                              <a:xfrm flipH="1">
                                <a:off x="5086350" y="5132705"/>
                                <a:ext cx="15240" cy="1560195"/>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316" o:spid="_x0000_s1026" o:spt="32" type="#_x0000_t32" style="position:absolute;left:0pt;flip:x;margin-left:310.4pt;margin-top:2.3pt;height:122.85pt;width:1.2pt;z-index:251848704;mso-width-relative:page;mso-height-relative:page;" filled="f" stroked="t" coordsize="21600,21600" o:gfxdata="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xcYY62AAAAAkBAAAPAAAA&#10;AAAAAAEAIAAAACIAAABkcnMvZG93bnJldi54bWxQSwECFAAUAAAACACHTuJAaMGJ9RUCAADkAwAA&#10;DgAAAAAAAAABACAAAAAnAQAAZHJzL2Uyb0RvYy54bWxQSwUGAAAAAAYABgBZAQAArgUAAAAA&#10;">
                      <v:fill on="f" focussize="0,0"/>
                      <v:stroke color="#FF0000 [3204]" joinstyle="round"/>
                      <v:imagedata o:title=""/>
                      <o:lock v:ext="edit" aspectratio="f"/>
                    </v:shape>
                  </w:pict>
                </mc:Fallback>
              </mc:AlternateContent>
            </w:r>
            <w:r>
              <w:rPr>
                <w:color w:val="auto"/>
                <w:sz w:val="24"/>
              </w:rPr>
              <mc:AlternateContent>
                <mc:Choice Requires="wpg">
                  <w:drawing>
                    <wp:anchor distT="0" distB="0" distL="114300" distR="114300" simplePos="0" relativeHeight="251849728" behindDoc="0" locked="0" layoutInCell="1" allowOverlap="1">
                      <wp:simplePos x="0" y="0"/>
                      <wp:positionH relativeFrom="column">
                        <wp:posOffset>1461770</wp:posOffset>
                      </wp:positionH>
                      <wp:positionV relativeFrom="paragraph">
                        <wp:posOffset>191135</wp:posOffset>
                      </wp:positionV>
                      <wp:extent cx="1592580" cy="732790"/>
                      <wp:effectExtent l="0" t="0" r="0" b="8890"/>
                      <wp:wrapNone/>
                      <wp:docPr id="558" name="组合 348"/>
                      <wp:cNvGraphicFramePr/>
                      <a:graphic xmlns:a="http://schemas.openxmlformats.org/drawingml/2006/main">
                        <a:graphicData uri="http://schemas.microsoft.com/office/word/2010/wordprocessingGroup">
                          <wpg:wgp>
                            <wpg:cNvGrpSpPr/>
                            <wpg:grpSpPr>
                              <a:xfrm rot="0">
                                <a:off x="3267075" y="5767070"/>
                                <a:ext cx="1592580" cy="732790"/>
                                <a:chOff x="6555" y="504767"/>
                                <a:chExt cx="2508" cy="1154"/>
                              </a:xfrm>
                            </wpg:grpSpPr>
                            <wps:wsp>
                              <wps:cNvPr id="559" name="文本框 212"/>
                              <wps:cNvSpPr txBox="1"/>
                              <wps:spPr>
                                <a:xfrm>
                                  <a:off x="6840" y="505487"/>
                                  <a:ext cx="1558" cy="435"/>
                                </a:xfrm>
                                <a:prstGeom prst="rect">
                                  <a:avLst/>
                                </a:prstGeom>
                                <a:noFill/>
                                <a:ln w="1270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A65E5D8">
                                    <w:pPr>
                                      <w:pStyle w:val="2"/>
                                      <w:jc w:val="center"/>
                                      <w:rPr>
                                        <w:rFonts w:hint="default"/>
                                        <w:sz w:val="21"/>
                                        <w:szCs w:val="21"/>
                                        <w:lang w:val="en-US" w:eastAsia="zh-CN"/>
                                      </w:rPr>
                                    </w:pPr>
                                    <w:r>
                                      <w:rPr>
                                        <w:rFonts w:hint="eastAsia"/>
                                        <w:sz w:val="21"/>
                                        <w:szCs w:val="21"/>
                                        <w:lang w:val="en-US" w:eastAsia="zh-CN"/>
                                      </w:rPr>
                                      <w:t>循环水系统</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560" name="组合 347"/>
                              <wpg:cNvGrpSpPr/>
                              <wpg:grpSpPr>
                                <a:xfrm>
                                  <a:off x="6555" y="504767"/>
                                  <a:ext cx="2508" cy="972"/>
                                  <a:chOff x="6555" y="504767"/>
                                  <a:chExt cx="2508" cy="972"/>
                                </a:xfrm>
                              </wpg:grpSpPr>
                              <wpg:grpSp>
                                <wpg:cNvPr id="561" name="组合 228"/>
                                <wpg:cNvGrpSpPr/>
                                <wpg:grpSpPr>
                                  <a:xfrm rot="0">
                                    <a:off x="6555" y="504767"/>
                                    <a:ext cx="2084" cy="735"/>
                                    <a:chOff x="6195" y="495461"/>
                                    <a:chExt cx="2084" cy="735"/>
                                  </a:xfrm>
                                </wpg:grpSpPr>
                                <wps:wsp>
                                  <wps:cNvPr id="562" name="曲线连接符 100"/>
                                  <wps:cNvCnPr/>
                                  <wps:spPr>
                                    <a:xfrm flipV="1">
                                      <a:off x="7020" y="495926"/>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563" name="文本框 106"/>
                                  <wps:cNvSpPr txBox="1"/>
                                  <wps:spPr>
                                    <a:xfrm>
                                      <a:off x="6195" y="495461"/>
                                      <a:ext cx="2084" cy="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3ABF6">
                                        <w:pPr>
                                          <w:pStyle w:val="2"/>
                                          <w:jc w:val="center"/>
                                          <w:rPr>
                                            <w:rFonts w:hint="default"/>
                                            <w:sz w:val="21"/>
                                            <w:szCs w:val="21"/>
                                            <w:lang w:val="en-US" w:eastAsia="zh-CN"/>
                                          </w:rPr>
                                        </w:pPr>
                                        <w:r>
                                          <w:rPr>
                                            <w:rFonts w:hint="eastAsia"/>
                                            <w:sz w:val="21"/>
                                            <w:szCs w:val="21"/>
                                            <w:lang w:val="en-US" w:eastAsia="zh-CN"/>
                                          </w:rPr>
                                          <w:t>损失0.15</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564" name="组合 346"/>
                                <wpg:cNvGrpSpPr/>
                                <wpg:grpSpPr>
                                  <a:xfrm>
                                    <a:off x="7695" y="505271"/>
                                    <a:ext cx="1368" cy="469"/>
                                    <a:chOff x="7695" y="505271"/>
                                    <a:chExt cx="1368" cy="469"/>
                                  </a:xfrm>
                                </wpg:grpSpPr>
                                <wpg:grpSp>
                                  <wpg:cNvPr id="565" name="组合 307"/>
                                  <wpg:cNvGrpSpPr/>
                                  <wpg:grpSpPr>
                                    <a:xfrm>
                                      <a:off x="7695" y="505271"/>
                                      <a:ext cx="1244" cy="381"/>
                                      <a:chOff x="7695" y="504731"/>
                                      <a:chExt cx="1244" cy="486"/>
                                    </a:xfrm>
                                  </wpg:grpSpPr>
                                  <wps:wsp>
                                    <wps:cNvPr id="566" name="直接箭头连接符 294"/>
                                    <wps:cNvCnPr/>
                                    <wps:spPr>
                                      <a:xfrm>
                                        <a:off x="8445" y="505217"/>
                                        <a:ext cx="495" cy="0"/>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wps:wsp>
                                    <wps:cNvPr id="567" name="直接箭头连接符 303"/>
                                    <wps:cNvCnPr/>
                                    <wps:spPr>
                                      <a:xfrm flipV="1">
                                        <a:off x="8925" y="504752"/>
                                        <a:ext cx="0" cy="459"/>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wps:wsp>
                                    <wps:cNvPr id="572" name="直接箭头连接符 305"/>
                                    <wps:cNvCnPr/>
                                    <wps:spPr>
                                      <a:xfrm>
                                        <a:off x="7695" y="504731"/>
                                        <a:ext cx="1230" cy="6"/>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wps:wsp>
                                    <wps:cNvPr id="573" name="直接箭头连接符 306"/>
                                    <wps:cNvCnPr/>
                                    <wps:spPr>
                                      <a:xfrm>
                                        <a:off x="7710" y="504731"/>
                                        <a:ext cx="0" cy="195"/>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g:grpSp>
                                <wps:wsp>
                                  <wps:cNvPr id="575" name="文本框 88"/>
                                  <wps:cNvSpPr txBox="1"/>
                                  <wps:spPr>
                                    <a:xfrm>
                                      <a:off x="8325" y="505324"/>
                                      <a:ext cx="738"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439C2E">
                                        <w:pPr>
                                          <w:pStyle w:val="2"/>
                                          <w:jc w:val="center"/>
                                          <w:rPr>
                                            <w:rFonts w:hint="default"/>
                                            <w:sz w:val="21"/>
                                            <w:szCs w:val="21"/>
                                            <w:lang w:val="en-US" w:eastAsia="zh-CN"/>
                                          </w:rPr>
                                        </w:pPr>
                                        <w:r>
                                          <w:rPr>
                                            <w:rFonts w:hint="eastAsia"/>
                                            <w:sz w:val="21"/>
                                            <w:szCs w:val="21"/>
                                            <w:lang w:val="en-US" w:eastAsia="zh-CN"/>
                                          </w:rPr>
                                          <w:t>150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id="组合 348" o:spid="_x0000_s1026" o:spt="203" style="position:absolute;left:0pt;margin-left:115.1pt;margin-top:15.05pt;height:57.7pt;width:125.4pt;z-index:251849728;mso-width-relative:page;mso-height-relative:page;" coordorigin="6555,504767" coordsize="2508,1154" o:gfxdata="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">
                      <o:lock v:ext="edit" aspectratio="f"/>
                      <v:shape id="文本框 212" o:spid="_x0000_s1026" o:spt="202" type="#_x0000_t202" style="position:absolute;left:6840;top:505487;height:435;width:1558;" filled="f" stroked="t" coordsize="21600,21600" o:gfxdata="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CnmNL4A&#10;AADcAAAADwAAAAAAAAABACAAAAAiAAAAZHJzL2Rvd25yZXYueG1sUEsBAhQAFAAAAAgAh07iQDMv&#10;BZ47AAAAOQAAABAAAAAAAAAAAQAgAAAADQEAAGRycy9zaGFwZXhtbC54bWxQSwUGAAAAAAYABgBb&#10;AQAAtwMAAAAA&#10;">
                        <v:fill on="f" focussize="0,0"/>
                        <v:stroke weight="1pt" color="#000000 [3213]" joinstyle="round"/>
                        <v:imagedata o:title=""/>
                        <o:lock v:ext="edit" aspectratio="f"/>
                        <v:textbox>
                          <w:txbxContent>
                            <w:p w14:paraId="1A65E5D8">
                              <w:pPr>
                                <w:pStyle w:val="2"/>
                                <w:jc w:val="center"/>
                                <w:rPr>
                                  <w:rFonts w:hint="default"/>
                                  <w:sz w:val="21"/>
                                  <w:szCs w:val="21"/>
                                  <w:lang w:val="en-US" w:eastAsia="zh-CN"/>
                                </w:rPr>
                              </w:pPr>
                              <w:r>
                                <w:rPr>
                                  <w:rFonts w:hint="eastAsia"/>
                                  <w:sz w:val="21"/>
                                  <w:szCs w:val="21"/>
                                  <w:lang w:val="en-US" w:eastAsia="zh-CN"/>
                                </w:rPr>
                                <w:t>循环水系统</w:t>
                              </w:r>
                            </w:p>
                          </w:txbxContent>
                        </v:textbox>
                      </v:shape>
                      <v:group id="组合 347" o:spid="_x0000_s1026" o:spt="203" style="position:absolute;left:6555;top:504767;height:972;width:2508;" coordorigin="6555,504767" coordsize="2508,972" o:gfxdata="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LytRovAAAANwAAAAPAAAAAAAAAAEAIAAAACIAAABkcnMvZG93bnJldi54bWxQ&#10;SwECFAAUAAAACACHTuJAMy8FnjsAAAA5AAAAFQAAAAAAAAABACAAAAALAQAAZHJzL2dyb3Vwc2hh&#10;cGV4bWwueG1sUEsFBgAAAAAGAAYAYAEAAMgDAAAAAA==&#10;">
                        <o:lock v:ext="edit" aspectratio="f"/>
                        <v:group id="组合 228" o:spid="_x0000_s1026" o:spt="203" style="position:absolute;left:6555;top:504767;height:735;width:2084;" coordorigin="6195,495461" coordsize="2084,735" o:gfxdata="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khnHzvwAAANwAAAAPAAAAAAAAAAEAIAAAACIAAABkcnMvZG93bnJldi54&#10;bWxQSwECFAAUAAAACACHTuJAMy8FnjsAAAA5AAAAFQAAAAAAAAABACAAAAAOAQAAZHJzL2dyb3Vw&#10;c2hhcGV4bWwueG1sUEsFBgAAAAAGAAYAYAEAAMsDAAAAAA==&#10;">
                          <o:lock v:ext="edit" aspectratio="f"/>
                          <v:shape id="曲线连接符 100" o:spid="_x0000_s1026" o:spt="38" type="#_x0000_t38" style="position:absolute;left:7020;top:495926;flip:y;height:270;width:300;" filled="f" stroked="t" coordsize="21600,21600" o:gfxdata="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TMvr4A&#10;AADcAAAADwAAAAAAAAABACAAAAAiAAAAZHJzL2Rvd25yZXYueG1sUEsBAhQAFAAAAAgAh07iQDMv&#10;BZ47AAAAOQAAABAAAAAAAAAAAQAgAAAADQEAAGRycy9zaGFwZXhtbC54bWxQSwUGAAAAAAYABgBb&#10;AQAAtwMAAAAA&#10;" adj="10872">
                            <v:fill on="f" focussize="0,0"/>
                            <v:stroke color="#FF0000 [3204]" joinstyle="round" endarrow="block"/>
                            <v:imagedata o:title=""/>
                            <o:lock v:ext="edit" aspectratio="f"/>
                          </v:shape>
                          <v:shape id="文本框 106" o:spid="_x0000_s1026" o:spt="202" type="#_x0000_t202" style="position:absolute;left:6195;top:495461;height:465;width:2084;" filled="f" stroked="f" coordsize="21600,21600" o:gfxdata="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UjaQL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1E3ABF6">
                                  <w:pPr>
                                    <w:pStyle w:val="2"/>
                                    <w:jc w:val="center"/>
                                    <w:rPr>
                                      <w:rFonts w:hint="default"/>
                                      <w:sz w:val="21"/>
                                      <w:szCs w:val="21"/>
                                      <w:lang w:val="en-US" w:eastAsia="zh-CN"/>
                                    </w:rPr>
                                  </w:pPr>
                                  <w:r>
                                    <w:rPr>
                                      <w:rFonts w:hint="eastAsia"/>
                                      <w:sz w:val="21"/>
                                      <w:szCs w:val="21"/>
                                      <w:lang w:val="en-US" w:eastAsia="zh-CN"/>
                                    </w:rPr>
                                    <w:t>损失0.15</w:t>
                                  </w:r>
                                </w:p>
                              </w:txbxContent>
                            </v:textbox>
                          </v:shape>
                        </v:group>
                        <v:group id="组合 346" o:spid="_x0000_s1026" o:spt="203" style="position:absolute;left:7695;top:505271;height:469;width:1368;" coordorigin="7695,505271" coordsize="1368,469" o:gfxdata="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Tx0mu+AAAA3AAAAA8AAAAAAAAAAQAgAAAAIgAAAGRycy9kb3ducmV2Lnht&#10;bFBLAQIUABQAAAAIAIdO4kAzLwWeOwAAADkAAAAVAAAAAAAAAAEAIAAAAA0BAABkcnMvZ3JvdXBz&#10;aGFwZXhtbC54bWxQSwUGAAAAAAYABgBgAQAAygMAAAAA&#10;">
                          <o:lock v:ext="edit" aspectratio="f"/>
                          <v:group id="组合 307" o:spid="_x0000_s1026" o:spt="203" style="position:absolute;left:7695;top:505271;height:381;width:1244;" coordorigin="7695,504731" coordsize="1244,486" o:gfxdata="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bvXfwvwAAANwAAAAPAAAAAAAAAAEAIAAAACIAAABkcnMvZG93bnJldi54&#10;bWxQSwECFAAUAAAACACHTuJAMy8FnjsAAAA5AAAAFQAAAAAAAAABACAAAAAOAQAAZHJzL2dyb3Vw&#10;c2hhcGV4bWwueG1sUEsFBgAAAAAGAAYAYAEAAMsDAAAAAA==&#10;">
                            <o:lock v:ext="edit" aspectratio="f"/>
                            <v:shape id="直接箭头连接符 294" o:spid="_x0000_s1026" o:spt="32" type="#_x0000_t32" style="position:absolute;left:8445;top:505217;height:0;width:495;" filled="f" stroked="t" coordsize="21600,21600" o:gfxdata="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c/s/&#10;wAAAANwAAAAPAAAAAAAAAAEAIAAAACIAAABkcnMvZG93bnJldi54bWxQSwECFAAUAAAACACHTuJA&#10;My8FnjsAAAA5AAAAEAAAAAAAAAABACAAAAAPAQAAZHJzL3NoYXBleG1sLnhtbFBLBQYAAAAABgAG&#10;AFsBAAC5AwAAAAA=&#10;">
                              <v:fill on="f" focussize="0,0"/>
                              <v:stroke color="#FF0000 [3204]" joinstyle="round"/>
                              <v:imagedata o:title=""/>
                              <o:lock v:ext="edit" aspectratio="f"/>
                            </v:shape>
                            <v:shape id="直接箭头连接符 303" o:spid="_x0000_s1026" o:spt="32" type="#_x0000_t32" style="position:absolute;left:8925;top:504752;flip:y;height:459;width:0;" filled="f" stroked="t" coordsize="21600,21600" o:gfxdata="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AF8pvQAA&#10;ANwAAAAPAAAAAAAAAAEAIAAAACIAAABkcnMvZG93bnJldi54bWxQSwECFAAUAAAACACHTuJAMy8F&#10;njsAAAA5AAAAEAAAAAAAAAABACAAAAAMAQAAZHJzL3NoYXBleG1sLnhtbFBLBQYAAAAABgAGAFsB&#10;AAC2AwAAAAA=&#10;">
                              <v:fill on="f" focussize="0,0"/>
                              <v:stroke color="#FF0000 [3204]" joinstyle="round"/>
                              <v:imagedata o:title=""/>
                              <o:lock v:ext="edit" aspectratio="f"/>
                            </v:shape>
                            <v:shape id="直接箭头连接符 305" o:spid="_x0000_s1026" o:spt="32" type="#_x0000_t32" style="position:absolute;left:7695;top:504731;height:6;width:1230;" filled="f" stroked="t" coordsize="21600,21600" o:gfxdata="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kWvh&#10;wAAAANwAAAAPAAAAAAAAAAEAIAAAACIAAABkcnMvZG93bnJldi54bWxQSwECFAAUAAAACACHTuJA&#10;My8FnjsAAAA5AAAAEAAAAAAAAAABACAAAAAPAQAAZHJzL3NoYXBleG1sLnhtbFBLBQYAAAAABgAG&#10;AFsBAAC5AwAAAAA=&#10;">
                              <v:fill on="f" focussize="0,0"/>
                              <v:stroke color="#FF0000 [3204]" joinstyle="round"/>
                              <v:imagedata o:title=""/>
                              <o:lock v:ext="edit" aspectratio="f"/>
                            </v:shape>
                            <v:shape id="直接箭头连接符 306" o:spid="_x0000_s1026" o:spt="32" type="#_x0000_t32" style="position:absolute;left:7710;top:504731;height:195;width:0;" filled="f" stroked="t" coordsize="21600,21600" o:gfxdata="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RfLt&#10;wAAAANwAAAAPAAAAAAAAAAEAIAAAACIAAABkcnMvZG93bnJldi54bWxQSwECFAAUAAAACACHTuJA&#10;My8FnjsAAAA5AAAAEAAAAAAAAAABACAAAAAPAQAAZHJzL3NoYXBleG1sLnhtbFBLBQYAAAAABgAG&#10;AFsBAAC5AwAAAAA=&#10;">
                              <v:fill on="f" focussize="0,0"/>
                              <v:stroke color="#FF0000 [3204]" joinstyle="round" endarrow="block"/>
                              <v:imagedata o:title=""/>
                              <o:lock v:ext="edit" aspectratio="f"/>
                            </v:shape>
                          </v:group>
                          <v:shape id="文本框 88" o:spid="_x0000_s1026" o:spt="202" type="#_x0000_t202" style="position:absolute;left:8325;top:505324;height:417;width:738;" filled="f" stroked="f" coordsize="21600,21600" o:gfxdata="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0cXK/&#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B439C2E">
                                  <w:pPr>
                                    <w:pStyle w:val="2"/>
                                    <w:jc w:val="center"/>
                                    <w:rPr>
                                      <w:rFonts w:hint="default"/>
                                      <w:sz w:val="21"/>
                                      <w:szCs w:val="21"/>
                                      <w:lang w:val="en-US" w:eastAsia="zh-CN"/>
                                    </w:rPr>
                                  </w:pPr>
                                  <w:r>
                                    <w:rPr>
                                      <w:rFonts w:hint="eastAsia"/>
                                      <w:sz w:val="21"/>
                                      <w:szCs w:val="21"/>
                                      <w:lang w:val="en-US" w:eastAsia="zh-CN"/>
                                    </w:rPr>
                                    <w:t>150</w:t>
                                  </w:r>
                                </w:p>
                              </w:txbxContent>
                            </v:textbox>
                          </v:shape>
                        </v:group>
                      </v:group>
                    </v:group>
                  </w:pict>
                </mc:Fallback>
              </mc:AlternateContent>
            </w:r>
            <w:r>
              <w:rPr>
                <w:color w:val="auto"/>
                <w:sz w:val="24"/>
              </w:rPr>
              <mc:AlternateContent>
                <mc:Choice Requires="wps">
                  <w:drawing>
                    <wp:anchor distT="0" distB="0" distL="114300" distR="114300" simplePos="0" relativeHeight="251849728" behindDoc="0" locked="0" layoutInCell="1" allowOverlap="1">
                      <wp:simplePos x="0" y="0"/>
                      <wp:positionH relativeFrom="column">
                        <wp:posOffset>1261745</wp:posOffset>
                      </wp:positionH>
                      <wp:positionV relativeFrom="paragraph">
                        <wp:posOffset>6350</wp:posOffset>
                      </wp:positionV>
                      <wp:extent cx="3810" cy="792480"/>
                      <wp:effectExtent l="4445" t="0" r="10795" b="7620"/>
                      <wp:wrapNone/>
                      <wp:docPr id="576" name="直接箭头连接符 107"/>
                      <wp:cNvGraphicFramePr/>
                      <a:graphic xmlns:a="http://schemas.openxmlformats.org/drawingml/2006/main">
                        <a:graphicData uri="http://schemas.microsoft.com/office/word/2010/wordprocessingShape">
                          <wps:wsp>
                            <wps:cNvCnPr/>
                            <wps:spPr>
                              <a:xfrm>
                                <a:off x="2647950" y="3947795"/>
                                <a:ext cx="3810" cy="792480"/>
                              </a:xfrm>
                              <a:prstGeom prst="straightConnector1">
                                <a:avLst/>
                              </a:prstGeom>
                              <a:ln w="9525">
                                <a:solidFill>
                                  <a:srgbClr val="FF0000"/>
                                </a:solidFill>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107" o:spid="_x0000_s1026" o:spt="32" type="#_x0000_t32" style="position:absolute;left:0pt;margin-left:99.35pt;margin-top:0.5pt;height:62.4pt;width:0.3pt;z-index:251849728;mso-width-relative:page;mso-height-relative:page;" filled="f" stroked="t" coordsize="21600,21600" o:gfxdata="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be2+J1wAAAAkBAAAPAAAAAAAAAAEAIAAA&#10;ACIAAABkcnMvZG93bnJldi54bWxQSwECFAAUAAAACACHTuJA5ABU0w0CAADYAwAADgAAAAAAAAAB&#10;ACAAAAAmAQAAZHJzL2Uyb0RvYy54bWxQSwUGAAAAAAYABgBZAQAApQUAAAAA&#10;">
                      <v:fill on="f" focussize="0,0"/>
                      <v:stroke color="#FF0000 [3204]" joinstyle="round"/>
                      <v:imagedata o:title=""/>
                      <o:lock v:ext="edit" aspectratio="f"/>
                    </v:shape>
                  </w:pict>
                </mc:Fallback>
              </mc:AlternateContent>
            </w:r>
            <w:r>
              <w:rPr>
                <w:color w:val="auto"/>
                <w:sz w:val="24"/>
              </w:rPr>
              <mc:AlternateContent>
                <mc:Choice Requires="wps">
                  <w:drawing>
                    <wp:anchor distT="0" distB="0" distL="114300" distR="114300" simplePos="0" relativeHeight="251850752" behindDoc="0" locked="0" layoutInCell="1" allowOverlap="1">
                      <wp:simplePos x="0" y="0"/>
                      <wp:positionH relativeFrom="column">
                        <wp:posOffset>3642995</wp:posOffset>
                      </wp:positionH>
                      <wp:positionV relativeFrom="paragraph">
                        <wp:posOffset>24130</wp:posOffset>
                      </wp:positionV>
                      <wp:extent cx="314325" cy="0"/>
                      <wp:effectExtent l="0" t="38100" r="9525" b="38100"/>
                      <wp:wrapNone/>
                      <wp:docPr id="577" name="直接箭头连接符 292"/>
                      <wp:cNvGraphicFramePr/>
                      <a:graphic xmlns:a="http://schemas.openxmlformats.org/drawingml/2006/main">
                        <a:graphicData uri="http://schemas.microsoft.com/office/word/2010/wordprocessingShape">
                          <wps:wsp>
                            <wps:cNvCnPr/>
                            <wps:spPr>
                              <a:xfrm>
                                <a:off x="2647950" y="3965575"/>
                                <a:ext cx="314325"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92" o:spid="_x0000_s1026" o:spt="32" type="#_x0000_t32" style="position:absolute;left:0pt;margin-left:286.85pt;margin-top:1.9pt;height:0pt;width:24.75pt;z-index:251850752;mso-width-relative:page;mso-height-relative:page;" filled="f" stroked="t" coordsize="21600,21600" o:gfxdata="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pAWKNcAAAAHAQAADwAAAAAAAAABACAA&#10;AAAiAAAAZHJzL2Rvd25yZXYueG1sUEsBAhQAFAAAAAgAh07iQAzYb3YOAgAA2QMAAA4AAAAAAAAA&#10;AQAgAAAAJgEAAGRycy9lMm9Eb2MueG1sUEsFBgAAAAAGAAYAWQEAAKYFAAAAAA==&#10;">
                      <v:fill on="f" focussize="0,0"/>
                      <v:stroke color="#FF0000 [3204]" joinstyle="round" endarrow="block"/>
                      <v:imagedata o:title=""/>
                      <o:lock v:ext="edit" aspectratio="f"/>
                    </v:shape>
                  </w:pict>
                </mc:Fallback>
              </mc:AlternateContent>
            </w:r>
          </w:p>
          <w:p w14:paraId="694937D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48704" behindDoc="0" locked="0" layoutInCell="1" allowOverlap="1">
                      <wp:simplePos x="0" y="0"/>
                      <wp:positionH relativeFrom="column">
                        <wp:posOffset>937895</wp:posOffset>
                      </wp:positionH>
                      <wp:positionV relativeFrom="paragraph">
                        <wp:posOffset>107315</wp:posOffset>
                      </wp:positionV>
                      <wp:extent cx="314325" cy="0"/>
                      <wp:effectExtent l="0" t="38100" r="9525" b="38100"/>
                      <wp:wrapNone/>
                      <wp:docPr id="582" name="直接箭头连接符 291"/>
                      <wp:cNvGraphicFramePr/>
                      <a:graphic xmlns:a="http://schemas.openxmlformats.org/drawingml/2006/main">
                        <a:graphicData uri="http://schemas.microsoft.com/office/word/2010/wordprocessingShape">
                          <wps:wsp>
                            <wps:cNvCnPr/>
                            <wps:spPr>
                              <a:xfrm>
                                <a:off x="2324100" y="4412615"/>
                                <a:ext cx="314325"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91" o:spid="_x0000_s1026" o:spt="32" type="#_x0000_t32" style="position:absolute;left:0pt;margin-left:73.85pt;margin-top:8.45pt;height:0pt;width:24.75pt;z-index:251848704;mso-width-relative:page;mso-height-relative:page;" filled="f" stroked="t" coordsize="21600,21600" o:gfxdata="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DYY09gAAAAJAQAADwAAAAAAAAABACAA&#10;AAAiAAAAZHJzL2Rvd25yZXYueG1sUEsBAhQAFAAAAAgAh07iQLq8Ge8NAgAA2QMAAA4AAAAAAAAA&#10;AQAgAAAAJwEAAGRycy9lMm9Eb2MueG1sUEsFBgAAAAAGAAYAWQEAAKYFAAAAAA==&#10;">
                      <v:fill on="f" focussize="0,0"/>
                      <v:stroke color="#FF0000 [3204]" joinstyle="round" endarrow="block"/>
                      <v:imagedata o:title=""/>
                      <o:lock v:ext="edit" aspectratio="f"/>
                    </v:shape>
                  </w:pict>
                </mc:Fallback>
              </mc:AlternateContent>
            </w:r>
          </w:p>
          <w:p w14:paraId="59CF83E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46656" behindDoc="0" locked="0" layoutInCell="1" allowOverlap="1">
                      <wp:simplePos x="0" y="0"/>
                      <wp:positionH relativeFrom="column">
                        <wp:posOffset>4300220</wp:posOffset>
                      </wp:positionH>
                      <wp:positionV relativeFrom="paragraph">
                        <wp:posOffset>71120</wp:posOffset>
                      </wp:positionV>
                      <wp:extent cx="752475" cy="457200"/>
                      <wp:effectExtent l="0" t="0" r="0" b="0"/>
                      <wp:wrapNone/>
                      <wp:docPr id="583" name="文本框 212"/>
                      <wp:cNvGraphicFramePr/>
                      <a:graphic xmlns:a="http://schemas.openxmlformats.org/drawingml/2006/main">
                        <a:graphicData uri="http://schemas.microsoft.com/office/word/2010/wordprocessingShape">
                          <wps:wsp>
                            <wps:cNvSpPr txBox="1"/>
                            <wps:spPr>
                              <a:xfrm>
                                <a:off x="4686300" y="3751580"/>
                                <a:ext cx="75247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3680E">
                                  <w:pPr>
                                    <w:pStyle w:val="2"/>
                                    <w:jc w:val="center"/>
                                    <w:rPr>
                                      <w:rFonts w:hint="eastAsia"/>
                                      <w:sz w:val="21"/>
                                      <w:szCs w:val="21"/>
                                      <w:lang w:val="en-US" w:eastAsia="zh-CN"/>
                                    </w:rPr>
                                  </w:pPr>
                                  <w:r>
                                    <w:rPr>
                                      <w:rFonts w:hint="eastAsia"/>
                                      <w:sz w:val="21"/>
                                      <w:szCs w:val="21"/>
                                      <w:lang w:val="en-US" w:eastAsia="zh-CN"/>
                                    </w:rPr>
                                    <w:t>东泽污水</w:t>
                                  </w:r>
                                </w:p>
                                <w:p w14:paraId="1C1EFF59">
                                  <w:pPr>
                                    <w:pStyle w:val="2"/>
                                    <w:jc w:val="center"/>
                                    <w:rPr>
                                      <w:rFonts w:hint="default"/>
                                      <w:sz w:val="21"/>
                                      <w:szCs w:val="21"/>
                                      <w:lang w:val="en-US" w:eastAsia="zh-CN"/>
                                    </w:rPr>
                                  </w:pPr>
                                  <w:r>
                                    <w:rPr>
                                      <w:rFonts w:hint="eastAsia"/>
                                      <w:sz w:val="21"/>
                                      <w:szCs w:val="21"/>
                                      <w:lang w:val="en-US" w:eastAsia="zh-CN"/>
                                    </w:rPr>
                                    <w:t>处理厂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12" o:spid="_x0000_s1026" o:spt="202" type="#_x0000_t202" style="position:absolute;left:0pt;margin-left:338.6pt;margin-top:5.6pt;height:36pt;width:59.25pt;z-index:251846656;mso-width-relative:page;mso-height-relative:page;" filled="f" stroked="f" coordsize="21600,21600" o:gfxdata="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l4x3X2gAAAAkBAAAPAAAAAAAA&#10;AAEAIAAAACIAAABkcnMvZG93bnJldi54bWxQSwECFAAUAAAACACHTuJAkFct4EkCAAB1BAAADgAA&#10;AAAAAAABACAAAAApAQAAZHJzL2Uyb0RvYy54bWxQSwUGAAAAAAYABgBZAQAA5AUAAAAA&#10;">
                      <v:fill on="f" focussize="0,0"/>
                      <v:stroke on="f" weight="0.5pt"/>
                      <v:imagedata o:title=""/>
                      <o:lock v:ext="edit" aspectratio="f"/>
                      <v:textbox>
                        <w:txbxContent>
                          <w:p w14:paraId="1893680E">
                            <w:pPr>
                              <w:pStyle w:val="2"/>
                              <w:jc w:val="center"/>
                              <w:rPr>
                                <w:rFonts w:hint="eastAsia"/>
                                <w:sz w:val="21"/>
                                <w:szCs w:val="21"/>
                                <w:lang w:val="en-US" w:eastAsia="zh-CN"/>
                              </w:rPr>
                            </w:pPr>
                            <w:r>
                              <w:rPr>
                                <w:rFonts w:hint="eastAsia"/>
                                <w:sz w:val="21"/>
                                <w:szCs w:val="21"/>
                                <w:lang w:val="en-US" w:eastAsia="zh-CN"/>
                              </w:rPr>
                              <w:t>东泽污水</w:t>
                            </w:r>
                          </w:p>
                          <w:p w14:paraId="1C1EFF59">
                            <w:pPr>
                              <w:pStyle w:val="2"/>
                              <w:jc w:val="center"/>
                              <w:rPr>
                                <w:rFonts w:hint="default"/>
                                <w:sz w:val="21"/>
                                <w:szCs w:val="21"/>
                                <w:lang w:val="en-US" w:eastAsia="zh-CN"/>
                              </w:rPr>
                            </w:pPr>
                            <w:r>
                              <w:rPr>
                                <w:rFonts w:hint="eastAsia"/>
                                <w:sz w:val="21"/>
                                <w:szCs w:val="21"/>
                                <w:lang w:val="en-US" w:eastAsia="zh-CN"/>
                              </w:rPr>
                              <w:t>处理厂</w:t>
                            </w:r>
                          </w:p>
                        </w:txbxContent>
                      </v:textbox>
                    </v:shape>
                  </w:pict>
                </mc:Fallback>
              </mc:AlternateContent>
            </w:r>
            <w:r>
              <w:rPr>
                <w:color w:val="auto"/>
                <w:sz w:val="24"/>
              </w:rPr>
              <mc:AlternateContent>
                <mc:Choice Requires="wps">
                  <w:drawing>
                    <wp:anchor distT="0" distB="0" distL="114300" distR="114300" simplePos="0" relativeHeight="251857920" behindDoc="0" locked="0" layoutInCell="1" allowOverlap="1">
                      <wp:simplePos x="0" y="0"/>
                      <wp:positionH relativeFrom="column">
                        <wp:posOffset>3833495</wp:posOffset>
                      </wp:positionH>
                      <wp:positionV relativeFrom="paragraph">
                        <wp:posOffset>85725</wp:posOffset>
                      </wp:positionV>
                      <wp:extent cx="581660" cy="264795"/>
                      <wp:effectExtent l="0" t="0" r="0" b="0"/>
                      <wp:wrapNone/>
                      <wp:docPr id="585" name="文本框 88"/>
                      <wp:cNvGraphicFramePr/>
                      <a:graphic xmlns:a="http://schemas.openxmlformats.org/drawingml/2006/main">
                        <a:graphicData uri="http://schemas.microsoft.com/office/word/2010/wordprocessingShape">
                          <wps:wsp>
                            <wps:cNvSpPr txBox="1"/>
                            <wps:spPr>
                              <a:xfrm>
                                <a:off x="0" y="0"/>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9555A2">
                                  <w:pPr>
                                    <w:pStyle w:val="2"/>
                                    <w:jc w:val="center"/>
                                    <w:rPr>
                                      <w:rFonts w:hint="default"/>
                                      <w:sz w:val="21"/>
                                      <w:szCs w:val="21"/>
                                      <w:lang w:val="en-US" w:eastAsia="zh-CN"/>
                                    </w:rPr>
                                  </w:pPr>
                                  <w:r>
                                    <w:rPr>
                                      <w:rFonts w:hint="eastAsia"/>
                                      <w:sz w:val="21"/>
                                      <w:szCs w:val="21"/>
                                      <w:lang w:val="en-US" w:eastAsia="zh-CN"/>
                                    </w:rPr>
                                    <w:t>4.094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301.85pt;margin-top:6.75pt;height:20.85pt;width:45.8pt;z-index:251857920;mso-width-relative:page;mso-height-relative:page;" filled="f" stroked="f" coordsize="21600,21600" o:gfxdata="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2cWh5doAAAAJAQAADwAAAAAAAAABACAAAAAiAAAA&#10;ZHJzL2Rvd25yZXYueG1sUEsBAhQAFAAAAAgAh07iQPH/cnI+AgAAaAQAAA4AAAAAAAAAAQAgAAAA&#10;KQEAAGRycy9lMm9Eb2MueG1sUEsFBgAAAAAGAAYAWQEAANkFAAAAAA==&#10;">
                      <v:fill on="f" focussize="0,0"/>
                      <v:stroke on="f" weight="0.5pt"/>
                      <v:imagedata o:title=""/>
                      <o:lock v:ext="edit" aspectratio="f"/>
                      <v:textbox>
                        <w:txbxContent>
                          <w:p w14:paraId="739555A2">
                            <w:pPr>
                              <w:pStyle w:val="2"/>
                              <w:jc w:val="center"/>
                              <w:rPr>
                                <w:rFonts w:hint="default"/>
                                <w:sz w:val="21"/>
                                <w:szCs w:val="21"/>
                                <w:lang w:val="en-US" w:eastAsia="zh-CN"/>
                              </w:rPr>
                            </w:pPr>
                            <w:r>
                              <w:rPr>
                                <w:rFonts w:hint="eastAsia"/>
                                <w:sz w:val="21"/>
                                <w:szCs w:val="21"/>
                                <w:lang w:val="en-US" w:eastAsia="zh-CN"/>
                              </w:rPr>
                              <w:t>4.094</w:t>
                            </w:r>
                          </w:p>
                        </w:txbxContent>
                      </v:textbox>
                    </v:shape>
                  </w:pict>
                </mc:Fallback>
              </mc:AlternateContent>
            </w:r>
            <w:r>
              <w:rPr>
                <w:color w:val="auto"/>
                <w:sz w:val="24"/>
              </w:rPr>
              <mc:AlternateContent>
                <mc:Choice Requires="wps">
                  <w:drawing>
                    <wp:anchor distT="0" distB="0" distL="114300" distR="114300" simplePos="0" relativeHeight="251849728" behindDoc="0" locked="0" layoutInCell="1" allowOverlap="1">
                      <wp:simplePos x="0" y="0"/>
                      <wp:positionH relativeFrom="column">
                        <wp:posOffset>2928620</wp:posOffset>
                      </wp:positionH>
                      <wp:positionV relativeFrom="paragraph">
                        <wp:posOffset>85725</wp:posOffset>
                      </wp:positionV>
                      <wp:extent cx="581660" cy="264795"/>
                      <wp:effectExtent l="0" t="0" r="0" b="0"/>
                      <wp:wrapNone/>
                      <wp:docPr id="586" name="文本框 88"/>
                      <wp:cNvGraphicFramePr/>
                      <a:graphic xmlns:a="http://schemas.openxmlformats.org/drawingml/2006/main">
                        <a:graphicData uri="http://schemas.microsoft.com/office/word/2010/wordprocessingShape">
                          <wps:wsp>
                            <wps:cNvSpPr txBox="1"/>
                            <wps:spPr>
                              <a:xfrm>
                                <a:off x="4448175" y="4972050"/>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6CDF3">
                                  <w:pPr>
                                    <w:pStyle w:val="2"/>
                                    <w:jc w:val="center"/>
                                    <w:rPr>
                                      <w:rFonts w:hint="default"/>
                                      <w:sz w:val="21"/>
                                      <w:szCs w:val="21"/>
                                      <w:lang w:val="en-US" w:eastAsia="zh-CN"/>
                                    </w:rPr>
                                  </w:pPr>
                                  <w:r>
                                    <w:rPr>
                                      <w:rFonts w:hint="eastAsia"/>
                                      <w:sz w:val="21"/>
                                      <w:szCs w:val="21"/>
                                      <w:lang w:val="en-US" w:eastAsia="zh-CN"/>
                                    </w:rPr>
                                    <w:t>1.35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230.6pt;margin-top:6.75pt;height:20.85pt;width:45.8pt;z-index:251849728;mso-width-relative:page;mso-height-relative:page;" filled="f" stroked="f" coordsize="21600,21600" o:gfxdata="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6iU462QAAAAkBAAAPAAAAAAAAAAEA&#10;IAAAACIAAABkcnMvZG93bnJldi54bWxQSwECFAAUAAAACACHTuJAP+QAiUcCAAB0BAAADgAAAAAA&#10;AAABACAAAAAoAQAAZHJzL2Uyb0RvYy54bWxQSwUGAAAAAAYABgBZAQAA4QUAAAAA&#10;">
                      <v:fill on="f" focussize="0,0"/>
                      <v:stroke on="f" weight="0.5pt"/>
                      <v:imagedata o:title=""/>
                      <o:lock v:ext="edit" aspectratio="f"/>
                      <v:textbox>
                        <w:txbxContent>
                          <w:p w14:paraId="16F6CDF3">
                            <w:pPr>
                              <w:pStyle w:val="2"/>
                              <w:jc w:val="center"/>
                              <w:rPr>
                                <w:rFonts w:hint="default"/>
                                <w:sz w:val="21"/>
                                <w:szCs w:val="21"/>
                                <w:lang w:val="en-US" w:eastAsia="zh-CN"/>
                              </w:rPr>
                            </w:pPr>
                            <w:r>
                              <w:rPr>
                                <w:rFonts w:hint="eastAsia"/>
                                <w:sz w:val="21"/>
                                <w:szCs w:val="21"/>
                                <w:lang w:val="en-US" w:eastAsia="zh-CN"/>
                              </w:rPr>
                              <w:t>1.35</w:t>
                            </w:r>
                          </w:p>
                        </w:txbxContent>
                      </v:textbox>
                    </v:shape>
                  </w:pict>
                </mc:Fallback>
              </mc:AlternateContent>
            </w:r>
            <w:r>
              <w:rPr>
                <w:color w:val="auto"/>
                <w:sz w:val="24"/>
              </w:rPr>
              <mc:AlternateContent>
                <mc:Choice Requires="wps">
                  <w:drawing>
                    <wp:anchor distT="0" distB="0" distL="114300" distR="114300" simplePos="0" relativeHeight="251847680" behindDoc="0" locked="0" layoutInCell="1" allowOverlap="1">
                      <wp:simplePos x="0" y="0"/>
                      <wp:positionH relativeFrom="column">
                        <wp:posOffset>1109345</wp:posOffset>
                      </wp:positionH>
                      <wp:positionV relativeFrom="paragraph">
                        <wp:posOffset>47625</wp:posOffset>
                      </wp:positionV>
                      <wp:extent cx="581660" cy="264795"/>
                      <wp:effectExtent l="0" t="0" r="0" b="0"/>
                      <wp:wrapNone/>
                      <wp:docPr id="587" name="文本框 88"/>
                      <wp:cNvGraphicFramePr/>
                      <a:graphic xmlns:a="http://schemas.openxmlformats.org/drawingml/2006/main">
                        <a:graphicData uri="http://schemas.microsoft.com/office/word/2010/wordprocessingShape">
                          <wps:wsp>
                            <wps:cNvSpPr txBox="1"/>
                            <wps:spPr>
                              <a:xfrm>
                                <a:off x="2819400" y="5819775"/>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F55ED">
                                  <w:pPr>
                                    <w:pStyle w:val="2"/>
                                    <w:jc w:val="center"/>
                                    <w:rPr>
                                      <w:rFonts w:hint="default"/>
                                      <w:sz w:val="21"/>
                                      <w:szCs w:val="21"/>
                                      <w:lang w:val="en-US" w:eastAsia="zh-CN"/>
                                    </w:rPr>
                                  </w:pPr>
                                  <w:r>
                                    <w:rPr>
                                      <w:rFonts w:hint="eastAsia"/>
                                      <w:sz w:val="21"/>
                                      <w:szCs w:val="21"/>
                                      <w:lang w:val="en-US" w:eastAsia="zh-CN"/>
                                    </w:rPr>
                                    <w:t>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87.35pt;margin-top:3.75pt;height:20.85pt;width:45.8pt;z-index:251847680;mso-width-relative:page;mso-height-relative:page;" filled="f" stroked="f" coordsize="21600,21600" o:gfxdata="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Q8UXHaAAAACAEAAA8AAAAAAAAA&#10;AQAgAAAAIgAAAGRycy9kb3ducmV2LnhtbFBLAQIUABQAAAAIAIdO4kDSKDf4SAIAAHQEAAAOAAAA&#10;AAAAAAEAIAAAACkBAABkcnMvZTJvRG9jLnhtbFBLBQYAAAAABgAGAFkBAADjBQAAAAA=&#10;">
                      <v:fill on="f" focussize="0,0"/>
                      <v:stroke on="f" weight="0.5pt"/>
                      <v:imagedata o:title=""/>
                      <o:lock v:ext="edit" aspectratio="f"/>
                      <v:textbox>
                        <w:txbxContent>
                          <w:p w14:paraId="0C6F55ED">
                            <w:pPr>
                              <w:pStyle w:val="2"/>
                              <w:jc w:val="center"/>
                              <w:rPr>
                                <w:rFonts w:hint="default"/>
                                <w:sz w:val="21"/>
                                <w:szCs w:val="21"/>
                                <w:lang w:val="en-US" w:eastAsia="zh-CN"/>
                              </w:rPr>
                            </w:pPr>
                            <w:r>
                              <w:rPr>
                                <w:rFonts w:hint="eastAsia"/>
                                <w:sz w:val="21"/>
                                <w:szCs w:val="21"/>
                                <w:lang w:val="en-US" w:eastAsia="zh-CN"/>
                              </w:rPr>
                              <w:t>1.5</w:t>
                            </w:r>
                          </w:p>
                        </w:txbxContent>
                      </v:textbox>
                    </v:shape>
                  </w:pict>
                </mc:Fallback>
              </mc:AlternateContent>
            </w:r>
          </w:p>
          <w:p w14:paraId="407513C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56896" behindDoc="0" locked="0" layoutInCell="1" allowOverlap="1">
                      <wp:simplePos x="0" y="0"/>
                      <wp:positionH relativeFrom="column">
                        <wp:posOffset>3928745</wp:posOffset>
                      </wp:positionH>
                      <wp:positionV relativeFrom="paragraph">
                        <wp:posOffset>38735</wp:posOffset>
                      </wp:positionV>
                      <wp:extent cx="314325" cy="0"/>
                      <wp:effectExtent l="0" t="38100" r="9525" b="38100"/>
                      <wp:wrapNone/>
                      <wp:docPr id="588" name="直接箭头连接符 291"/>
                      <wp:cNvGraphicFramePr/>
                      <a:graphic xmlns:a="http://schemas.openxmlformats.org/drawingml/2006/main">
                        <a:graphicData uri="http://schemas.microsoft.com/office/word/2010/wordprocessingShape">
                          <wps:wsp>
                            <wps:cNvCnPr/>
                            <wps:spPr>
                              <a:xfrm>
                                <a:off x="0" y="0"/>
                                <a:ext cx="314325"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91" o:spid="_x0000_s1026" o:spt="32" type="#_x0000_t32" style="position:absolute;left:0pt;margin-left:309.35pt;margin-top:3.05pt;height:0pt;width:24.75pt;z-index:251856896;mso-width-relative:page;mso-height-relative:page;" filled="f" stroked="t" coordsize="21600,21600" o:gfxdata="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Wh5l3WAAAABwEAAA8AAAAAAAAAAQAgAAAAIgAAAGRycy9kb3ducmV2&#10;LnhtbFBLAQIUABQAAAAIAIdO4kAj+kCK/gEAAM0DAAAOAAAAAAAAAAEAIAAAACUBAABkcnMvZTJv&#10;RG9jLnhtbFBLBQYAAAAABgAGAFkBAACVBQAAAAA=&#10;">
                      <v:fill on="f" focussize="0,0"/>
                      <v:stroke color="#FF0000 [3204]" joinstyle="round" endarrow="block"/>
                      <v:imagedata o:title=""/>
                      <o:lock v:ext="edit" aspectratio="f"/>
                    </v:shape>
                  </w:pict>
                </mc:Fallback>
              </mc:AlternateContent>
            </w:r>
            <w:r>
              <w:rPr>
                <w:color w:val="auto"/>
                <w:sz w:val="24"/>
              </w:rPr>
              <mc:AlternateContent>
                <mc:Choice Requires="wpg">
                  <w:drawing>
                    <wp:anchor distT="0" distB="0" distL="114300" distR="114300" simplePos="0" relativeHeight="251854848" behindDoc="0" locked="0" layoutInCell="1" allowOverlap="1">
                      <wp:simplePos x="0" y="0"/>
                      <wp:positionH relativeFrom="column">
                        <wp:posOffset>1671320</wp:posOffset>
                      </wp:positionH>
                      <wp:positionV relativeFrom="paragraph">
                        <wp:posOffset>173990</wp:posOffset>
                      </wp:positionV>
                      <wp:extent cx="1323340" cy="732790"/>
                      <wp:effectExtent l="0" t="0" r="0" b="8255"/>
                      <wp:wrapNone/>
                      <wp:docPr id="589" name="组合 349"/>
                      <wp:cNvGraphicFramePr/>
                      <a:graphic xmlns:a="http://schemas.openxmlformats.org/drawingml/2006/main">
                        <a:graphicData uri="http://schemas.microsoft.com/office/word/2010/wordprocessingGroup">
                          <wpg:wgp>
                            <wpg:cNvGrpSpPr/>
                            <wpg:grpSpPr>
                              <a:xfrm rot="0">
                                <a:off x="3248025" y="2837180"/>
                                <a:ext cx="1323340" cy="732790"/>
                                <a:chOff x="6825" y="503357"/>
                                <a:chExt cx="2084" cy="1154"/>
                              </a:xfrm>
                            </wpg:grpSpPr>
                            <wps:wsp>
                              <wps:cNvPr id="590" name="文本框 212"/>
                              <wps:cNvSpPr txBox="1"/>
                              <wps:spPr>
                                <a:xfrm>
                                  <a:off x="6840" y="504077"/>
                                  <a:ext cx="1693" cy="435"/>
                                </a:xfrm>
                                <a:prstGeom prst="rect">
                                  <a:avLst/>
                                </a:prstGeom>
                                <a:no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219D35F">
                                    <w:pPr>
                                      <w:pStyle w:val="2"/>
                                      <w:jc w:val="center"/>
                                      <w:rPr>
                                        <w:rFonts w:hint="default"/>
                                        <w:sz w:val="21"/>
                                        <w:szCs w:val="21"/>
                                        <w:lang w:val="en-US" w:eastAsia="zh-CN"/>
                                      </w:rPr>
                                    </w:pPr>
                                    <w:r>
                                      <w:rPr>
                                        <w:rFonts w:hint="eastAsia"/>
                                        <w:sz w:val="21"/>
                                        <w:szCs w:val="21"/>
                                        <w:lang w:val="en-US" w:eastAsia="zh-CN"/>
                                      </w:rPr>
                                      <w:t>地面冲洗用水</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591" name="组合 228"/>
                              <wpg:cNvGrpSpPr/>
                              <wpg:grpSpPr>
                                <a:xfrm rot="0">
                                  <a:off x="6825" y="503357"/>
                                  <a:ext cx="2084" cy="735"/>
                                  <a:chOff x="6195" y="495461"/>
                                  <a:chExt cx="2084" cy="735"/>
                                </a:xfrm>
                              </wpg:grpSpPr>
                              <wps:wsp>
                                <wps:cNvPr id="592" name="曲线连接符 100"/>
                                <wps:cNvCnPr/>
                                <wps:spPr>
                                  <a:xfrm flipV="1">
                                    <a:off x="7020" y="495926"/>
                                    <a:ext cx="300" cy="270"/>
                                  </a:xfrm>
                                  <a:prstGeom prst="curvedConnector3">
                                    <a:avLst>
                                      <a:gd name="adj1" fmla="val 50333"/>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s:wsp>
                                <wps:cNvPr id="593" name="文本框 106"/>
                                <wps:cNvSpPr txBox="1"/>
                                <wps:spPr>
                                  <a:xfrm>
                                    <a:off x="6195" y="495461"/>
                                    <a:ext cx="2084" cy="4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5EF0DE">
                                      <w:pPr>
                                        <w:pStyle w:val="2"/>
                                        <w:jc w:val="center"/>
                                        <w:rPr>
                                          <w:rFonts w:hint="default"/>
                                          <w:sz w:val="21"/>
                                          <w:szCs w:val="21"/>
                                          <w:lang w:val="en-US" w:eastAsia="zh-CN"/>
                                        </w:rPr>
                                      </w:pPr>
                                      <w:r>
                                        <w:rPr>
                                          <w:rFonts w:hint="eastAsia"/>
                                          <w:sz w:val="21"/>
                                          <w:szCs w:val="21"/>
                                          <w:lang w:val="en-US" w:eastAsia="zh-CN"/>
                                        </w:rPr>
                                        <w:t>损失0.558</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组合 349" o:spid="_x0000_s1026" o:spt="203" style="position:absolute;left:0pt;margin-left:131.6pt;margin-top:13.7pt;height:57.7pt;width:104.2pt;z-index:251854848;mso-width-relative:page;mso-height-relative:page;" coordorigin="6825,503357" coordsize="2084,1154" o:gfxdata="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">
                      <o:lock v:ext="edit" aspectratio="f"/>
                      <v:shape id="文本框 212" o:spid="_x0000_s1026" o:spt="202" type="#_x0000_t202" style="position:absolute;left:6840;top:504077;height:435;width:1693;" filled="f" stroked="t" coordsize="21600,21600" o:gfxdata="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5tYNr4A&#10;AADc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w:txbxContent>
                            <w:p w14:paraId="3219D35F">
                              <w:pPr>
                                <w:pStyle w:val="2"/>
                                <w:jc w:val="center"/>
                                <w:rPr>
                                  <w:rFonts w:hint="default"/>
                                  <w:sz w:val="21"/>
                                  <w:szCs w:val="21"/>
                                  <w:lang w:val="en-US" w:eastAsia="zh-CN"/>
                                </w:rPr>
                              </w:pPr>
                              <w:r>
                                <w:rPr>
                                  <w:rFonts w:hint="eastAsia"/>
                                  <w:sz w:val="21"/>
                                  <w:szCs w:val="21"/>
                                  <w:lang w:val="en-US" w:eastAsia="zh-CN"/>
                                </w:rPr>
                                <w:t>地面冲洗用水</w:t>
                              </w:r>
                            </w:p>
                          </w:txbxContent>
                        </v:textbox>
                      </v:shape>
                      <v:group id="组合 228" o:spid="_x0000_s1026" o:spt="203" style="position:absolute;left:6825;top:503357;height:735;width:2084;" coordorigin="6195,495461" coordsize="2084,735" o:gfxdata="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RUwHUvwAAANwAAAAPAAAAAAAAAAEAIAAAACIAAABkcnMvZG93bnJldi54&#10;bWxQSwECFAAUAAAACACHTuJAMy8FnjsAAAA5AAAAFQAAAAAAAAABACAAAAAOAQAAZHJzL2dyb3Vw&#10;c2hhcGV4bWwueG1sUEsFBgAAAAAGAAYAYAEAAMsDAAAAAA==&#10;">
                        <o:lock v:ext="edit" aspectratio="f"/>
                        <v:shape id="曲线连接符 100" o:spid="_x0000_s1026" o:spt="38" type="#_x0000_t38" style="position:absolute;left:7020;top:495926;flip:y;height:270;width:300;" filled="f" stroked="t" coordsize="21600,21600" o:gfxdata="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G8mb4A&#10;AADcAAAADwAAAAAAAAABACAAAAAiAAAAZHJzL2Rvd25yZXYueG1sUEsBAhQAFAAAAAgAh07iQDMv&#10;BZ47AAAAOQAAABAAAAAAAAAAAQAgAAAADQEAAGRycy9zaGFwZXhtbC54bWxQSwUGAAAAAAYABgBb&#10;AQAAtwMAAAAA&#10;" adj="10872">
                          <v:fill on="f" focussize="0,0"/>
                          <v:stroke color="#FF0000 [3204]" joinstyle="round" endarrow="block"/>
                          <v:imagedata o:title=""/>
                          <o:lock v:ext="edit" aspectratio="f"/>
                        </v:shape>
                        <v:shape id="文本框 106" o:spid="_x0000_s1026" o:spt="202" type="#_x0000_t202" style="position:absolute;left:6195;top:495461;height:465;width:2084;" filled="f" stroked="f" coordsize="21600,21600" o:gfxdata="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dqme/&#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45EF0DE">
                                <w:pPr>
                                  <w:pStyle w:val="2"/>
                                  <w:jc w:val="center"/>
                                  <w:rPr>
                                    <w:rFonts w:hint="default"/>
                                    <w:sz w:val="21"/>
                                    <w:szCs w:val="21"/>
                                    <w:lang w:val="en-US" w:eastAsia="zh-CN"/>
                                  </w:rPr>
                                </w:pPr>
                                <w:r>
                                  <w:rPr>
                                    <w:rFonts w:hint="eastAsia"/>
                                    <w:sz w:val="21"/>
                                    <w:szCs w:val="21"/>
                                    <w:lang w:val="en-US" w:eastAsia="zh-CN"/>
                                  </w:rPr>
                                  <w:t>损失0.558</w:t>
                                </w:r>
                              </w:p>
                            </w:txbxContent>
                          </v:textbox>
                        </v:shape>
                      </v:group>
                    </v:group>
                  </w:pict>
                </mc:Fallback>
              </mc:AlternateContent>
            </w:r>
            <w:r>
              <w:rPr>
                <w:color w:val="auto"/>
                <w:sz w:val="24"/>
              </w:rPr>
              <mc:AlternateContent>
                <mc:Choice Requires="wps">
                  <w:drawing>
                    <wp:anchor distT="0" distB="0" distL="114300" distR="114300" simplePos="0" relativeHeight="251847680" behindDoc="0" locked="0" layoutInCell="1" allowOverlap="1">
                      <wp:simplePos x="0" y="0"/>
                      <wp:positionH relativeFrom="column">
                        <wp:posOffset>2642870</wp:posOffset>
                      </wp:positionH>
                      <wp:positionV relativeFrom="paragraph">
                        <wp:posOffset>38735</wp:posOffset>
                      </wp:positionV>
                      <wp:extent cx="1280160" cy="1905"/>
                      <wp:effectExtent l="0" t="38100" r="15240" b="36195"/>
                      <wp:wrapNone/>
                      <wp:docPr id="594" name="直接箭头连接符 304"/>
                      <wp:cNvGraphicFramePr/>
                      <a:graphic xmlns:a="http://schemas.openxmlformats.org/drawingml/2006/main">
                        <a:graphicData uri="http://schemas.microsoft.com/office/word/2010/wordprocessingShape">
                          <wps:wsp>
                            <wps:cNvCnPr/>
                            <wps:spPr>
                              <a:xfrm flipV="1">
                                <a:off x="4162425" y="5828030"/>
                                <a:ext cx="1280160" cy="1905"/>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304" o:spid="_x0000_s1026" o:spt="32" type="#_x0000_t32" style="position:absolute;left:0pt;flip:y;margin-left:208.1pt;margin-top:3.05pt;height:0.15pt;width:100.8pt;z-index:251847680;mso-width-relative:page;mso-height-relative:page;" filled="f" stroked="t" coordsize="21600,21600" o:gfxdata="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f2zPp2AAAAAcBAAAPAAAA&#10;AAAAAAEAIAAAACIAAABkcnMvZG93bnJldi54bWxQSwECFAAUAAAACACHTuJA8VXDURUCAADnAwAA&#10;DgAAAAAAAAABACAAAAAnAQAAZHJzL2Uyb0RvYy54bWxQSwUGAAAAAAYABgBZAQAArgUAAAAA&#10;">
                      <v:fill on="f" focussize="0,0"/>
                      <v:stroke color="#FF0000 [3204]" joinstyle="round" endarrow="block"/>
                      <v:imagedata o:title=""/>
                      <o:lock v:ext="edit" aspectratio="f"/>
                    </v:shape>
                  </w:pict>
                </mc:Fallback>
              </mc:AlternateContent>
            </w:r>
            <w:r>
              <w:rPr>
                <w:color w:val="auto"/>
                <w:sz w:val="24"/>
              </w:rPr>
              <mc:AlternateContent>
                <mc:Choice Requires="wps">
                  <w:drawing>
                    <wp:anchor distT="0" distB="0" distL="114300" distR="114300" simplePos="0" relativeHeight="251851776" behindDoc="0" locked="0" layoutInCell="1" allowOverlap="1">
                      <wp:simplePos x="0" y="0"/>
                      <wp:positionH relativeFrom="column">
                        <wp:posOffset>1271270</wp:posOffset>
                      </wp:positionH>
                      <wp:positionV relativeFrom="paragraph">
                        <wp:posOffset>17145</wp:posOffset>
                      </wp:positionV>
                      <wp:extent cx="314325" cy="0"/>
                      <wp:effectExtent l="0" t="38100" r="9525" b="38100"/>
                      <wp:wrapNone/>
                      <wp:docPr id="595" name="直接箭头连接符 293"/>
                      <wp:cNvGraphicFramePr/>
                      <a:graphic xmlns:a="http://schemas.openxmlformats.org/drawingml/2006/main">
                        <a:graphicData uri="http://schemas.microsoft.com/office/word/2010/wordprocessingShape">
                          <wps:wsp>
                            <wps:cNvCnPr/>
                            <wps:spPr>
                              <a:xfrm>
                                <a:off x="2647950" y="4947285"/>
                                <a:ext cx="314325" cy="0"/>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93" o:spid="_x0000_s1026" o:spt="32" type="#_x0000_t32" style="position:absolute;left:0pt;margin-left:100.1pt;margin-top:1.35pt;height:0pt;width:24.75pt;z-index:251851776;mso-width-relative:page;mso-height-relative:page;" filled="f" stroked="t" coordsize="21600,21600" o:gfxdata="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2PzWdQAAAAHAQAADwAAAAAAAAABACAAAAAi&#10;AAAAZHJzL2Rvd25yZXYueG1sUEsBAhQAFAAAAAgAh07iQErlhBwOAgAA2QMAAA4AAAAAAAAAAQAg&#10;AAAAIwEAAGRycy9lMm9Eb2MueG1sUEsFBgAAAAAGAAYAWQEAAKMFAAAAAA==&#10;">
                      <v:fill on="f" focussize="0,0"/>
                      <v:stroke color="#FF0000 [3204]" joinstyle="round" endarrow="block"/>
                      <v:imagedata o:title=""/>
                      <o:lock v:ext="edit" aspectratio="f"/>
                    </v:shape>
                  </w:pict>
                </mc:Fallback>
              </mc:AlternateContent>
            </w:r>
          </w:p>
          <w:p w14:paraId="34D218D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3182B3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center"/>
              <w:textAlignment w:val="auto"/>
              <w:rPr>
                <w:rFonts w:hint="eastAsia"/>
                <w:b/>
                <w:bCs/>
                <w:color w:val="auto"/>
                <w:sz w:val="24"/>
                <w:highlight w:val="none"/>
                <w:lang w:val="en-US" w:eastAsia="zh-CN"/>
              </w:rPr>
            </w:pPr>
            <w:r>
              <w:rPr>
                <w:color w:val="auto"/>
                <w:sz w:val="24"/>
              </w:rPr>
              <mc:AlternateContent>
                <mc:Choice Requires="wps">
                  <w:drawing>
                    <wp:anchor distT="0" distB="0" distL="114300" distR="114300" simplePos="0" relativeHeight="251853824" behindDoc="0" locked="0" layoutInCell="1" allowOverlap="1">
                      <wp:simplePos x="0" y="0"/>
                      <wp:positionH relativeFrom="column">
                        <wp:posOffset>2757170</wp:posOffset>
                      </wp:positionH>
                      <wp:positionV relativeFrom="paragraph">
                        <wp:posOffset>11430</wp:posOffset>
                      </wp:positionV>
                      <wp:extent cx="581660" cy="264795"/>
                      <wp:effectExtent l="0" t="0" r="0" b="0"/>
                      <wp:wrapNone/>
                      <wp:docPr id="596" name="文本框 88"/>
                      <wp:cNvGraphicFramePr/>
                      <a:graphic xmlns:a="http://schemas.openxmlformats.org/drawingml/2006/main">
                        <a:graphicData uri="http://schemas.microsoft.com/office/word/2010/wordprocessingShape">
                          <wps:wsp>
                            <wps:cNvSpPr txBox="1"/>
                            <wps:spPr>
                              <a:xfrm>
                                <a:off x="4219575" y="3238500"/>
                                <a:ext cx="581660" cy="264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CAFA2">
                                  <w:pPr>
                                    <w:pStyle w:val="2"/>
                                    <w:jc w:val="center"/>
                                    <w:rPr>
                                      <w:rFonts w:hint="default"/>
                                      <w:sz w:val="21"/>
                                      <w:szCs w:val="21"/>
                                      <w:lang w:val="en-US" w:eastAsia="zh-CN"/>
                                    </w:rPr>
                                  </w:pPr>
                                  <w:r>
                                    <w:rPr>
                                      <w:rFonts w:hint="eastAsia"/>
                                      <w:sz w:val="21"/>
                                      <w:szCs w:val="21"/>
                                      <w:lang w:val="en-US" w:eastAsia="zh-CN"/>
                                    </w:rPr>
                                    <w:t>2.232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217.1pt;margin-top:0.9pt;height:20.85pt;width:45.8pt;z-index:251853824;mso-width-relative:page;mso-height-relative:page;" filled="f" stroked="f" coordsize="21600,21600" o:gfxdata="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DEQxKzXAAAACAEAAA8AAAAAAAAA&#10;AQAgAAAAIgAAAGRycy9kb3ducmV2LnhtbFBLAQIUABQAAAAIAIdO4kBTV5UHSwIAAHQEAAAOAAAA&#10;AAAAAAEAIAAAACYBAABkcnMvZTJvRG9jLnhtbFBLBQYAAAAABgAGAFkBAADjBQAAAAA=&#10;">
                      <v:fill on="f" focussize="0,0"/>
                      <v:stroke on="f" weight="0.5pt"/>
                      <v:imagedata o:title=""/>
                      <o:lock v:ext="edit" aspectratio="f"/>
                      <v:textbox>
                        <w:txbxContent>
                          <w:p w14:paraId="3EACAFA2">
                            <w:pPr>
                              <w:pStyle w:val="2"/>
                              <w:jc w:val="center"/>
                              <w:rPr>
                                <w:rFonts w:hint="default"/>
                                <w:sz w:val="21"/>
                                <w:szCs w:val="21"/>
                                <w:lang w:val="en-US" w:eastAsia="zh-CN"/>
                              </w:rPr>
                            </w:pPr>
                            <w:r>
                              <w:rPr>
                                <w:rFonts w:hint="eastAsia"/>
                                <w:sz w:val="21"/>
                                <w:szCs w:val="21"/>
                                <w:lang w:val="en-US" w:eastAsia="zh-CN"/>
                              </w:rPr>
                              <w:t>2.232</w:t>
                            </w:r>
                          </w:p>
                        </w:txbxContent>
                      </v:textbox>
                    </v:shape>
                  </w:pict>
                </mc:Fallback>
              </mc:AlternateContent>
            </w:r>
            <w:r>
              <w:rPr>
                <w:color w:val="auto"/>
                <w:sz w:val="24"/>
              </w:rPr>
              <mc:AlternateContent>
                <mc:Choice Requires="wps">
                  <w:drawing>
                    <wp:anchor distT="0" distB="0" distL="114300" distR="114300" simplePos="0" relativeHeight="251852800" behindDoc="0" locked="0" layoutInCell="1" allowOverlap="1">
                      <wp:simplePos x="0" y="0"/>
                      <wp:positionH relativeFrom="column">
                        <wp:posOffset>2766695</wp:posOffset>
                      </wp:positionH>
                      <wp:positionV relativeFrom="paragraph">
                        <wp:posOffset>246380</wp:posOffset>
                      </wp:positionV>
                      <wp:extent cx="1194435" cy="1905"/>
                      <wp:effectExtent l="0" t="38100" r="5715" b="36195"/>
                      <wp:wrapNone/>
                      <wp:docPr id="597" name="直接箭头连接符 315"/>
                      <wp:cNvGraphicFramePr/>
                      <a:graphic xmlns:a="http://schemas.openxmlformats.org/drawingml/2006/main">
                        <a:graphicData uri="http://schemas.microsoft.com/office/word/2010/wordprocessingShape">
                          <wps:wsp>
                            <wps:cNvCnPr/>
                            <wps:spPr>
                              <a:xfrm flipV="1">
                                <a:off x="4343400" y="3437255"/>
                                <a:ext cx="1194435" cy="1905"/>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315" o:spid="_x0000_s1026" o:spt="32" type="#_x0000_t32" style="position:absolute;left:0pt;flip:y;margin-left:217.85pt;margin-top:19.4pt;height:0.15pt;width:94.05pt;z-index:251852800;mso-width-relative:page;mso-height-relative:page;" filled="f" stroked="t" coordsize="21600,21600" o:gfxdata="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i/ky9oAAAAJAQAA&#10;DwAAAAAAAAABACAAAAAiAAAAZHJzL2Rvd25yZXYueG1sUEsBAhQAFAAAAAgAh07iQMpERwkXAgAA&#10;5wMAAA4AAAAAAAAAAQAgAAAAKQEAAGRycy9lMm9Eb2MueG1sUEsFBgAAAAAGAAYAWQEAALIFAAAA&#10;AA==&#10;">
                      <v:fill on="f" focussize="0,0"/>
                      <v:stroke color="#FF0000 [3204]" joinstyle="round" endarrow="block"/>
                      <v:imagedata o:title=""/>
                      <o:lock v:ext="edit" aspectratio="f"/>
                    </v:shape>
                  </w:pict>
                </mc:Fallback>
              </mc:AlternateContent>
            </w:r>
            <w:r>
              <w:rPr>
                <w:color w:val="auto"/>
                <w:sz w:val="24"/>
              </w:rPr>
              <mc:AlternateContent>
                <mc:Choice Requires="wpg">
                  <w:drawing>
                    <wp:anchor distT="0" distB="0" distL="114300" distR="114300" simplePos="0" relativeHeight="251855872" behindDoc="0" locked="0" layoutInCell="1" allowOverlap="1">
                      <wp:simplePos x="0" y="0"/>
                      <wp:positionH relativeFrom="column">
                        <wp:posOffset>1233170</wp:posOffset>
                      </wp:positionH>
                      <wp:positionV relativeFrom="paragraph">
                        <wp:posOffset>20955</wp:posOffset>
                      </wp:positionV>
                      <wp:extent cx="467360" cy="264160"/>
                      <wp:effectExtent l="0" t="0" r="8255" b="26670"/>
                      <wp:wrapNone/>
                      <wp:docPr id="598" name="组合 598"/>
                      <wp:cNvGraphicFramePr/>
                      <a:graphic xmlns:a="http://schemas.openxmlformats.org/drawingml/2006/main">
                        <a:graphicData uri="http://schemas.microsoft.com/office/word/2010/wordprocessingGroup">
                          <wpg:wgp>
                            <wpg:cNvGrpSpPr/>
                            <wpg:grpSpPr>
                              <a:xfrm rot="0">
                                <a:off x="2809875" y="3209925"/>
                                <a:ext cx="467360" cy="264160"/>
                                <a:chOff x="9984" y="509099"/>
                                <a:chExt cx="736" cy="416"/>
                              </a:xfrm>
                            </wpg:grpSpPr>
                            <wps:wsp>
                              <wps:cNvPr id="599" name="文本框 88"/>
                              <wps:cNvSpPr txBox="1"/>
                              <wps:spPr>
                                <a:xfrm>
                                  <a:off x="9984" y="509099"/>
                                  <a:ext cx="737" cy="41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9E65F">
                                    <w:pPr>
                                      <w:pStyle w:val="2"/>
                                      <w:jc w:val="center"/>
                                      <w:rPr>
                                        <w:rFonts w:hint="default"/>
                                        <w:sz w:val="21"/>
                                        <w:szCs w:val="21"/>
                                        <w:lang w:val="en-US" w:eastAsia="zh-CN"/>
                                      </w:rPr>
                                    </w:pPr>
                                    <w:r>
                                      <w:rPr>
                                        <w:rFonts w:hint="eastAsia"/>
                                        <w:sz w:val="21"/>
                                        <w:szCs w:val="21"/>
                                        <w:lang w:val="en-US" w:eastAsia="zh-CN"/>
                                      </w:rPr>
                                      <w:t>2.79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00" name="直接箭头连接符 304"/>
                              <wps:cNvCnPr/>
                              <wps:spPr>
                                <a:xfrm flipV="1">
                                  <a:off x="10089" y="509469"/>
                                  <a:ext cx="591" cy="3"/>
                                </a:xfrm>
                                <a:prstGeom prst="straightConnector1">
                                  <a:avLst/>
                                </a:prstGeom>
                                <a:ln w="9525">
                                  <a:solidFill>
                                    <a:srgbClr val="FF0000"/>
                                  </a:solidFill>
                                  <a:tailEnd type="triangl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97.1pt;margin-top:1.65pt;height:20.8pt;width:36.8pt;z-index:251855872;mso-width-relative:page;mso-height-relative:page;" coordorigin="9984,509099" coordsize="736,416" o:gfxdata="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AAAAABkcnMvUEsBAhQAFAAAAAgA&#10;h07iQLjvOZ/YAAAACAEAAA8AAAAAAAAAAQAgAAAAIgAAAGRycy9kb3ducmV2LnhtbFBLAQIUABQA&#10;AAAIAIdO4kAMrPo9fwMAALAHAAAOAAAAAAAAAAEAIAAAACcBAABkcnMvZTJvRG9jLnhtbFBLBQYA&#10;AAAABgAGAFkBAAAYBwAAAAA=&#10;">
                      <o:lock v:ext="edit" aspectratio="f"/>
                      <v:shape id="文本框 88" o:spid="_x0000_s1026" o:spt="202" type="#_x0000_t202" style="position:absolute;left:9984;top:509099;height:417;width:737;" filled="f" stroked="f" coordsize="21600,21600" o:gfxdata="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dZ2N&#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1899E65F">
                              <w:pPr>
                                <w:pStyle w:val="2"/>
                                <w:jc w:val="center"/>
                                <w:rPr>
                                  <w:rFonts w:hint="default"/>
                                  <w:sz w:val="21"/>
                                  <w:szCs w:val="21"/>
                                  <w:lang w:val="en-US" w:eastAsia="zh-CN"/>
                                </w:rPr>
                              </w:pPr>
                              <w:r>
                                <w:rPr>
                                  <w:rFonts w:hint="eastAsia"/>
                                  <w:sz w:val="21"/>
                                  <w:szCs w:val="21"/>
                                  <w:lang w:val="en-US" w:eastAsia="zh-CN"/>
                                </w:rPr>
                                <w:t>2.79</w:t>
                              </w:r>
                            </w:p>
                          </w:txbxContent>
                        </v:textbox>
                      </v:shape>
                      <v:shape id="直接箭头连接符 304" o:spid="_x0000_s1026" o:spt="32" type="#_x0000_t32" style="position:absolute;left:10089;top:509469;flip:y;height:3;width:591;" filled="f" stroked="t" coordsize="21600,21600" o:gfxdata="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XRmBvQAA&#10;ANwAAAAPAAAAAAAAAAEAIAAAACIAAABkcnMvZG93bnJldi54bWxQSwECFAAUAAAACACHTuJAMy8F&#10;njsAAAA5AAAAEAAAAAAAAAABACAAAAAMAQAAZHJzL3NoYXBleG1sLnhtbFBLBQYAAAAABgAGAFsB&#10;AAC2AwAAAAA=&#10;">
                        <v:fill on="f" focussize="0,0"/>
                        <v:stroke color="#FF0000 [3204]" joinstyle="round" endarrow="block"/>
                        <v:imagedata o:title=""/>
                        <o:lock v:ext="edit" aspectratio="f"/>
                      </v:shape>
                    </v:group>
                  </w:pict>
                </mc:Fallback>
              </mc:AlternateContent>
            </w:r>
            <w:r>
              <w:rPr>
                <w:color w:val="auto"/>
                <w:sz w:val="24"/>
              </w:rPr>
              <mc:AlternateContent>
                <mc:Choice Requires="wps">
                  <w:drawing>
                    <wp:anchor distT="0" distB="0" distL="114300" distR="114300" simplePos="0" relativeHeight="251853824" behindDoc="0" locked="0" layoutInCell="1" allowOverlap="1">
                      <wp:simplePos x="0" y="0"/>
                      <wp:positionH relativeFrom="column">
                        <wp:posOffset>490220</wp:posOffset>
                      </wp:positionH>
                      <wp:positionV relativeFrom="paragraph">
                        <wp:posOffset>125730</wp:posOffset>
                      </wp:positionV>
                      <wp:extent cx="856615" cy="236855"/>
                      <wp:effectExtent l="0" t="0" r="0" b="0"/>
                      <wp:wrapNone/>
                      <wp:docPr id="601" name="文本框 88"/>
                      <wp:cNvGraphicFramePr/>
                      <a:graphic xmlns:a="http://schemas.openxmlformats.org/drawingml/2006/main">
                        <a:graphicData uri="http://schemas.microsoft.com/office/word/2010/wordprocessingShape">
                          <wps:wsp>
                            <wps:cNvSpPr txBox="1"/>
                            <wps:spPr>
                              <a:xfrm>
                                <a:off x="2066925" y="3314700"/>
                                <a:ext cx="85661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973E3">
                                  <w:pPr>
                                    <w:pStyle w:val="2"/>
                                    <w:jc w:val="center"/>
                                    <w:rPr>
                                      <w:rFonts w:hint="default"/>
                                      <w:sz w:val="21"/>
                                      <w:szCs w:val="21"/>
                                      <w:lang w:val="en-US" w:eastAsia="zh-CN"/>
                                    </w:rPr>
                                  </w:pPr>
                                  <w:r>
                                    <w:rPr>
                                      <w:rFonts w:hint="eastAsia"/>
                                      <w:sz w:val="21"/>
                                      <w:szCs w:val="21"/>
                                      <w:lang w:val="en-US" w:eastAsia="zh-CN"/>
                                    </w:rPr>
                                    <w:t>蒸汽凝结水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26" o:spt="202" type="#_x0000_t202" style="position:absolute;left:0pt;margin-left:38.6pt;margin-top:9.9pt;height:18.65pt;width:67.45pt;z-index:251853824;mso-width-relative:page;mso-height-relative:page;" filled="f" stroked="f" coordsize="21600,21600" o:gfxdata="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N4IvDZAAAACAEAAA8AAAAAAAAA&#10;AQAgAAAAIgAAAGRycy9kb3ducmV2LnhtbFBLAQIUABQAAAAIAIdO4kA5aZa7SQIAAHQEAAAOAAAA&#10;AAAAAAEAIAAAACgBAABkcnMvZTJvRG9jLnhtbFBLBQYAAAAABgAGAFkBAADjBQAAAAA=&#10;">
                      <v:fill on="f" focussize="0,0"/>
                      <v:stroke on="f" weight="0.5pt"/>
                      <v:imagedata o:title=""/>
                      <o:lock v:ext="edit" aspectratio="f"/>
                      <v:textbox>
                        <w:txbxContent>
                          <w:p w14:paraId="56A973E3">
                            <w:pPr>
                              <w:pStyle w:val="2"/>
                              <w:jc w:val="center"/>
                              <w:rPr>
                                <w:rFonts w:hint="default"/>
                                <w:sz w:val="21"/>
                                <w:szCs w:val="21"/>
                                <w:lang w:val="en-US" w:eastAsia="zh-CN"/>
                              </w:rPr>
                            </w:pPr>
                            <w:r>
                              <w:rPr>
                                <w:rFonts w:hint="eastAsia"/>
                                <w:sz w:val="21"/>
                                <w:szCs w:val="21"/>
                                <w:lang w:val="en-US" w:eastAsia="zh-CN"/>
                              </w:rPr>
                              <w:t>蒸汽凝结水</w:t>
                            </w:r>
                          </w:p>
                        </w:txbxContent>
                      </v:textbox>
                    </v:shape>
                  </w:pict>
                </mc:Fallback>
              </mc:AlternateContent>
            </w:r>
          </w:p>
          <w:p w14:paraId="733953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eastAsia"/>
                <w:b/>
                <w:bCs/>
                <w:color w:val="auto"/>
                <w:sz w:val="24"/>
                <w:highlight w:val="none"/>
                <w:lang w:val="en-US" w:eastAsia="zh-CN"/>
              </w:rPr>
            </w:pPr>
          </w:p>
          <w:p w14:paraId="717D4E9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jc w:val="center"/>
              <w:textAlignment w:val="auto"/>
              <w:rPr>
                <w:rFonts w:hint="default" w:eastAsia="宋体"/>
                <w:b/>
                <w:bCs/>
                <w:color w:val="auto"/>
                <w:sz w:val="24"/>
                <w:highlight w:val="none"/>
                <w:lang w:val="en-US" w:eastAsia="zh-CN"/>
              </w:rPr>
            </w:pPr>
            <w:r>
              <w:rPr>
                <w:rFonts w:hint="eastAsia"/>
                <w:b/>
                <w:bCs/>
                <w:color w:val="auto"/>
                <w:sz w:val="24"/>
                <w:highlight w:val="none"/>
                <w:lang w:val="en-US" w:eastAsia="zh-CN"/>
              </w:rPr>
              <w:t>图5  全厂水平衡图（t/h）</w:t>
            </w:r>
          </w:p>
          <w:p w14:paraId="6D2DE9D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7A348A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0CABD29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2E4ACE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7、劳动定员与工作制度</w:t>
            </w:r>
          </w:p>
          <w:p w14:paraId="0920080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本项目</w:t>
            </w:r>
            <w:r>
              <w:rPr>
                <w:rFonts w:hint="eastAsia"/>
                <w:color w:val="auto"/>
                <w:sz w:val="24"/>
                <w:highlight w:val="none"/>
                <w:lang w:val="en-US" w:eastAsia="zh-CN"/>
              </w:rPr>
              <w:t>不新增</w:t>
            </w:r>
            <w:r>
              <w:rPr>
                <w:rFonts w:hint="eastAsia"/>
                <w:color w:val="auto"/>
                <w:sz w:val="24"/>
                <w:highlight w:val="none"/>
              </w:rPr>
              <w:t>劳动定员，年工作</w:t>
            </w:r>
            <w:r>
              <w:rPr>
                <w:rFonts w:hint="eastAsia"/>
                <w:color w:val="auto"/>
                <w:sz w:val="24"/>
                <w:highlight w:val="none"/>
                <w:lang w:val="en-US" w:eastAsia="zh-CN"/>
              </w:rPr>
              <w:t>250</w:t>
            </w:r>
            <w:r>
              <w:rPr>
                <w:rFonts w:hint="eastAsia"/>
                <w:color w:val="auto"/>
                <w:sz w:val="24"/>
                <w:highlight w:val="none"/>
              </w:rPr>
              <w:t>天，每天</w:t>
            </w:r>
            <w:r>
              <w:rPr>
                <w:rFonts w:hint="eastAsia"/>
                <w:color w:val="auto"/>
                <w:sz w:val="24"/>
                <w:highlight w:val="none"/>
                <w:lang w:val="en-US" w:eastAsia="zh-CN"/>
              </w:rPr>
              <w:t>16</w:t>
            </w:r>
            <w:r>
              <w:rPr>
                <w:rFonts w:hint="eastAsia"/>
                <w:color w:val="auto"/>
                <w:sz w:val="24"/>
                <w:highlight w:val="none"/>
              </w:rPr>
              <w:t>小时，年工作</w:t>
            </w:r>
            <w:r>
              <w:rPr>
                <w:rFonts w:hint="eastAsia"/>
                <w:color w:val="auto"/>
                <w:sz w:val="24"/>
                <w:highlight w:val="none"/>
                <w:lang w:val="en-US" w:eastAsia="zh-CN"/>
              </w:rPr>
              <w:t>40</w:t>
            </w:r>
            <w:r>
              <w:rPr>
                <w:rFonts w:hint="eastAsia"/>
                <w:color w:val="auto"/>
                <w:sz w:val="24"/>
                <w:highlight w:val="none"/>
              </w:rPr>
              <w:t>00h。</w:t>
            </w:r>
          </w:p>
          <w:p w14:paraId="5F4EBC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8、平面布置</w:t>
            </w:r>
          </w:p>
          <w:p w14:paraId="68683C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r>
              <w:rPr>
                <w:rFonts w:hint="eastAsia"/>
                <w:color w:val="auto"/>
                <w:sz w:val="24"/>
                <w:highlight w:val="none"/>
              </w:rPr>
              <w:t>本项目</w:t>
            </w:r>
            <w:r>
              <w:rPr>
                <w:rFonts w:hint="eastAsia"/>
                <w:color w:val="auto"/>
                <w:sz w:val="24"/>
                <w:highlight w:val="none"/>
                <w:lang w:val="en-US" w:eastAsia="zh-CN"/>
              </w:rPr>
              <w:t>原材料储存雨棚、中转罐位于</w:t>
            </w:r>
            <w:r>
              <w:rPr>
                <w:rFonts w:hint="eastAsia"/>
                <w:color w:val="auto"/>
                <w:sz w:val="24"/>
                <w:highlight w:val="none"/>
              </w:rPr>
              <w:t>现有</w:t>
            </w:r>
            <w:r>
              <w:rPr>
                <w:rFonts w:hint="eastAsia"/>
                <w:color w:val="auto"/>
                <w:sz w:val="24"/>
                <w:highlight w:val="none"/>
                <w:lang w:val="en-US" w:eastAsia="zh-CN"/>
              </w:rPr>
              <w:t>厂区闲置用地，3台造粒机位于现有生产车间内</w:t>
            </w:r>
            <w:r>
              <w:rPr>
                <w:rFonts w:hint="eastAsia"/>
                <w:color w:val="auto"/>
                <w:sz w:val="24"/>
                <w:highlight w:val="none"/>
              </w:rPr>
              <w:t>，</w:t>
            </w:r>
            <w:r>
              <w:rPr>
                <w:rFonts w:hint="eastAsia"/>
                <w:color w:val="auto"/>
                <w:sz w:val="24"/>
                <w:highlight w:val="none"/>
                <w:lang w:val="en-US" w:eastAsia="zh-CN"/>
              </w:rPr>
              <w:t>不新增占地。</w:t>
            </w:r>
            <w:r>
              <w:rPr>
                <w:rFonts w:hint="eastAsia"/>
                <w:color w:val="auto"/>
                <w:sz w:val="24"/>
                <w:highlight w:val="none"/>
              </w:rPr>
              <w:t>生产车间内部采用模块化设计，各功能区间布局合理，确保生产流程的高效与连续。整体布局科学，提升工作效率。总体布局满足生产工艺需求，布置合理可行。</w:t>
            </w:r>
          </w:p>
          <w:p w14:paraId="47EC23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0FAD05D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60F86E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4FC6A6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6AE73EF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2AC8048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2BBCE9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17415B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33DD9B2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3B51867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1E4DC8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0C9F2AF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16E4459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680D6A3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42237F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59037E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135B28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1113E20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12DEE0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260A752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eastAsia"/>
                <w:color w:val="auto"/>
                <w:sz w:val="24"/>
                <w:highlight w:val="none"/>
              </w:rPr>
            </w:pPr>
          </w:p>
          <w:p w14:paraId="5AAED9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p w14:paraId="6F020B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color w:val="auto"/>
                <w:sz w:val="24"/>
                <w:highlight w:val="none"/>
              </w:rPr>
            </w:pPr>
          </w:p>
        </w:tc>
      </w:tr>
      <w:tr w14:paraId="608D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Borders>
              <w:tl2br w:val="nil"/>
              <w:tr2bl w:val="nil"/>
            </w:tcBorders>
            <w:shd w:val="clear" w:color="auto" w:fill="auto"/>
            <w:vAlign w:val="center"/>
          </w:tcPr>
          <w:p w14:paraId="7DB8D375">
            <w:pPr>
              <w:pStyle w:val="25"/>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0"/>
                <w:sz w:val="24"/>
                <w:szCs w:val="24"/>
                <w:highlight w:val="none"/>
                <w:lang w:val="en-US" w:eastAsia="zh-CN" w:bidi="ar-SA"/>
              </w:rPr>
            </w:pPr>
            <w:r>
              <w:rPr>
                <w:rFonts w:ascii="Times New Roman" w:hAnsi="Times New Roman"/>
                <w:color w:val="auto"/>
                <w:szCs w:val="24"/>
                <w:highlight w:val="none"/>
              </w:rPr>
              <w:t>工艺流程和产排污环节</w:t>
            </w:r>
          </w:p>
        </w:tc>
        <w:tc>
          <w:tcPr>
            <w:tcW w:w="8063" w:type="dxa"/>
            <w:tcBorders>
              <w:tl2br w:val="nil"/>
              <w:tr2bl w:val="nil"/>
            </w:tcBorders>
            <w:shd w:val="clear" w:color="auto" w:fill="auto"/>
            <w:vAlign w:val="top"/>
          </w:tcPr>
          <w:p w14:paraId="66D4BB2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2" w:firstLineChars="200"/>
              <w:textAlignment w:val="auto"/>
              <w:rPr>
                <w:b/>
                <w:bCs/>
                <w:color w:val="auto"/>
                <w:sz w:val="24"/>
                <w:highlight w:val="none"/>
              </w:rPr>
            </w:pPr>
            <w:r>
              <w:rPr>
                <w:rFonts w:hint="eastAsia"/>
                <w:b/>
                <w:bCs/>
                <w:color w:val="auto"/>
                <w:sz w:val="24"/>
                <w:highlight w:val="none"/>
              </w:rPr>
              <w:t>1、施工期</w:t>
            </w:r>
          </w:p>
          <w:p w14:paraId="6C11C9A2">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rFonts w:hint="eastAsia"/>
                <w:color w:val="auto"/>
                <w:szCs w:val="21"/>
                <w:highlight w:val="none"/>
              </w:rPr>
            </w:pPr>
            <w:r>
              <w:rPr>
                <w:rFonts w:hint="eastAsia"/>
                <w:color w:val="auto"/>
                <w:sz w:val="24"/>
                <w:highlight w:val="none"/>
              </w:rPr>
              <w:t>本项目施工期主要是设备安装与调试，土建工程量较小，施工期工艺流程及主要环境影响如下。</w:t>
            </w:r>
          </w:p>
          <w:p w14:paraId="16A606CD">
            <w:pPr>
              <w:keepNext w:val="0"/>
              <w:keepLines w:val="0"/>
              <w:suppressLineNumbers w:val="0"/>
              <w:autoSpaceDE w:val="0"/>
              <w:autoSpaceDN w:val="0"/>
              <w:adjustRightInd w:val="0"/>
              <w:spacing w:before="0" w:beforeAutospacing="0" w:after="0" w:afterAutospacing="0" w:line="360" w:lineRule="exact"/>
              <w:ind w:left="0" w:right="0" w:firstLine="420" w:firstLineChars="200"/>
              <w:rPr>
                <w:rFonts w:hint="eastAsia"/>
                <w:color w:val="auto"/>
                <w:szCs w:val="21"/>
                <w:highlight w:val="none"/>
              </w:rPr>
            </w:pPr>
          </w:p>
          <w:p w14:paraId="1AF33AEE">
            <w:pPr>
              <w:keepNext w:val="0"/>
              <w:keepLines w:val="0"/>
              <w:suppressLineNumbers w:val="0"/>
              <w:autoSpaceDE w:val="0"/>
              <w:autoSpaceDN w:val="0"/>
              <w:adjustRightInd w:val="0"/>
              <w:spacing w:before="0" w:beforeAutospacing="0" w:after="0" w:afterAutospacing="0" w:line="360" w:lineRule="exact"/>
              <w:ind w:left="0" w:right="0" w:firstLine="420" w:firstLineChars="200"/>
              <w:rPr>
                <w:rFonts w:hint="eastAsia"/>
                <w:color w:val="auto"/>
                <w:szCs w:val="21"/>
                <w:highlight w:val="none"/>
              </w:rPr>
            </w:pPr>
            <w:r>
              <w:rPr>
                <w:color w:val="auto"/>
                <w:highlight w:val="none"/>
              </w:rPr>
              <mc:AlternateContent>
                <mc:Choice Requires="wpg">
                  <w:drawing>
                    <wp:anchor distT="0" distB="0" distL="114300" distR="114300" simplePos="0" relativeHeight="251674624" behindDoc="0" locked="0" layoutInCell="1" allowOverlap="1">
                      <wp:simplePos x="0" y="0"/>
                      <wp:positionH relativeFrom="column">
                        <wp:posOffset>2602865</wp:posOffset>
                      </wp:positionH>
                      <wp:positionV relativeFrom="paragraph">
                        <wp:posOffset>140335</wp:posOffset>
                      </wp:positionV>
                      <wp:extent cx="1313180" cy="483235"/>
                      <wp:effectExtent l="0" t="0" r="0" b="15240"/>
                      <wp:wrapNone/>
                      <wp:docPr id="22" name="组合 22"/>
                      <wp:cNvGraphicFramePr/>
                      <a:graphic xmlns:a="http://schemas.openxmlformats.org/drawingml/2006/main">
                        <a:graphicData uri="http://schemas.microsoft.com/office/word/2010/wordprocessingGroup">
                          <wpg:wgp>
                            <wpg:cNvGrpSpPr/>
                            <wpg:grpSpPr>
                              <a:xfrm>
                                <a:off x="0" y="0"/>
                                <a:ext cx="1313180" cy="483235"/>
                                <a:chOff x="7965" y="329279"/>
                                <a:chExt cx="2068" cy="761"/>
                              </a:xfrm>
                            </wpg:grpSpPr>
                            <wps:wsp>
                              <wps:cNvPr id="19" name="直接连接符 19"/>
                              <wps:cNvCnPr/>
                              <wps:spPr>
                                <a:xfrm flipV="1">
                                  <a:off x="8865" y="329594"/>
                                  <a:ext cx="1" cy="447"/>
                                </a:xfrm>
                                <a:prstGeom prst="line">
                                  <a:avLst/>
                                </a:prstGeom>
                                <a:ln w="9525" cap="flat" cmpd="sng">
                                  <a:solidFill>
                                    <a:schemeClr val="tx1"/>
                                  </a:solidFill>
                                  <a:prstDash val="dash"/>
                                  <a:headEnd type="none" w="med" len="med"/>
                                  <a:tailEnd type="triangle" w="med" len="med"/>
                                </a:ln>
                              </wps:spPr>
                              <wps:bodyPr upright="1"/>
                            </wps:wsp>
                            <wps:wsp>
                              <wps:cNvPr id="20" name="文本框 20"/>
                              <wps:cNvSpPr txBox="1"/>
                              <wps:spPr>
                                <a:xfrm>
                                  <a:off x="7965" y="329279"/>
                                  <a:ext cx="2069" cy="540"/>
                                </a:xfrm>
                                <a:prstGeom prst="rect">
                                  <a:avLst/>
                                </a:prstGeom>
                                <a:noFill/>
                                <a:ln>
                                  <a:noFill/>
                                </a:ln>
                              </wps:spPr>
                              <wps:txbx>
                                <w:txbxContent>
                                  <w:p w14:paraId="0E73F4E2">
                                    <w:r>
                                      <w:rPr>
                                        <w:rFonts w:hint="eastAsia"/>
                                      </w:rPr>
                                      <w:t>扬尘、噪声、固废</w:t>
                                    </w:r>
                                  </w:p>
                                </w:txbxContent>
                              </wps:txbx>
                              <wps:bodyPr upright="1"/>
                            </wps:wsp>
                          </wpg:wgp>
                        </a:graphicData>
                      </a:graphic>
                    </wp:anchor>
                  </w:drawing>
                </mc:Choice>
                <mc:Fallback>
                  <w:pict>
                    <v:group id="_x0000_s1026" o:spid="_x0000_s1026" o:spt="203" style="position:absolute;left:0pt;margin-left:204.95pt;margin-top:11.05pt;height:38.05pt;width:103.4pt;z-index:251674624;mso-width-relative:page;mso-height-relative:page;" coordorigin="7965,329279" coordsize="2068,761" o:gfxdata="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vxyyr9oAAAAJAQAADwAAAAAAAAABACAAAAAiAAAAZHJzL2Rvd25yZXYu&#10;eG1sUEsBAhQAFAAAAAgAh07iQOvqXR/dAgAAngYAAA4AAAAAAAAAAQAgAAAAKQEAAGRycy9lMm9E&#10;b2MueG1sUEsFBgAAAAAGAAYAWQEAAHgGAAAAAA==&#10;">
                      <o:lock v:ext="edit" aspectratio="f"/>
                      <v:line id="_x0000_s1026" o:spid="_x0000_s1026" o:spt="20" style="position:absolute;left:8865;top:329594;flip:y;height:447;width:1;" filled="f" stroked="t" coordsize="21600,21600" o:gfxdata="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35st7gAAADbAAAA&#10;DwAAAAAAAAABACAAAAAiAAAAZHJzL2Rvd25yZXYueG1sUEsBAhQAFAAAAAgAh07iQDMvBZ47AAAA&#10;OQAAABAAAAAAAAAAAQAgAAAABwEAAGRycy9zaGFwZXhtbC54bWxQSwUGAAAAAAYABgBbAQAAsQMA&#10;AAAA&#10;">
                        <v:fill on="f" focussize="0,0"/>
                        <v:stroke color="#000000 [3213]" joinstyle="round" dashstyle="dash" endarrow="block"/>
                        <v:imagedata o:title=""/>
                        <o:lock v:ext="edit" aspectratio="f"/>
                      </v:line>
                      <v:shape id="_x0000_s1026" o:spid="_x0000_s1026" o:spt="202" type="#_x0000_t202" style="position:absolute;left:7965;top:329279;height:540;width:2069;" filled="f" stroked="f" coordsize="21600,21600" o:gfxdata="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fTE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E73F4E2">
                              <w:r>
                                <w:rPr>
                                  <w:rFonts w:hint="eastAsia"/>
                                </w:rPr>
                                <w:t>扬尘、噪声、固废</w:t>
                              </w:r>
                            </w:p>
                          </w:txbxContent>
                        </v:textbox>
                      </v:shape>
                    </v:group>
                  </w:pict>
                </mc:Fallback>
              </mc:AlternateContent>
            </w:r>
            <w:r>
              <w:rPr>
                <w:color w:val="auto"/>
                <w:highlight w:val="none"/>
              </w:rPr>
              <mc:AlternateContent>
                <mc:Choice Requires="wps">
                  <w:drawing>
                    <wp:anchor distT="0" distB="0" distL="114300" distR="114300" simplePos="0" relativeHeight="251671552" behindDoc="0" locked="0" layoutInCell="1" allowOverlap="1">
                      <wp:simplePos x="0" y="0"/>
                      <wp:positionH relativeFrom="column">
                        <wp:posOffset>1469390</wp:posOffset>
                      </wp:positionH>
                      <wp:positionV relativeFrom="paragraph">
                        <wp:posOffset>111760</wp:posOffset>
                      </wp:positionV>
                      <wp:extent cx="962025" cy="3429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962025" cy="342900"/>
                              </a:xfrm>
                              <a:prstGeom prst="rect">
                                <a:avLst/>
                              </a:prstGeom>
                              <a:noFill/>
                              <a:ln>
                                <a:noFill/>
                              </a:ln>
                            </wps:spPr>
                            <wps:txbx>
                              <w:txbxContent>
                                <w:p w14:paraId="5A1CAF26">
                                  <w:r>
                                    <w:rPr>
                                      <w:rFonts w:hint="eastAsia"/>
                                    </w:rPr>
                                    <w:t>噪声、固废</w:t>
                                  </w:r>
                                </w:p>
                              </w:txbxContent>
                            </wps:txbx>
                            <wps:bodyPr upright="1"/>
                          </wps:wsp>
                        </a:graphicData>
                      </a:graphic>
                    </wp:anchor>
                  </w:drawing>
                </mc:Choice>
                <mc:Fallback>
                  <w:pict>
                    <v:shape id="_x0000_s1026" o:spid="_x0000_s1026" o:spt="202" type="#_x0000_t202" style="position:absolute;left:0pt;margin-left:115.7pt;margin-top:8.8pt;height:27pt;width:75.75pt;z-index:251671552;mso-width-relative:page;mso-height-relative:page;" filled="f" stroked="f" coordsize="21600,21600" o:gfxdata="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Tsv13X&#10;AAAACQEAAA8AAAAAAAAAAQAgAAAAIgAAAGRycy9kb3ducmV2LnhtbFBLAQIUABQAAAAIAIdO4kDc&#10;JEwwrwEAAE8DAAAOAAAAAAAAAAEAIAAAACYBAABkcnMvZTJvRG9jLnhtbFBLBQYAAAAABgAGAFkB&#10;AABHBQAAAAA=&#10;">
                      <v:fill on="f" focussize="0,0"/>
                      <v:stroke on="f"/>
                      <v:imagedata o:title=""/>
                      <o:lock v:ext="edit" aspectratio="f"/>
                      <v:textbox>
                        <w:txbxContent>
                          <w:p w14:paraId="5A1CAF26">
                            <w:r>
                              <w:rPr>
                                <w:rFonts w:hint="eastAsia"/>
                              </w:rPr>
                              <w:t>噪声、固废</w:t>
                            </w:r>
                          </w:p>
                        </w:txbxContent>
                      </v:textbox>
                    </v:shape>
                  </w:pict>
                </mc:Fallback>
              </mc:AlternateContent>
            </w:r>
            <w:r>
              <w:rPr>
                <w:color w:val="auto"/>
                <w:highlight w:val="none"/>
              </w:rPr>
              <mc:AlternateContent>
                <mc:Choice Requires="wpg">
                  <w:drawing>
                    <wp:anchor distT="0" distB="0" distL="114300" distR="114300" simplePos="0" relativeHeight="251673600" behindDoc="0" locked="0" layoutInCell="1" allowOverlap="1">
                      <wp:simplePos x="0" y="0"/>
                      <wp:positionH relativeFrom="column">
                        <wp:posOffset>-16510</wp:posOffset>
                      </wp:positionH>
                      <wp:positionV relativeFrom="paragraph">
                        <wp:posOffset>111760</wp:posOffset>
                      </wp:positionV>
                      <wp:extent cx="1313180" cy="483235"/>
                      <wp:effectExtent l="0" t="0" r="0" b="15240"/>
                      <wp:wrapNone/>
                      <wp:docPr id="33" name="组合 33"/>
                      <wp:cNvGraphicFramePr/>
                      <a:graphic xmlns:a="http://schemas.openxmlformats.org/drawingml/2006/main">
                        <a:graphicData uri="http://schemas.microsoft.com/office/word/2010/wordprocessingGroup">
                          <wpg:wgp>
                            <wpg:cNvGrpSpPr/>
                            <wpg:grpSpPr>
                              <a:xfrm>
                                <a:off x="0" y="0"/>
                                <a:ext cx="1313180" cy="483235"/>
                                <a:chOff x="7965" y="329279"/>
                                <a:chExt cx="2068" cy="761"/>
                              </a:xfrm>
                            </wpg:grpSpPr>
                            <wps:wsp>
                              <wps:cNvPr id="24" name="直接连接符 24"/>
                              <wps:cNvCnPr/>
                              <wps:spPr>
                                <a:xfrm flipV="1">
                                  <a:off x="8865" y="329594"/>
                                  <a:ext cx="1" cy="447"/>
                                </a:xfrm>
                                <a:prstGeom prst="line">
                                  <a:avLst/>
                                </a:prstGeom>
                                <a:ln w="9525" cap="flat" cmpd="sng">
                                  <a:solidFill>
                                    <a:schemeClr val="tx1"/>
                                  </a:solidFill>
                                  <a:prstDash val="dash"/>
                                  <a:headEnd type="none" w="med" len="med"/>
                                  <a:tailEnd type="triangle" w="med" len="med"/>
                                </a:ln>
                              </wps:spPr>
                              <wps:bodyPr upright="1"/>
                            </wps:wsp>
                            <wps:wsp>
                              <wps:cNvPr id="31" name="文本框 31"/>
                              <wps:cNvSpPr txBox="1"/>
                              <wps:spPr>
                                <a:xfrm>
                                  <a:off x="7965" y="329279"/>
                                  <a:ext cx="2069" cy="540"/>
                                </a:xfrm>
                                <a:prstGeom prst="rect">
                                  <a:avLst/>
                                </a:prstGeom>
                                <a:noFill/>
                                <a:ln>
                                  <a:noFill/>
                                </a:ln>
                              </wps:spPr>
                              <wps:txbx>
                                <w:txbxContent>
                                  <w:p w14:paraId="36837B13">
                                    <w:r>
                                      <w:rPr>
                                        <w:rFonts w:hint="eastAsia"/>
                                      </w:rPr>
                                      <w:t>扬尘、噪声、固废</w:t>
                                    </w:r>
                                  </w:p>
                                </w:txbxContent>
                              </wps:txbx>
                              <wps:bodyPr upright="1"/>
                            </wps:wsp>
                          </wpg:wgp>
                        </a:graphicData>
                      </a:graphic>
                    </wp:anchor>
                  </w:drawing>
                </mc:Choice>
                <mc:Fallback>
                  <w:pict>
                    <v:group id="_x0000_s1026" o:spid="_x0000_s1026" o:spt="203" style="position:absolute;left:0pt;margin-left:-1.3pt;margin-top:8.8pt;height:38.05pt;width:103.4pt;z-index:251673600;mso-width-relative:page;mso-height-relative:page;" coordorigin="7965,329279" coordsize="2068,761" o:gfxdata="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O+xDRjZAAAACAEAAA8AAAAAAAAAAQAgAAAAIgAAAGRycy9kb3ducmV2Lnht&#10;bFBLAQIUABQAAAAIAIdO4kBwdSPZ3AIAAJ4GAAAOAAAAAAAAAAEAIAAAACgBAABkcnMvZTJvRG9j&#10;LnhtbFBLBQYAAAAABgAGAFkBAAB2BgAAAAA=&#10;">
                      <o:lock v:ext="edit" aspectratio="f"/>
                      <v:line id="_x0000_s1026" o:spid="_x0000_s1026" o:spt="20" style="position:absolute;left:8865;top:329594;flip:y;height:447;width:1;" filled="f" stroked="t" coordsize="21600,21600" o:gfxdata="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EwmUtwAAANsAAAAP&#10;AAAAAAAAAAEAIAAAACIAAABkcnMvZG93bnJldi54bWxQSwECFAAUAAAACACHTuJAMy8FnjsAAAA5&#10;AAAAEAAAAAAAAAABACAAAAAGAQAAZHJzL3NoYXBleG1sLnhtbFBLBQYAAAAABgAGAFsBAACwAwAA&#10;AAA=&#10;">
                        <v:fill on="f" focussize="0,0"/>
                        <v:stroke color="#000000 [3213]" joinstyle="round" dashstyle="dash" endarrow="block"/>
                        <v:imagedata o:title=""/>
                        <o:lock v:ext="edit" aspectratio="f"/>
                      </v:line>
                      <v:shape id="_x0000_s1026" o:spid="_x0000_s1026" o:spt="202" type="#_x0000_t202" style="position:absolute;left:7965;top:329279;height:540;width:2069;"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6837B13">
                              <w:r>
                                <w:rPr>
                                  <w:rFonts w:hint="eastAsia"/>
                                </w:rPr>
                                <w:t>扬尘、噪声、固废</w:t>
                              </w:r>
                            </w:p>
                          </w:txbxContent>
                        </v:textbox>
                      </v:shape>
                    </v:group>
                  </w:pict>
                </mc:Fallback>
              </mc:AlternateContent>
            </w:r>
          </w:p>
          <w:p w14:paraId="7BCD332C">
            <w:pPr>
              <w:keepNext w:val="0"/>
              <w:keepLines w:val="0"/>
              <w:suppressLineNumbers w:val="0"/>
              <w:autoSpaceDE w:val="0"/>
              <w:autoSpaceDN w:val="0"/>
              <w:adjustRightInd w:val="0"/>
              <w:spacing w:before="0" w:beforeAutospacing="0" w:after="0" w:afterAutospacing="0" w:line="360" w:lineRule="exact"/>
              <w:ind w:left="0" w:right="0" w:firstLine="420" w:firstLineChars="200"/>
              <w:rPr>
                <w:rFonts w:hint="eastAsia"/>
                <w:color w:val="auto"/>
                <w:szCs w:val="21"/>
                <w:highlight w:val="none"/>
              </w:rPr>
            </w:pPr>
            <w:r>
              <w:rPr>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1888490</wp:posOffset>
                      </wp:positionH>
                      <wp:positionV relativeFrom="paragraph">
                        <wp:posOffset>102235</wp:posOffset>
                      </wp:positionV>
                      <wp:extent cx="635" cy="283845"/>
                      <wp:effectExtent l="37465" t="0" r="38100" b="1905"/>
                      <wp:wrapNone/>
                      <wp:docPr id="57" name="直接连接符 57"/>
                      <wp:cNvGraphicFramePr/>
                      <a:graphic xmlns:a="http://schemas.openxmlformats.org/drawingml/2006/main">
                        <a:graphicData uri="http://schemas.microsoft.com/office/word/2010/wordprocessingShape">
                          <wps:wsp>
                            <wps:cNvCnPr/>
                            <wps:spPr>
                              <a:xfrm flipV="1">
                                <a:off x="0" y="0"/>
                                <a:ext cx="635" cy="283845"/>
                              </a:xfrm>
                              <a:prstGeom prst="line">
                                <a:avLst/>
                              </a:prstGeom>
                              <a:ln w="9525" cap="flat" cmpd="sng">
                                <a:solidFill>
                                  <a:schemeClr val="tx1"/>
                                </a:solidFill>
                                <a:prstDash val="dash"/>
                                <a:headEnd type="none" w="med" len="med"/>
                                <a:tailEnd type="triangle" w="med" len="med"/>
                              </a:ln>
                            </wps:spPr>
                            <wps:bodyPr upright="1"/>
                          </wps:wsp>
                        </a:graphicData>
                      </a:graphic>
                    </wp:anchor>
                  </w:drawing>
                </mc:Choice>
                <mc:Fallback>
                  <w:pict>
                    <v:line id="_x0000_s1026" o:spid="_x0000_s1026" o:spt="20" style="position:absolute;left:0pt;flip:y;margin-left:148.7pt;margin-top:8.05pt;height:22.35pt;width:0.05pt;z-index:251672576;mso-width-relative:page;mso-height-relative:page;" filled="f" stroked="t" coordsize="21600,21600" o:gfxdata="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xfeftYAAAAJAQAADwAAAAAAAAABACAAAAAiAAAAZHJz&#10;L2Rvd25yZXYueG1sUEsBAhQAFAAAAAgAh07iQFRdFHEGAgAA9AMAAA4AAAAAAAAAAQAgAAAAJQEA&#10;AGRycy9lMm9Eb2MueG1sUEsFBgAAAAAGAAYAWQEAAJ0FAAAAAA==&#10;">
                      <v:fill on="f" focussize="0,0"/>
                      <v:stroke color="#000000 [3213]" joinstyle="round" dashstyle="dash" endarrow="block"/>
                      <v:imagedata o:title=""/>
                      <o:lock v:ext="edit" aspectratio="f"/>
                    </v:line>
                  </w:pict>
                </mc:Fallback>
              </mc:AlternateContent>
            </w:r>
          </w:p>
          <w:p w14:paraId="348017BB">
            <w:pPr>
              <w:keepNext w:val="0"/>
              <w:keepLines w:val="0"/>
              <w:suppressLineNumbers w:val="0"/>
              <w:autoSpaceDE w:val="0"/>
              <w:autoSpaceDN w:val="0"/>
              <w:adjustRightInd w:val="0"/>
              <w:spacing w:before="0" w:beforeAutospacing="0" w:after="0" w:afterAutospacing="0" w:line="360" w:lineRule="exact"/>
              <w:ind w:left="0" w:right="0" w:firstLine="420" w:firstLineChars="200"/>
              <w:rPr>
                <w:rFonts w:hint="eastAsia"/>
                <w:color w:val="auto"/>
                <w:szCs w:val="21"/>
                <w:highlight w:val="none"/>
              </w:rPr>
            </w:pPr>
            <w:r>
              <w:rPr>
                <w:color w:val="auto"/>
                <w:highlight w:val="none"/>
              </w:rPr>
              <mc:AlternateContent>
                <mc:Choice Requires="wpg">
                  <w:drawing>
                    <wp:anchor distT="0" distB="0" distL="114300" distR="114300" simplePos="0" relativeHeight="251670528" behindDoc="0" locked="0" layoutInCell="1" allowOverlap="1">
                      <wp:simplePos x="0" y="0"/>
                      <wp:positionH relativeFrom="column">
                        <wp:posOffset>126365</wp:posOffset>
                      </wp:positionH>
                      <wp:positionV relativeFrom="paragraph">
                        <wp:posOffset>141605</wp:posOffset>
                      </wp:positionV>
                      <wp:extent cx="4620260" cy="351790"/>
                      <wp:effectExtent l="4445" t="4445" r="23495" b="5715"/>
                      <wp:wrapNone/>
                      <wp:docPr id="55" name="组合 55"/>
                      <wp:cNvGraphicFramePr/>
                      <a:graphic xmlns:a="http://schemas.openxmlformats.org/drawingml/2006/main">
                        <a:graphicData uri="http://schemas.microsoft.com/office/word/2010/wordprocessingGroup">
                          <wpg:wgp>
                            <wpg:cNvGrpSpPr/>
                            <wpg:grpSpPr>
                              <a:xfrm>
                                <a:off x="0" y="0"/>
                                <a:ext cx="4620260" cy="351790"/>
                                <a:chOff x="8340" y="329236"/>
                                <a:chExt cx="7276" cy="554"/>
                              </a:xfrm>
                            </wpg:grpSpPr>
                            <wps:wsp>
                              <wps:cNvPr id="47" name="文本框 47"/>
                              <wps:cNvSpPr txBox="1"/>
                              <wps:spPr>
                                <a:xfrm>
                                  <a:off x="8340" y="329236"/>
                                  <a:ext cx="1306" cy="495"/>
                                </a:xfrm>
                                <a:prstGeom prst="rect">
                                  <a:avLst/>
                                </a:prstGeom>
                                <a:noFill/>
                                <a:ln w="9525" cap="flat" cmpd="sng">
                                  <a:solidFill>
                                    <a:srgbClr val="000000"/>
                                  </a:solidFill>
                                  <a:prstDash val="solid"/>
                                  <a:miter/>
                                  <a:headEnd type="none" w="med" len="med"/>
                                  <a:tailEnd type="none" w="med" len="med"/>
                                </a:ln>
                              </wps:spPr>
                              <wps:txbx>
                                <w:txbxContent>
                                  <w:p w14:paraId="085F5CDD">
                                    <w:pPr>
                                      <w:jc w:val="center"/>
                                    </w:pPr>
                                    <w:r>
                                      <w:rPr>
                                        <w:rFonts w:hint="eastAsia"/>
                                      </w:rPr>
                                      <w:t>场地清理</w:t>
                                    </w:r>
                                  </w:p>
                                </w:txbxContent>
                              </wps:txbx>
                              <wps:bodyPr upright="1"/>
                            </wps:wsp>
                            <wps:wsp>
                              <wps:cNvPr id="49" name="直接连接符 49"/>
                              <wps:cNvCnPr/>
                              <wps:spPr>
                                <a:xfrm>
                                  <a:off x="9645" y="329491"/>
                                  <a:ext cx="495" cy="1"/>
                                </a:xfrm>
                                <a:prstGeom prst="line">
                                  <a:avLst/>
                                </a:prstGeom>
                                <a:ln w="9525" cap="flat" cmpd="sng">
                                  <a:solidFill>
                                    <a:srgbClr val="000000"/>
                                  </a:solidFill>
                                  <a:prstDash val="solid"/>
                                  <a:headEnd type="none" w="med" len="med"/>
                                  <a:tailEnd type="triangle" w="med" len="med"/>
                                </a:ln>
                              </wps:spPr>
                              <wps:bodyPr upright="1"/>
                            </wps:wsp>
                            <wps:wsp>
                              <wps:cNvPr id="50" name="文本框 50"/>
                              <wps:cNvSpPr txBox="1"/>
                              <wps:spPr>
                                <a:xfrm>
                                  <a:off x="10140" y="329266"/>
                                  <a:ext cx="1845" cy="495"/>
                                </a:xfrm>
                                <a:prstGeom prst="rect">
                                  <a:avLst/>
                                </a:prstGeom>
                                <a:noFill/>
                                <a:ln w="9525" cap="flat" cmpd="sng">
                                  <a:solidFill>
                                    <a:srgbClr val="000000"/>
                                  </a:solidFill>
                                  <a:prstDash val="solid"/>
                                  <a:miter/>
                                  <a:headEnd type="none" w="med" len="med"/>
                                  <a:tailEnd type="none" w="med" len="med"/>
                                </a:ln>
                              </wps:spPr>
                              <wps:txbx>
                                <w:txbxContent>
                                  <w:p w14:paraId="36A69C07">
                                    <w:pPr>
                                      <w:jc w:val="center"/>
                                    </w:pPr>
                                    <w:r>
                                      <w:rPr>
                                        <w:rFonts w:hint="eastAsia"/>
                                      </w:rPr>
                                      <w:t>设备安装与调试</w:t>
                                    </w:r>
                                  </w:p>
                                </w:txbxContent>
                              </wps:txbx>
                              <wps:bodyPr upright="1"/>
                            </wps:wsp>
                            <wps:wsp>
                              <wps:cNvPr id="51" name="直接连接符 51"/>
                              <wps:cNvCnPr/>
                              <wps:spPr>
                                <a:xfrm>
                                  <a:off x="12000" y="329536"/>
                                  <a:ext cx="495" cy="1"/>
                                </a:xfrm>
                                <a:prstGeom prst="line">
                                  <a:avLst/>
                                </a:prstGeom>
                                <a:ln w="9525" cap="flat" cmpd="sng">
                                  <a:solidFill>
                                    <a:srgbClr val="000000"/>
                                  </a:solidFill>
                                  <a:prstDash val="solid"/>
                                  <a:headEnd type="none" w="med" len="med"/>
                                  <a:tailEnd type="triangle" w="med" len="med"/>
                                </a:ln>
                              </wps:spPr>
                              <wps:bodyPr upright="1"/>
                            </wps:wsp>
                            <wps:wsp>
                              <wps:cNvPr id="52" name="文本框 52"/>
                              <wps:cNvSpPr txBox="1"/>
                              <wps:spPr>
                                <a:xfrm>
                                  <a:off x="12495" y="329296"/>
                                  <a:ext cx="1306" cy="495"/>
                                </a:xfrm>
                                <a:prstGeom prst="rect">
                                  <a:avLst/>
                                </a:prstGeom>
                                <a:noFill/>
                                <a:ln w="9525" cap="flat" cmpd="sng">
                                  <a:solidFill>
                                    <a:srgbClr val="000000"/>
                                  </a:solidFill>
                                  <a:prstDash val="solid"/>
                                  <a:miter/>
                                  <a:headEnd type="none" w="med" len="med"/>
                                  <a:tailEnd type="none" w="med" len="med"/>
                                </a:ln>
                              </wps:spPr>
                              <wps:txbx>
                                <w:txbxContent>
                                  <w:p w14:paraId="088A2FB3">
                                    <w:pPr>
                                      <w:jc w:val="center"/>
                                    </w:pPr>
                                    <w:r>
                                      <w:rPr>
                                        <w:rFonts w:hint="eastAsia"/>
                                      </w:rPr>
                                      <w:t>扫尾工程</w:t>
                                    </w:r>
                                  </w:p>
                                </w:txbxContent>
                              </wps:txbx>
                              <wps:bodyPr upright="1"/>
                            </wps:wsp>
                            <wps:wsp>
                              <wps:cNvPr id="53" name="直接连接符 53"/>
                              <wps:cNvCnPr/>
                              <wps:spPr>
                                <a:xfrm>
                                  <a:off x="13815" y="329566"/>
                                  <a:ext cx="495" cy="1"/>
                                </a:xfrm>
                                <a:prstGeom prst="line">
                                  <a:avLst/>
                                </a:prstGeom>
                                <a:ln w="9525" cap="flat" cmpd="sng">
                                  <a:solidFill>
                                    <a:srgbClr val="000000"/>
                                  </a:solidFill>
                                  <a:prstDash val="solid"/>
                                  <a:headEnd type="none" w="med" len="med"/>
                                  <a:tailEnd type="triangle" w="med" len="med"/>
                                </a:ln>
                              </wps:spPr>
                              <wps:bodyPr upright="1"/>
                            </wps:wsp>
                            <wps:wsp>
                              <wps:cNvPr id="54" name="文本框 54"/>
                              <wps:cNvSpPr txBox="1"/>
                              <wps:spPr>
                                <a:xfrm>
                                  <a:off x="14310" y="329281"/>
                                  <a:ext cx="1306" cy="495"/>
                                </a:xfrm>
                                <a:prstGeom prst="rect">
                                  <a:avLst/>
                                </a:prstGeom>
                                <a:noFill/>
                                <a:ln w="9525" cap="flat" cmpd="sng">
                                  <a:solidFill>
                                    <a:srgbClr val="000000"/>
                                  </a:solidFill>
                                  <a:prstDash val="solid"/>
                                  <a:miter/>
                                  <a:headEnd type="none" w="med" len="med"/>
                                  <a:tailEnd type="none" w="med" len="med"/>
                                </a:ln>
                              </wps:spPr>
                              <wps:txbx>
                                <w:txbxContent>
                                  <w:p w14:paraId="72B993BB">
                                    <w:pPr>
                                      <w:jc w:val="center"/>
                                    </w:pPr>
                                    <w:r>
                                      <w:rPr>
                                        <w:rFonts w:hint="eastAsia"/>
                                      </w:rPr>
                                      <w:t>交付使用</w:t>
                                    </w:r>
                                  </w:p>
                                </w:txbxContent>
                              </wps:txbx>
                              <wps:bodyPr upright="1"/>
                            </wps:wsp>
                          </wpg:wgp>
                        </a:graphicData>
                      </a:graphic>
                    </wp:anchor>
                  </w:drawing>
                </mc:Choice>
                <mc:Fallback>
                  <w:pict>
                    <v:group id="_x0000_s1026" o:spid="_x0000_s1026" o:spt="203" style="position:absolute;left:0pt;margin-left:9.95pt;margin-top:11.15pt;height:27.7pt;width:363.8pt;z-index:251670528;mso-width-relative:page;mso-height-relative:page;" coordorigin="8340,329236" coordsize="7276,554" o:gfxdata="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9YyjQ9gAAAAIAQAADwAAAAAAAAABACAAAAAi&#10;AAAAZHJzL2Rvd25yZXYueG1sUEsBAhQAFAAAAAgAh07iQDTGU3KZAwAAEhIAAA4AAAAAAAAAAQAg&#10;AAAAJwEAAGRycy9lMm9Eb2MueG1sUEsFBgAAAAAGAAYAWQEAADIHAAAAAA==&#10;">
                      <o:lock v:ext="edit" aspectratio="f"/>
                      <v:shape id="_x0000_s1026" o:spid="_x0000_s1026" o:spt="202" type="#_x0000_t202" style="position:absolute;left:8340;top:329236;height:495;width:1306;" filled="f" stroked="t" coordsize="21600,21600" o:gfxdata="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2Rpc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085F5CDD">
                              <w:pPr>
                                <w:jc w:val="center"/>
                              </w:pPr>
                              <w:r>
                                <w:rPr>
                                  <w:rFonts w:hint="eastAsia"/>
                                </w:rPr>
                                <w:t>场地清理</w:t>
                              </w:r>
                            </w:p>
                          </w:txbxContent>
                        </v:textbox>
                      </v:shape>
                      <v:line id="_x0000_s1026" o:spid="_x0000_s1026" o:spt="20" style="position:absolute;left:9645;top:329491;height:1;width:495;" filled="f" stroked="t" coordsize="21600,21600" o:gfxdata="UEsDBAoAAAAAAIdO4kAAAAAAAAAAAAAAAAAEAAAAZHJzL1BLAwQUAAAACACHTuJA6yB6K78AAADb&#10;AAAADwAAAGRycy9kb3ducmV2LnhtbEWPT2vCQBTE7wW/w/KE3uomUkq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gei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10140;top:329266;height:495;width:1845;" filled="f" stroked="t" coordsize="21600,21600" o:gfxdata="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kU9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36A69C07">
                              <w:pPr>
                                <w:jc w:val="center"/>
                              </w:pPr>
                              <w:r>
                                <w:rPr>
                                  <w:rFonts w:hint="eastAsia"/>
                                </w:rPr>
                                <w:t>设备安装与调试</w:t>
                              </w:r>
                            </w:p>
                          </w:txbxContent>
                        </v:textbox>
                      </v:shape>
                      <v:line id="_x0000_s1026" o:spid="_x0000_s1026" o:spt="20" style="position:absolute;left:12000;top:329536;height:1;width:495;" filled="f" stroked="t" coordsize="21600,21600" o:gfxdata="UEsDBAoAAAAAAIdO4kAAAAAAAAAAAAAAAAAEAAAAZHJzL1BLAwQUAAAACACHTuJAkI/g8L4AAADb&#10;AAAADwAAAGRycy9kb3ducmV2LnhtbEWPQWvCQBSE7wX/w/IEb3UTw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g8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_x0000_s1026" o:spid="_x0000_s1026" o:spt="202" type="#_x0000_t202" style="position:absolute;left:12495;top:329296;height:495;width:1306;" filled="f" stroked="t" coordsize="21600,21600" o:gfxdata="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ncvG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088A2FB3">
                              <w:pPr>
                                <w:jc w:val="center"/>
                              </w:pPr>
                              <w:r>
                                <w:rPr>
                                  <w:rFonts w:hint="eastAsia"/>
                                </w:rPr>
                                <w:t>扫尾工程</w:t>
                              </w:r>
                            </w:p>
                          </w:txbxContent>
                        </v:textbox>
                      </v:shape>
                      <v:line id="_x0000_s1026" o:spid="_x0000_s1026" o:spt="20" style="position:absolute;left:13815;top:329566;height:1;width:495;"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14310;top:329281;height:495;width:1306;" filled="f" stroked="t" coordsize="21600,21600" o:gfxdata="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tIS9r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72B993BB">
                              <w:pPr>
                                <w:jc w:val="center"/>
                              </w:pPr>
                              <w:r>
                                <w:rPr>
                                  <w:rFonts w:hint="eastAsia"/>
                                </w:rPr>
                                <w:t>交付使用</w:t>
                              </w:r>
                            </w:p>
                          </w:txbxContent>
                        </v:textbox>
                      </v:shape>
                    </v:group>
                  </w:pict>
                </mc:Fallback>
              </mc:AlternateContent>
            </w:r>
          </w:p>
          <w:p w14:paraId="15C5E4B0">
            <w:pPr>
              <w:keepNext w:val="0"/>
              <w:keepLines w:val="0"/>
              <w:suppressLineNumbers w:val="0"/>
              <w:spacing w:before="0" w:beforeAutospacing="0" w:after="0" w:afterAutospacing="0"/>
              <w:ind w:left="0" w:right="0"/>
              <w:jc w:val="center"/>
              <w:rPr>
                <w:b/>
                <w:bCs/>
                <w:color w:val="auto"/>
                <w:highlight w:val="none"/>
              </w:rPr>
            </w:pPr>
          </w:p>
          <w:p w14:paraId="479D95A4">
            <w:pPr>
              <w:keepNext w:val="0"/>
              <w:keepLines w:val="0"/>
              <w:suppressLineNumbers w:val="0"/>
              <w:spacing w:before="0" w:beforeAutospacing="0" w:after="0" w:afterAutospacing="0"/>
              <w:ind w:left="0" w:right="0"/>
              <w:jc w:val="center"/>
              <w:rPr>
                <w:b/>
                <w:bCs/>
                <w:color w:val="auto"/>
                <w:highlight w:val="none"/>
              </w:rPr>
            </w:pPr>
          </w:p>
          <w:p w14:paraId="2202293F">
            <w:pPr>
              <w:keepNext w:val="0"/>
              <w:keepLines w:val="0"/>
              <w:suppressLineNumbers w:val="0"/>
              <w:spacing w:before="0" w:beforeAutospacing="0" w:after="0" w:afterAutospacing="0"/>
              <w:ind w:left="0" w:right="0"/>
              <w:jc w:val="center"/>
              <w:rPr>
                <w:b/>
                <w:bCs/>
                <w:color w:val="auto"/>
                <w:highlight w:val="none"/>
              </w:rPr>
            </w:pPr>
          </w:p>
          <w:p w14:paraId="6C2D4433">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jc w:val="center"/>
              <w:textAlignment w:val="auto"/>
              <w:rPr>
                <w:rFonts w:hint="eastAsia"/>
                <w:b/>
                <w:color w:val="auto"/>
                <w:sz w:val="24"/>
                <w:highlight w:val="none"/>
              </w:rPr>
            </w:pPr>
            <w:r>
              <w:rPr>
                <w:rFonts w:hint="eastAsia"/>
                <w:b/>
                <w:color w:val="auto"/>
                <w:sz w:val="24"/>
                <w:highlight w:val="none"/>
              </w:rPr>
              <w:t>图</w:t>
            </w:r>
            <w:r>
              <w:rPr>
                <w:rFonts w:hint="eastAsia"/>
                <w:b/>
                <w:color w:val="auto"/>
                <w:sz w:val="24"/>
                <w:highlight w:val="none"/>
                <w:lang w:val="en-US" w:eastAsia="zh-CN"/>
              </w:rPr>
              <w:t xml:space="preserve">6  </w:t>
            </w:r>
            <w:r>
              <w:rPr>
                <w:rFonts w:hint="eastAsia"/>
                <w:b/>
                <w:color w:val="auto"/>
                <w:sz w:val="24"/>
                <w:highlight w:val="none"/>
              </w:rPr>
              <w:t>施工期工艺流程及产污节点图</w:t>
            </w:r>
          </w:p>
          <w:p w14:paraId="3448BC8B">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color w:val="auto"/>
                <w:sz w:val="24"/>
                <w:highlight w:val="none"/>
              </w:rPr>
            </w:pPr>
            <w:r>
              <w:rPr>
                <w:color w:val="auto"/>
                <w:sz w:val="24"/>
                <w:highlight w:val="none"/>
              </w:rPr>
              <w:t>施工期产排污环节：</w:t>
            </w:r>
          </w:p>
          <w:p w14:paraId="3F09B4C6">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color w:val="auto"/>
                <w:sz w:val="24"/>
                <w:highlight w:val="none"/>
              </w:rPr>
            </w:pPr>
            <w:r>
              <w:rPr>
                <w:color w:val="auto"/>
                <w:sz w:val="24"/>
                <w:highlight w:val="none"/>
              </w:rPr>
              <w:t>（1）大气污染</w:t>
            </w:r>
          </w:p>
          <w:p w14:paraId="280C01CA">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bCs/>
                <w:color w:val="auto"/>
                <w:sz w:val="24"/>
                <w:highlight w:val="none"/>
              </w:rPr>
            </w:pPr>
            <w:r>
              <w:rPr>
                <w:color w:val="auto"/>
                <w:sz w:val="24"/>
                <w:highlight w:val="none"/>
              </w:rPr>
              <w:t>扬尘：</w:t>
            </w:r>
            <w:r>
              <w:rPr>
                <w:bCs/>
                <w:color w:val="auto"/>
                <w:sz w:val="24"/>
                <w:highlight w:val="none"/>
              </w:rPr>
              <w:t>施工期地基土方的挖、填过程将会有扬尘产生；建筑材料的堆存、使用过程会产生一定的粉尘；运输设备的车辆行驶也会产生扬尘。</w:t>
            </w:r>
          </w:p>
          <w:p w14:paraId="647223BF">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b/>
                <w:bCs/>
                <w:color w:val="auto"/>
                <w:sz w:val="24"/>
                <w:highlight w:val="none"/>
              </w:rPr>
            </w:pPr>
            <w:r>
              <w:rPr>
                <w:color w:val="auto"/>
                <w:sz w:val="24"/>
                <w:highlight w:val="none"/>
              </w:rPr>
              <w:t>汽车尾气：</w:t>
            </w:r>
            <w:r>
              <w:rPr>
                <w:bCs/>
                <w:color w:val="auto"/>
                <w:sz w:val="24"/>
                <w:highlight w:val="none"/>
              </w:rPr>
              <w:t>施工机械、运输车辆将产生汽车尾气，主要污染物为NO</w:t>
            </w:r>
            <w:r>
              <w:rPr>
                <w:rFonts w:hint="eastAsia"/>
                <w:bCs/>
                <w:color w:val="auto"/>
                <w:sz w:val="24"/>
                <w:highlight w:val="none"/>
                <w:vertAlign w:val="subscript"/>
              </w:rPr>
              <w:t>x</w:t>
            </w:r>
            <w:r>
              <w:rPr>
                <w:bCs/>
                <w:color w:val="auto"/>
                <w:sz w:val="24"/>
                <w:highlight w:val="none"/>
              </w:rPr>
              <w:t>、CO、T</w:t>
            </w:r>
            <w:r>
              <w:rPr>
                <w:rFonts w:hint="eastAsia"/>
                <w:bCs/>
                <w:color w:val="auto"/>
                <w:sz w:val="24"/>
                <w:highlight w:val="none"/>
              </w:rPr>
              <w:t>MH</w:t>
            </w:r>
            <w:r>
              <w:rPr>
                <w:bCs/>
                <w:color w:val="auto"/>
                <w:sz w:val="24"/>
                <w:highlight w:val="none"/>
              </w:rPr>
              <w:t>C等。</w:t>
            </w:r>
          </w:p>
          <w:p w14:paraId="7081F6B5">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color w:val="auto"/>
                <w:sz w:val="24"/>
                <w:highlight w:val="none"/>
              </w:rPr>
            </w:pPr>
            <w:r>
              <w:rPr>
                <w:color w:val="auto"/>
                <w:sz w:val="24"/>
                <w:highlight w:val="none"/>
              </w:rPr>
              <w:t>（2）废水污染</w:t>
            </w:r>
          </w:p>
          <w:p w14:paraId="6F39F8BA">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bCs/>
                <w:color w:val="auto"/>
                <w:sz w:val="24"/>
                <w:highlight w:val="none"/>
              </w:rPr>
            </w:pPr>
            <w:r>
              <w:rPr>
                <w:bCs/>
                <w:color w:val="auto"/>
                <w:sz w:val="24"/>
                <w:highlight w:val="none"/>
              </w:rPr>
              <w:t>施工废水主要来自于混凝土养护水及施工人员少量的生活污水，排放的污染物主要为COD和SS。</w:t>
            </w:r>
          </w:p>
          <w:p w14:paraId="3C64E1E2">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color w:val="auto"/>
                <w:sz w:val="24"/>
                <w:highlight w:val="none"/>
              </w:rPr>
            </w:pPr>
            <w:r>
              <w:rPr>
                <w:color w:val="auto"/>
                <w:sz w:val="24"/>
                <w:highlight w:val="none"/>
              </w:rPr>
              <w:t>（3）噪声污染</w:t>
            </w:r>
          </w:p>
          <w:p w14:paraId="234B8AFC">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bCs/>
                <w:color w:val="auto"/>
                <w:sz w:val="24"/>
                <w:highlight w:val="none"/>
              </w:rPr>
            </w:pPr>
            <w:r>
              <w:rPr>
                <w:color w:val="auto"/>
                <w:sz w:val="24"/>
                <w:highlight w:val="none"/>
              </w:rPr>
              <w:t>施工期噪声污染工序包括各种设备搬运入厂及设备安装过程产生的噪声。</w:t>
            </w:r>
            <w:r>
              <w:rPr>
                <w:bCs/>
                <w:color w:val="auto"/>
                <w:sz w:val="24"/>
                <w:highlight w:val="none"/>
              </w:rPr>
              <w:t>运输车辆也将产生一定的交通噪声。</w:t>
            </w:r>
          </w:p>
          <w:p w14:paraId="18CB6935">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80" w:firstLineChars="200"/>
              <w:textAlignment w:val="auto"/>
              <w:rPr>
                <w:color w:val="auto"/>
                <w:sz w:val="24"/>
                <w:highlight w:val="none"/>
              </w:rPr>
            </w:pPr>
            <w:r>
              <w:rPr>
                <w:color w:val="auto"/>
                <w:sz w:val="24"/>
                <w:highlight w:val="none"/>
              </w:rPr>
              <w:t>（4）固体废物污染</w:t>
            </w:r>
          </w:p>
          <w:p w14:paraId="2FC6DA7E">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bCs/>
                <w:color w:val="auto"/>
                <w:sz w:val="24"/>
                <w:highlight w:val="none"/>
              </w:rPr>
            </w:pPr>
            <w:r>
              <w:rPr>
                <w:bCs/>
                <w:color w:val="auto"/>
                <w:sz w:val="24"/>
                <w:highlight w:val="none"/>
              </w:rPr>
              <w:t>施工期间需要挖土，运输弃土、各种建筑材料（如砂石、水泥等），工程完工后，会残留部分建筑垃圾。</w:t>
            </w:r>
          </w:p>
          <w:p w14:paraId="2D471355">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bCs/>
                <w:color w:val="auto"/>
                <w:sz w:val="24"/>
                <w:highlight w:val="none"/>
              </w:rPr>
            </w:pPr>
          </w:p>
          <w:p w14:paraId="0B2CADDB">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bCs/>
                <w:color w:val="auto"/>
                <w:sz w:val="24"/>
                <w:highlight w:val="none"/>
              </w:rPr>
            </w:pPr>
          </w:p>
          <w:p w14:paraId="4BEDD099">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bCs/>
                <w:color w:val="auto"/>
                <w:sz w:val="24"/>
                <w:highlight w:val="none"/>
              </w:rPr>
            </w:pPr>
          </w:p>
          <w:p w14:paraId="483163CF">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360" w:lineRule="auto"/>
              <w:ind w:left="0" w:right="0" w:firstLine="480" w:firstLineChars="200"/>
              <w:textAlignment w:val="auto"/>
              <w:rPr>
                <w:bCs/>
                <w:color w:val="auto"/>
                <w:sz w:val="24"/>
                <w:highlight w:val="none"/>
              </w:rPr>
            </w:pPr>
          </w:p>
          <w:p w14:paraId="3F4A3DDC">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textAlignment w:val="auto"/>
              <w:rPr>
                <w:rFonts w:hint="default"/>
                <w:b/>
                <w:bCs/>
                <w:color w:val="auto"/>
                <w:sz w:val="24"/>
                <w:highlight w:val="none"/>
                <w:lang w:val="en-US" w:eastAsia="zh-CN"/>
              </w:rPr>
            </w:pPr>
            <w:r>
              <w:rPr>
                <w:rFonts w:hint="eastAsia"/>
                <w:b/>
                <w:bCs/>
                <w:color w:val="auto"/>
                <w:sz w:val="24"/>
                <w:highlight w:val="none"/>
                <w:lang w:val="en-US" w:eastAsia="zh-CN"/>
              </w:rPr>
              <w:t>2、运行期</w:t>
            </w:r>
          </w:p>
          <w:p w14:paraId="6C6AB328">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textAlignment w:val="auto"/>
              <w:rPr>
                <w:rFonts w:hint="eastAsia"/>
                <w:b/>
                <w:bCs/>
                <w:color w:val="auto"/>
                <w:sz w:val="24"/>
                <w:highlight w:val="none"/>
                <w:lang w:val="en-US" w:eastAsia="zh-CN"/>
              </w:rPr>
            </w:pPr>
            <w:r>
              <w:rPr>
                <w:rFonts w:hint="eastAsia"/>
                <w:b/>
                <w:bCs/>
                <w:color w:val="auto"/>
                <w:sz w:val="24"/>
                <w:highlight w:val="none"/>
                <w:lang w:val="en-US" w:eastAsia="zh-CN"/>
              </w:rPr>
              <w:t>（1）原料储运</w:t>
            </w:r>
          </w:p>
          <w:p w14:paraId="576DAB3F">
            <w:pPr>
              <w:pStyle w:val="2"/>
              <w:keepNext w:val="0"/>
              <w:keepLines w:val="0"/>
              <w:suppressLineNumbers w:val="0"/>
              <w:spacing w:before="0" w:beforeAutospacing="0" w:after="0" w:afterAutospacing="0" w:line="360" w:lineRule="exact"/>
              <w:ind w:left="0" w:right="0"/>
              <w:rPr>
                <w:color w:val="auto"/>
                <w:sz w:val="21"/>
                <w:szCs w:val="21"/>
                <w:highlight w:val="none"/>
              </w:rPr>
            </w:pPr>
            <w:r>
              <w:rPr>
                <w:color w:val="auto"/>
                <w:sz w:val="24"/>
                <w:highlight w:val="none"/>
              </w:rPr>
              <mc:AlternateContent>
                <mc:Choice Requires="wps">
                  <w:drawing>
                    <wp:anchor distT="0" distB="0" distL="114300" distR="114300" simplePos="0" relativeHeight="251789312" behindDoc="0" locked="0" layoutInCell="1" allowOverlap="1">
                      <wp:simplePos x="0" y="0"/>
                      <wp:positionH relativeFrom="column">
                        <wp:posOffset>227330</wp:posOffset>
                      </wp:positionH>
                      <wp:positionV relativeFrom="paragraph">
                        <wp:posOffset>207645</wp:posOffset>
                      </wp:positionV>
                      <wp:extent cx="1400810" cy="2426970"/>
                      <wp:effectExtent l="12700" t="12700" r="15240" b="17780"/>
                      <wp:wrapNone/>
                      <wp:docPr id="21" name="矩形 21"/>
                      <wp:cNvGraphicFramePr/>
                      <a:graphic xmlns:a="http://schemas.openxmlformats.org/drawingml/2006/main">
                        <a:graphicData uri="http://schemas.microsoft.com/office/word/2010/wordprocessingShape">
                          <wps:wsp>
                            <wps:cNvSpPr/>
                            <wps:spPr>
                              <a:xfrm>
                                <a:off x="0" y="0"/>
                                <a:ext cx="1400810" cy="2426970"/>
                              </a:xfrm>
                              <a:prstGeom prst="rect">
                                <a:avLst/>
                              </a:prstGeom>
                              <a:noFill/>
                              <a:ln w="25400"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9pt;margin-top:16.35pt;height:191.1pt;width:110.3pt;z-index:251789312;v-text-anchor:middle;mso-width-relative:page;mso-height-relative:page;" filled="f" stroked="t" coordsize="21600,21600" o:gfxdata="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M&#10;dpbU2QAAAAkBAAAPAAAAAAAAAAEAIAAAACIAAABkcnMvZG93bnJldi54bWxQSwECFAAUAAAACACH&#10;TuJAZNdkY1wCAAC2BAAADgAAAAAAAAABACAAAAAoAQAAZHJzL2Uyb0RvYy54bWxQSwUGAAAAAAYA&#10;BgBZAQAA9gUAAAAA&#10;">
                      <v:fill on="f" focussize="0,0"/>
                      <v:stroke weight="2pt" color="#000000 [3213]" joinstyle="round" dashstyle="dash"/>
                      <v:imagedata o:title=""/>
                      <o:lock v:ext="edit" aspectratio="f"/>
                    </v:rect>
                  </w:pict>
                </mc:Fallback>
              </mc:AlternateContent>
            </w:r>
            <w:r>
              <w:rPr>
                <w:color w:val="auto"/>
                <w:sz w:val="24"/>
                <w:highlight w:val="none"/>
              </w:rPr>
              <mc:AlternateContent>
                <mc:Choice Requires="wps">
                  <w:drawing>
                    <wp:anchor distT="0" distB="0" distL="114300" distR="114300" simplePos="0" relativeHeight="251725824" behindDoc="0" locked="0" layoutInCell="1" allowOverlap="1">
                      <wp:simplePos x="0" y="0"/>
                      <wp:positionH relativeFrom="column">
                        <wp:posOffset>3370580</wp:posOffset>
                      </wp:positionH>
                      <wp:positionV relativeFrom="paragraph">
                        <wp:posOffset>150495</wp:posOffset>
                      </wp:positionV>
                      <wp:extent cx="1562735" cy="2426970"/>
                      <wp:effectExtent l="12700" t="12700" r="24765" b="17780"/>
                      <wp:wrapNone/>
                      <wp:docPr id="207" name="矩形 207"/>
                      <wp:cNvGraphicFramePr/>
                      <a:graphic xmlns:a="http://schemas.openxmlformats.org/drawingml/2006/main">
                        <a:graphicData uri="http://schemas.microsoft.com/office/word/2010/wordprocessingShape">
                          <wps:wsp>
                            <wps:cNvSpPr/>
                            <wps:spPr>
                              <a:xfrm>
                                <a:off x="0" y="0"/>
                                <a:ext cx="1562735" cy="2426970"/>
                              </a:xfrm>
                              <a:prstGeom prst="rect">
                                <a:avLst/>
                              </a:prstGeom>
                              <a:noFill/>
                              <a:ln w="25400"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5.4pt;margin-top:11.85pt;height:191.1pt;width:123.05pt;z-index:251725824;v-text-anchor:middle;mso-width-relative:page;mso-height-relative:page;" filled="f" stroked="t" coordsize="21600,21600" o:gfxdata="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R3dNvZAAAACgEAAA8AAAAAAAAAAQAgAAAAIgAAAGRycy9kb3ducmV2LnhtbFBLAQIUABQA&#10;AAAIAIdO4kA5VwVRYQIAALgEAAAOAAAAAAAAAAEAIAAAACgBAABkcnMvZTJvRG9jLnhtbFBLBQYA&#10;AAAABgAGAFkBAAD7BQAAAAA=&#10;">
                      <v:fill on="f" focussize="0,0"/>
                      <v:stroke weight="2pt" color="#000000 [3213]" joinstyle="round" dashstyle="dash"/>
                      <v:imagedata o:title=""/>
                      <o:lock v:ext="edit" aspectratio="f"/>
                    </v:rect>
                  </w:pict>
                </mc:Fallback>
              </mc:AlternateContent>
            </w:r>
            <w:r>
              <w:rPr>
                <w:color w:val="auto"/>
                <w:sz w:val="21"/>
                <w:highlight w:val="none"/>
              </w:rPr>
              <mc:AlternateContent>
                <mc:Choice Requires="wpg">
                  <w:drawing>
                    <wp:anchor distT="0" distB="0" distL="114300" distR="114300" simplePos="0" relativeHeight="251662336" behindDoc="0" locked="0" layoutInCell="1" allowOverlap="1">
                      <wp:simplePos x="0" y="0"/>
                      <wp:positionH relativeFrom="column">
                        <wp:posOffset>106680</wp:posOffset>
                      </wp:positionH>
                      <wp:positionV relativeFrom="paragraph">
                        <wp:posOffset>201295</wp:posOffset>
                      </wp:positionV>
                      <wp:extent cx="4979035" cy="2723515"/>
                      <wp:effectExtent l="0" t="0" r="0" b="20320"/>
                      <wp:wrapNone/>
                      <wp:docPr id="556" name="组合 556"/>
                      <wp:cNvGraphicFramePr/>
                      <a:graphic xmlns:a="http://schemas.openxmlformats.org/drawingml/2006/main">
                        <a:graphicData uri="http://schemas.microsoft.com/office/word/2010/wordprocessingGroup">
                          <wpg:wgp>
                            <wpg:cNvGrpSpPr/>
                            <wpg:grpSpPr>
                              <a:xfrm>
                                <a:off x="0" y="0"/>
                                <a:ext cx="4979035" cy="2723515"/>
                                <a:chOff x="7024" y="528603"/>
                                <a:chExt cx="7407" cy="4289"/>
                              </a:xfrm>
                            </wpg:grpSpPr>
                            <wpg:grpSp>
                              <wpg:cNvPr id="523" name="组合 523"/>
                              <wpg:cNvGrpSpPr/>
                              <wpg:grpSpPr>
                                <a:xfrm>
                                  <a:off x="7024" y="528918"/>
                                  <a:ext cx="2428" cy="2926"/>
                                  <a:chOff x="9386" y="528588"/>
                                  <a:chExt cx="2428" cy="2926"/>
                                </a:xfrm>
                              </wpg:grpSpPr>
                              <wps:wsp>
                                <wps:cNvPr id="101" name="Text Box 107"/>
                                <wps:cNvSpPr txBox="1">
                                  <a:spLocks noChangeArrowheads="1"/>
                                </wps:cNvSpPr>
                                <wps:spPr bwMode="auto">
                                  <a:xfrm>
                                    <a:off x="9386" y="528588"/>
                                    <a:ext cx="2428" cy="735"/>
                                  </a:xfrm>
                                  <a:prstGeom prst="rect">
                                    <a:avLst/>
                                  </a:prstGeom>
                                  <a:noFill/>
                                  <a:ln>
                                    <a:noFill/>
                                  </a:ln>
                                </wps:spPr>
                                <wps:txbx>
                                  <w:txbxContent>
                                    <w:p w14:paraId="762BA232">
                                      <w:pPr>
                                        <w:jc w:val="center"/>
                                        <w:rPr>
                                          <w:rFonts w:hint="eastAsia"/>
                                          <w:sz w:val="24"/>
                                          <w:szCs w:val="24"/>
                                          <w:lang w:val="en-US" w:eastAsia="zh-CN"/>
                                        </w:rPr>
                                      </w:pPr>
                                      <w:r>
                                        <w:rPr>
                                          <w:rFonts w:hint="eastAsia"/>
                                          <w:sz w:val="24"/>
                                          <w:szCs w:val="24"/>
                                          <w:lang w:val="en-US" w:eastAsia="zh-CN"/>
                                        </w:rPr>
                                        <w:t>石油蜡</w:t>
                                      </w:r>
                                    </w:p>
                                    <w:p w14:paraId="0FB87015">
                                      <w:pPr>
                                        <w:jc w:val="center"/>
                                        <w:rPr>
                                          <w:rFonts w:hint="default" w:eastAsia="宋体"/>
                                          <w:sz w:val="24"/>
                                          <w:szCs w:val="24"/>
                                          <w:lang w:val="en-US" w:eastAsia="zh-CN"/>
                                        </w:rPr>
                                      </w:pPr>
                                      <w:r>
                                        <w:rPr>
                                          <w:rFonts w:hint="eastAsia"/>
                                          <w:sz w:val="24"/>
                                          <w:szCs w:val="24"/>
                                          <w:lang w:val="en-US" w:eastAsia="zh-CN"/>
                                        </w:rPr>
                                        <w:t>（固体，板蜡，汽运）</w:t>
                                      </w:r>
                                    </w:p>
                                  </w:txbxContent>
                                </wps:txbx>
                                <wps:bodyPr rot="0" vert="horz" wrap="square" lIns="91440" tIns="45720" rIns="91440" bIns="45720" anchor="t" anchorCtr="0" upright="1">
                                  <a:noAutofit/>
                                </wps:bodyPr>
                              </wps:wsp>
                              <wps:wsp>
                                <wps:cNvPr id="110" name="直线 1108"/>
                                <wps:cNvCnPr/>
                                <wps:spPr bwMode="auto">
                                  <a:xfrm>
                                    <a:off x="10646" y="529249"/>
                                    <a:ext cx="1" cy="345"/>
                                  </a:xfrm>
                                  <a:prstGeom prst="line">
                                    <a:avLst/>
                                  </a:prstGeom>
                                  <a:noFill/>
                                  <a:ln w="9525">
                                    <a:solidFill>
                                      <a:srgbClr val="000000"/>
                                    </a:solidFill>
                                    <a:round/>
                                    <a:tailEnd type="triangle" w="med" len="med"/>
                                  </a:ln>
                                </wps:spPr>
                                <wps:bodyPr/>
                              </wps:wsp>
                              <wps:wsp>
                                <wps:cNvPr id="111" name="文本框 1109"/>
                                <wps:cNvSpPr txBox="1">
                                  <a:spLocks noChangeArrowheads="1"/>
                                </wps:cNvSpPr>
                                <wps:spPr bwMode="auto">
                                  <a:xfrm>
                                    <a:off x="10153" y="529609"/>
                                    <a:ext cx="928" cy="435"/>
                                  </a:xfrm>
                                  <a:prstGeom prst="rect">
                                    <a:avLst/>
                                  </a:prstGeom>
                                  <a:solidFill>
                                    <a:srgbClr val="FFFFFF"/>
                                  </a:solidFill>
                                  <a:ln w="9525">
                                    <a:solidFill>
                                      <a:srgbClr val="000000"/>
                                    </a:solidFill>
                                    <a:miter lim="800000"/>
                                  </a:ln>
                                </wps:spPr>
                                <wps:txbx>
                                  <w:txbxContent>
                                    <w:p w14:paraId="11971F1B">
                                      <w:pPr>
                                        <w:jc w:val="center"/>
                                        <w:rPr>
                                          <w:rFonts w:hint="eastAsia" w:eastAsia="宋体"/>
                                          <w:sz w:val="24"/>
                                          <w:szCs w:val="24"/>
                                          <w:lang w:val="en-US" w:eastAsia="zh-CN"/>
                                        </w:rPr>
                                      </w:pPr>
                                      <w:r>
                                        <w:rPr>
                                          <w:rFonts w:hint="eastAsia"/>
                                          <w:sz w:val="24"/>
                                          <w:szCs w:val="24"/>
                                          <w:lang w:val="en-US" w:eastAsia="zh-CN"/>
                                        </w:rPr>
                                        <w:t>卸车</w:t>
                                      </w:r>
                                    </w:p>
                                  </w:txbxContent>
                                </wps:txbx>
                                <wps:bodyPr rot="0" vert="horz" wrap="square" lIns="91440" tIns="45720" rIns="91440" bIns="45720" anchor="t" anchorCtr="0" upright="1">
                                  <a:noAutofit/>
                                </wps:bodyPr>
                              </wps:wsp>
                              <wps:wsp>
                                <wps:cNvPr id="115" name="直线 1110"/>
                                <wps:cNvCnPr/>
                                <wps:spPr bwMode="auto">
                                  <a:xfrm>
                                    <a:off x="10630" y="530059"/>
                                    <a:ext cx="1" cy="345"/>
                                  </a:xfrm>
                                  <a:prstGeom prst="line">
                                    <a:avLst/>
                                  </a:prstGeom>
                                  <a:noFill/>
                                  <a:ln w="9525">
                                    <a:solidFill>
                                      <a:srgbClr val="000000"/>
                                    </a:solidFill>
                                    <a:round/>
                                    <a:tailEnd type="triangle" w="med" len="med"/>
                                  </a:ln>
                                </wps:spPr>
                                <wps:bodyPr/>
                              </wps:wsp>
                              <wps:wsp>
                                <wps:cNvPr id="513" name="Text Box 107"/>
                                <wps:cNvSpPr txBox="1">
                                  <a:spLocks noChangeArrowheads="1"/>
                                </wps:cNvSpPr>
                                <wps:spPr bwMode="auto">
                                  <a:xfrm>
                                    <a:off x="9596" y="530388"/>
                                    <a:ext cx="2007" cy="437"/>
                                  </a:xfrm>
                                  <a:prstGeom prst="rect">
                                    <a:avLst/>
                                  </a:prstGeom>
                                  <a:noFill/>
                                  <a:ln>
                                    <a:noFill/>
                                  </a:ln>
                                </wps:spPr>
                                <wps:txbx>
                                  <w:txbxContent>
                                    <w:p w14:paraId="22206009">
                                      <w:pPr>
                                        <w:jc w:val="center"/>
                                        <w:rPr>
                                          <w:rFonts w:hint="default" w:eastAsia="宋体"/>
                                          <w:sz w:val="24"/>
                                          <w:szCs w:val="24"/>
                                          <w:lang w:val="en-US" w:eastAsia="zh-CN"/>
                                        </w:rPr>
                                      </w:pPr>
                                      <w:r>
                                        <w:rPr>
                                          <w:rFonts w:hint="default" w:eastAsia="宋体"/>
                                          <w:sz w:val="24"/>
                                          <w:szCs w:val="24"/>
                                          <w:lang w:val="en-US" w:eastAsia="zh-CN"/>
                                        </w:rPr>
                                        <w:t>原材料储存雨棚</w:t>
                                      </w:r>
                                    </w:p>
                                  </w:txbxContent>
                                </wps:txbx>
                                <wps:bodyPr rot="0" vert="horz" wrap="square" lIns="91440" tIns="45720" rIns="91440" bIns="45720" anchor="t" anchorCtr="0" upright="1">
                                  <a:noAutofit/>
                                </wps:bodyPr>
                              </wps:wsp>
                              <wps:wsp>
                                <wps:cNvPr id="516" name="直线 1110"/>
                                <wps:cNvCnPr/>
                                <wps:spPr bwMode="auto">
                                  <a:xfrm>
                                    <a:off x="10600" y="530734"/>
                                    <a:ext cx="1" cy="345"/>
                                  </a:xfrm>
                                  <a:prstGeom prst="line">
                                    <a:avLst/>
                                  </a:prstGeom>
                                  <a:noFill/>
                                  <a:ln w="9525">
                                    <a:solidFill>
                                      <a:srgbClr val="000000"/>
                                    </a:solidFill>
                                    <a:round/>
                                    <a:tailEnd type="triangle" w="med" len="med"/>
                                  </a:ln>
                                </wps:spPr>
                                <wps:bodyPr/>
                              </wps:wsp>
                              <wps:wsp>
                                <wps:cNvPr id="518" name="Text Box 107"/>
                                <wps:cNvSpPr txBox="1">
                                  <a:spLocks noChangeArrowheads="1"/>
                                </wps:cNvSpPr>
                                <wps:spPr bwMode="auto">
                                  <a:xfrm>
                                    <a:off x="9806" y="531078"/>
                                    <a:ext cx="1441" cy="437"/>
                                  </a:xfrm>
                                  <a:prstGeom prst="rect">
                                    <a:avLst/>
                                  </a:prstGeom>
                                  <a:noFill/>
                                  <a:ln>
                                    <a:noFill/>
                                  </a:ln>
                                </wps:spPr>
                                <wps:txbx>
                                  <w:txbxContent>
                                    <w:p w14:paraId="005432AB">
                                      <w:pPr>
                                        <w:jc w:val="center"/>
                                        <w:rPr>
                                          <w:rFonts w:hint="default" w:eastAsia="宋体"/>
                                          <w:sz w:val="24"/>
                                          <w:szCs w:val="24"/>
                                          <w:lang w:val="en-US" w:eastAsia="zh-CN"/>
                                        </w:rPr>
                                      </w:pPr>
                                      <w:r>
                                        <w:rPr>
                                          <w:rFonts w:hint="eastAsia"/>
                                          <w:sz w:val="24"/>
                                          <w:szCs w:val="24"/>
                                          <w:lang w:val="en-US" w:eastAsia="zh-CN"/>
                                        </w:rPr>
                                        <w:t>储存、待用</w:t>
                                      </w:r>
                                    </w:p>
                                  </w:txbxContent>
                                </wps:txbx>
                                <wps:bodyPr rot="0" vert="horz" wrap="square" lIns="91440" tIns="45720" rIns="91440" bIns="45720" anchor="t" anchorCtr="0" upright="1">
                                  <a:noAutofit/>
                                </wps:bodyPr>
                              </wps:wsp>
                            </wpg:grpSp>
                            <wpg:grpSp>
                              <wpg:cNvPr id="528" name="组合 528"/>
                              <wpg:cNvGrpSpPr/>
                              <wpg:grpSpPr>
                                <a:xfrm>
                                  <a:off x="8944" y="528603"/>
                                  <a:ext cx="3222" cy="3270"/>
                                  <a:chOff x="11321" y="528603"/>
                                  <a:chExt cx="3222" cy="3270"/>
                                </a:xfrm>
                              </wpg:grpSpPr>
                              <wpg:grpSp>
                                <wpg:cNvPr id="526" name="组合 526"/>
                                <wpg:cNvGrpSpPr/>
                                <wpg:grpSpPr>
                                  <a:xfrm>
                                    <a:off x="11321" y="528603"/>
                                    <a:ext cx="3222" cy="2746"/>
                                    <a:chOff x="11321" y="528603"/>
                                    <a:chExt cx="3222" cy="2746"/>
                                  </a:xfrm>
                                </wpg:grpSpPr>
                                <wps:wsp>
                                  <wps:cNvPr id="120" name="直线 1112"/>
                                  <wps:cNvCnPr/>
                                  <wps:spPr bwMode="auto">
                                    <a:xfrm>
                                      <a:off x="12956" y="530054"/>
                                      <a:ext cx="1" cy="345"/>
                                    </a:xfrm>
                                    <a:prstGeom prst="line">
                                      <a:avLst/>
                                    </a:prstGeom>
                                    <a:noFill/>
                                    <a:ln w="9525">
                                      <a:solidFill>
                                        <a:srgbClr val="000000"/>
                                      </a:solidFill>
                                      <a:round/>
                                      <a:tailEnd type="triangle" w="med" len="med"/>
                                    </a:ln>
                                  </wps:spPr>
                                  <wps:bodyPr/>
                                </wps:wsp>
                                <wps:wsp>
                                  <wps:cNvPr id="514" name="Text Box 107"/>
                                  <wps:cNvSpPr txBox="1">
                                    <a:spLocks noChangeArrowheads="1"/>
                                  </wps:cNvSpPr>
                                  <wps:spPr bwMode="auto">
                                    <a:xfrm>
                                      <a:off x="12041" y="528603"/>
                                      <a:ext cx="1753" cy="735"/>
                                    </a:xfrm>
                                    <a:prstGeom prst="rect">
                                      <a:avLst/>
                                    </a:prstGeom>
                                    <a:noFill/>
                                    <a:ln>
                                      <a:noFill/>
                                    </a:ln>
                                  </wps:spPr>
                                  <wps:txbx>
                                    <w:txbxContent>
                                      <w:p w14:paraId="3DD6A350">
                                        <w:pPr>
                                          <w:jc w:val="center"/>
                                          <w:rPr>
                                            <w:rFonts w:hint="eastAsia"/>
                                            <w:sz w:val="24"/>
                                            <w:szCs w:val="24"/>
                                            <w:lang w:val="en-US" w:eastAsia="zh-CN"/>
                                          </w:rPr>
                                        </w:pPr>
                                        <w:r>
                                          <w:rPr>
                                            <w:rFonts w:hint="eastAsia"/>
                                            <w:sz w:val="24"/>
                                            <w:szCs w:val="24"/>
                                            <w:lang w:val="en-US" w:eastAsia="zh-CN"/>
                                          </w:rPr>
                                          <w:t>石油蜡</w:t>
                                        </w:r>
                                      </w:p>
                                      <w:p w14:paraId="60D2B8C0">
                                        <w:pPr>
                                          <w:jc w:val="center"/>
                                          <w:rPr>
                                            <w:rFonts w:hint="default" w:eastAsia="宋体"/>
                                            <w:sz w:val="24"/>
                                            <w:szCs w:val="24"/>
                                            <w:lang w:val="en-US" w:eastAsia="zh-CN"/>
                                          </w:rPr>
                                        </w:pPr>
                                        <w:r>
                                          <w:rPr>
                                            <w:rFonts w:hint="eastAsia"/>
                                            <w:sz w:val="24"/>
                                            <w:szCs w:val="24"/>
                                            <w:lang w:val="en-US" w:eastAsia="zh-CN"/>
                                          </w:rPr>
                                          <w:t>（液体，汽运）</w:t>
                                        </w:r>
                                      </w:p>
                                    </w:txbxContent>
                                  </wps:txbx>
                                  <wps:bodyPr rot="0" vert="horz" wrap="square" lIns="91440" tIns="45720" rIns="91440" bIns="45720" anchor="t" anchorCtr="0" upright="1">
                                    <a:noAutofit/>
                                  </wps:bodyPr>
                                </wps:wsp>
                                <wps:wsp>
                                  <wps:cNvPr id="515" name="直线 1108"/>
                                  <wps:cNvCnPr/>
                                  <wps:spPr bwMode="auto">
                                    <a:xfrm>
                                      <a:off x="12971" y="529264"/>
                                      <a:ext cx="1" cy="345"/>
                                    </a:xfrm>
                                    <a:prstGeom prst="line">
                                      <a:avLst/>
                                    </a:prstGeom>
                                    <a:noFill/>
                                    <a:ln w="9525">
                                      <a:solidFill>
                                        <a:srgbClr val="000000"/>
                                      </a:solidFill>
                                      <a:round/>
                                      <a:tailEnd type="triangle" w="med" len="med"/>
                                    </a:ln>
                                  </wps:spPr>
                                  <wps:bodyPr/>
                                </wps:wsp>
                                <wps:wsp>
                                  <wps:cNvPr id="519" name="文本框 1109"/>
                                  <wps:cNvSpPr txBox="1">
                                    <a:spLocks noChangeArrowheads="1"/>
                                  </wps:cNvSpPr>
                                  <wps:spPr bwMode="auto">
                                    <a:xfrm>
                                      <a:off x="12478" y="529594"/>
                                      <a:ext cx="928" cy="435"/>
                                    </a:xfrm>
                                    <a:prstGeom prst="rect">
                                      <a:avLst/>
                                    </a:prstGeom>
                                    <a:solidFill>
                                      <a:srgbClr val="FFFFFF"/>
                                    </a:solidFill>
                                    <a:ln w="9525">
                                      <a:solidFill>
                                        <a:srgbClr val="000000"/>
                                      </a:solidFill>
                                      <a:miter lim="800000"/>
                                    </a:ln>
                                  </wps:spPr>
                                  <wps:txbx>
                                    <w:txbxContent>
                                      <w:p w14:paraId="1F8C207F">
                                        <w:pPr>
                                          <w:jc w:val="center"/>
                                          <w:rPr>
                                            <w:rFonts w:hint="eastAsia" w:eastAsia="宋体"/>
                                            <w:sz w:val="24"/>
                                            <w:szCs w:val="24"/>
                                            <w:lang w:val="en-US" w:eastAsia="zh-CN"/>
                                          </w:rPr>
                                        </w:pPr>
                                        <w:r>
                                          <w:rPr>
                                            <w:rFonts w:hint="eastAsia"/>
                                            <w:sz w:val="24"/>
                                            <w:szCs w:val="24"/>
                                            <w:lang w:val="en-US" w:eastAsia="zh-CN"/>
                                          </w:rPr>
                                          <w:t>卸车</w:t>
                                        </w:r>
                                      </w:p>
                                    </w:txbxContent>
                                  </wps:txbx>
                                  <wps:bodyPr rot="0" vert="horz" wrap="square" lIns="91440" tIns="45720" rIns="91440" bIns="45720" anchor="t" anchorCtr="0" upright="1">
                                    <a:noAutofit/>
                                  </wps:bodyPr>
                                </wps:wsp>
                                <wps:wsp>
                                  <wps:cNvPr id="520" name="Text Box 107"/>
                                  <wps:cNvSpPr txBox="1">
                                    <a:spLocks noChangeArrowheads="1"/>
                                  </wps:cNvSpPr>
                                  <wps:spPr bwMode="auto">
                                    <a:xfrm>
                                      <a:off x="11321" y="530343"/>
                                      <a:ext cx="3222" cy="1007"/>
                                    </a:xfrm>
                                    <a:prstGeom prst="rect">
                                      <a:avLst/>
                                    </a:prstGeom>
                                    <a:noFill/>
                                    <a:ln>
                                      <a:noFill/>
                                    </a:ln>
                                  </wps:spPr>
                                  <wps:txbx>
                                    <w:txbxContent>
                                      <w:p w14:paraId="47208EF1">
                                        <w:pPr>
                                          <w:jc w:val="center"/>
                                          <w:rPr>
                                            <w:rFonts w:hint="eastAsia"/>
                                            <w:sz w:val="24"/>
                                            <w:szCs w:val="24"/>
                                            <w:lang w:val="en-US" w:eastAsia="zh-CN"/>
                                          </w:rPr>
                                        </w:pPr>
                                        <w:r>
                                          <w:rPr>
                                            <w:rFonts w:hint="eastAsia"/>
                                            <w:sz w:val="24"/>
                                            <w:szCs w:val="24"/>
                                            <w:lang w:val="en-US" w:eastAsia="zh-CN"/>
                                          </w:rPr>
                                          <w:t>原料罐</w:t>
                                        </w:r>
                                      </w:p>
                                      <w:p w14:paraId="727CF99C">
                                        <w:pPr>
                                          <w:pStyle w:val="12"/>
                                          <w:rPr>
                                            <w:rFonts w:hint="default"/>
                                            <w:sz w:val="24"/>
                                            <w:szCs w:val="24"/>
                                            <w:lang w:val="en-US" w:eastAsia="zh-CN"/>
                                          </w:rPr>
                                        </w:pPr>
                                        <w:r>
                                          <w:rPr>
                                            <w:rFonts w:hint="eastAsia"/>
                                            <w:sz w:val="24"/>
                                            <w:szCs w:val="24"/>
                                            <w:lang w:val="en-US" w:eastAsia="zh-CN"/>
                                          </w:rPr>
                                          <w:t>（2000m</w:t>
                                        </w:r>
                                        <w:r>
                                          <w:rPr>
                                            <w:rFonts w:hint="eastAsia"/>
                                            <w:sz w:val="24"/>
                                            <w:szCs w:val="24"/>
                                            <w:vertAlign w:val="superscript"/>
                                            <w:lang w:val="en-US" w:eastAsia="zh-CN"/>
                                          </w:rPr>
                                          <w:t>3</w:t>
                                        </w:r>
                                        <w:r>
                                          <w:rPr>
                                            <w:rFonts w:hint="eastAsia"/>
                                            <w:sz w:val="24"/>
                                            <w:szCs w:val="24"/>
                                            <w:lang w:val="en-US" w:eastAsia="zh-CN"/>
                                          </w:rPr>
                                          <w:t>×2，2650m</w:t>
                                        </w:r>
                                        <w:r>
                                          <w:rPr>
                                            <w:rFonts w:hint="eastAsia"/>
                                            <w:sz w:val="24"/>
                                            <w:szCs w:val="24"/>
                                            <w:vertAlign w:val="superscript"/>
                                            <w:lang w:val="en-US" w:eastAsia="zh-CN"/>
                                          </w:rPr>
                                          <w:t>3</w:t>
                                        </w:r>
                                        <w:r>
                                          <w:rPr>
                                            <w:rFonts w:hint="eastAsia"/>
                                            <w:sz w:val="24"/>
                                            <w:szCs w:val="24"/>
                                            <w:lang w:val="en-US" w:eastAsia="zh-CN"/>
                                          </w:rPr>
                                          <w:t>×2）</w:t>
                                        </w:r>
                                      </w:p>
                                    </w:txbxContent>
                                  </wps:txbx>
                                  <wps:bodyPr rot="0" vert="horz" wrap="square" lIns="91440" tIns="45720" rIns="91440" bIns="45720" anchor="t" anchorCtr="0" upright="1">
                                    <a:noAutofit/>
                                  </wps:bodyPr>
                                </wps:wsp>
                              </wpg:grpSp>
                              <wpg:grpSp>
                                <wpg:cNvPr id="527" name="组合 527"/>
                                <wpg:cNvGrpSpPr/>
                                <wpg:grpSpPr>
                                  <a:xfrm>
                                    <a:off x="12206" y="531109"/>
                                    <a:ext cx="1440" cy="765"/>
                                    <a:chOff x="12206" y="531109"/>
                                    <a:chExt cx="1440" cy="765"/>
                                  </a:xfrm>
                                </wpg:grpSpPr>
                                <wps:wsp>
                                  <wps:cNvPr id="521" name="直线 1110"/>
                                  <wps:cNvCnPr/>
                                  <wps:spPr bwMode="auto">
                                    <a:xfrm>
                                      <a:off x="12970" y="531109"/>
                                      <a:ext cx="1" cy="345"/>
                                    </a:xfrm>
                                    <a:prstGeom prst="line">
                                      <a:avLst/>
                                    </a:prstGeom>
                                    <a:noFill/>
                                    <a:ln w="9525">
                                      <a:solidFill>
                                        <a:srgbClr val="000000"/>
                                      </a:solidFill>
                                      <a:round/>
                                      <a:tailEnd type="triangle" w="med" len="med"/>
                                    </a:ln>
                                  </wps:spPr>
                                  <wps:bodyPr/>
                                </wps:wsp>
                                <wps:wsp>
                                  <wps:cNvPr id="522" name="Text Box 107"/>
                                  <wps:cNvSpPr txBox="1">
                                    <a:spLocks noChangeArrowheads="1"/>
                                  </wps:cNvSpPr>
                                  <wps:spPr bwMode="auto">
                                    <a:xfrm>
                                      <a:off x="12206" y="531438"/>
                                      <a:ext cx="1441" cy="437"/>
                                    </a:xfrm>
                                    <a:prstGeom prst="rect">
                                      <a:avLst/>
                                    </a:prstGeom>
                                    <a:noFill/>
                                    <a:ln>
                                      <a:noFill/>
                                    </a:ln>
                                  </wps:spPr>
                                  <wps:txbx>
                                    <w:txbxContent>
                                      <w:p w14:paraId="46E0E980">
                                        <w:pPr>
                                          <w:jc w:val="center"/>
                                          <w:rPr>
                                            <w:rFonts w:hint="default" w:eastAsia="宋体"/>
                                            <w:sz w:val="24"/>
                                            <w:szCs w:val="24"/>
                                            <w:lang w:val="en-US" w:eastAsia="zh-CN"/>
                                          </w:rPr>
                                        </w:pPr>
                                        <w:r>
                                          <w:rPr>
                                            <w:rFonts w:hint="eastAsia"/>
                                            <w:sz w:val="24"/>
                                            <w:szCs w:val="24"/>
                                            <w:lang w:val="en-US" w:eastAsia="zh-CN"/>
                                          </w:rPr>
                                          <w:t>储存、待用</w:t>
                                        </w:r>
                                      </w:p>
                                    </w:txbxContent>
                                  </wps:txbx>
                                  <wps:bodyPr rot="0" vert="horz" wrap="square" lIns="91440" tIns="45720" rIns="91440" bIns="45720" anchor="t" anchorCtr="0" upright="1">
                                    <a:noAutofit/>
                                  </wps:bodyPr>
                                </wps:wsp>
                              </wpg:grpSp>
                            </wpg:grpSp>
                            <wpg:grpSp>
                              <wpg:cNvPr id="529" name="组合 529"/>
                              <wpg:cNvGrpSpPr/>
                              <wpg:grpSpPr>
                                <a:xfrm>
                                  <a:off x="11209" y="528603"/>
                                  <a:ext cx="3222" cy="3270"/>
                                  <a:chOff x="11321" y="528603"/>
                                  <a:chExt cx="3222" cy="3270"/>
                                </a:xfrm>
                              </wpg:grpSpPr>
                              <wpg:grpSp>
                                <wpg:cNvPr id="530" name="组合 526"/>
                                <wpg:cNvGrpSpPr/>
                                <wpg:grpSpPr>
                                  <a:xfrm>
                                    <a:off x="11321" y="528603"/>
                                    <a:ext cx="3222" cy="2746"/>
                                    <a:chOff x="11321" y="528603"/>
                                    <a:chExt cx="3222" cy="2746"/>
                                  </a:xfrm>
                                </wpg:grpSpPr>
                                <wps:wsp>
                                  <wps:cNvPr id="531" name="直线 1112"/>
                                  <wps:cNvCnPr/>
                                  <wps:spPr bwMode="auto">
                                    <a:xfrm>
                                      <a:off x="12956" y="530054"/>
                                      <a:ext cx="1" cy="345"/>
                                    </a:xfrm>
                                    <a:prstGeom prst="line">
                                      <a:avLst/>
                                    </a:prstGeom>
                                    <a:noFill/>
                                    <a:ln w="9525">
                                      <a:solidFill>
                                        <a:srgbClr val="000000"/>
                                      </a:solidFill>
                                      <a:round/>
                                      <a:tailEnd type="triangle" w="med" len="med"/>
                                    </a:ln>
                                  </wps:spPr>
                                  <wps:bodyPr/>
                                </wps:wsp>
                                <wps:wsp>
                                  <wps:cNvPr id="532" name="Text Box 107"/>
                                  <wps:cNvSpPr txBox="1">
                                    <a:spLocks noChangeArrowheads="1"/>
                                  </wps:cNvSpPr>
                                  <wps:spPr bwMode="auto">
                                    <a:xfrm>
                                      <a:off x="12041" y="528603"/>
                                      <a:ext cx="1753" cy="735"/>
                                    </a:xfrm>
                                    <a:prstGeom prst="rect">
                                      <a:avLst/>
                                    </a:prstGeom>
                                    <a:noFill/>
                                    <a:ln>
                                      <a:noFill/>
                                    </a:ln>
                                  </wps:spPr>
                                  <wps:txbx>
                                    <w:txbxContent>
                                      <w:p w14:paraId="49353D33">
                                        <w:pPr>
                                          <w:jc w:val="center"/>
                                          <w:rPr>
                                            <w:rFonts w:hint="eastAsia"/>
                                            <w:sz w:val="24"/>
                                            <w:szCs w:val="24"/>
                                            <w:lang w:val="en-US" w:eastAsia="zh-CN"/>
                                          </w:rPr>
                                        </w:pPr>
                                        <w:r>
                                          <w:rPr>
                                            <w:rFonts w:hint="eastAsia"/>
                                            <w:sz w:val="24"/>
                                            <w:szCs w:val="24"/>
                                            <w:lang w:val="en-US" w:eastAsia="zh-CN"/>
                                          </w:rPr>
                                          <w:t>微晶蜡</w:t>
                                        </w:r>
                                      </w:p>
                                      <w:p w14:paraId="1A2D0DB9">
                                        <w:pPr>
                                          <w:jc w:val="center"/>
                                          <w:rPr>
                                            <w:rFonts w:hint="default" w:eastAsia="宋体"/>
                                            <w:sz w:val="24"/>
                                            <w:szCs w:val="24"/>
                                            <w:lang w:val="en-US" w:eastAsia="zh-CN"/>
                                          </w:rPr>
                                        </w:pPr>
                                        <w:r>
                                          <w:rPr>
                                            <w:rFonts w:hint="eastAsia"/>
                                            <w:sz w:val="24"/>
                                            <w:szCs w:val="24"/>
                                            <w:lang w:val="en-US" w:eastAsia="zh-CN"/>
                                          </w:rPr>
                                          <w:t>（液体，汽运）</w:t>
                                        </w:r>
                                      </w:p>
                                    </w:txbxContent>
                                  </wps:txbx>
                                  <wps:bodyPr rot="0" vert="horz" wrap="square" lIns="91440" tIns="45720" rIns="91440" bIns="45720" anchor="t" anchorCtr="0" upright="1">
                                    <a:noAutofit/>
                                  </wps:bodyPr>
                                </wps:wsp>
                                <wps:wsp>
                                  <wps:cNvPr id="533" name="直线 1108"/>
                                  <wps:cNvCnPr/>
                                  <wps:spPr bwMode="auto">
                                    <a:xfrm>
                                      <a:off x="12971" y="529264"/>
                                      <a:ext cx="1" cy="345"/>
                                    </a:xfrm>
                                    <a:prstGeom prst="line">
                                      <a:avLst/>
                                    </a:prstGeom>
                                    <a:noFill/>
                                    <a:ln w="9525">
                                      <a:solidFill>
                                        <a:srgbClr val="000000"/>
                                      </a:solidFill>
                                      <a:round/>
                                      <a:tailEnd type="triangle" w="med" len="med"/>
                                    </a:ln>
                                  </wps:spPr>
                                  <wps:bodyPr/>
                                </wps:wsp>
                                <wps:wsp>
                                  <wps:cNvPr id="534" name="文本框 1109"/>
                                  <wps:cNvSpPr txBox="1">
                                    <a:spLocks noChangeArrowheads="1"/>
                                  </wps:cNvSpPr>
                                  <wps:spPr bwMode="auto">
                                    <a:xfrm>
                                      <a:off x="12478" y="529594"/>
                                      <a:ext cx="928" cy="435"/>
                                    </a:xfrm>
                                    <a:prstGeom prst="rect">
                                      <a:avLst/>
                                    </a:prstGeom>
                                    <a:solidFill>
                                      <a:srgbClr val="FFFFFF"/>
                                    </a:solidFill>
                                    <a:ln w="9525">
                                      <a:solidFill>
                                        <a:srgbClr val="000000"/>
                                      </a:solidFill>
                                      <a:miter lim="800000"/>
                                    </a:ln>
                                  </wps:spPr>
                                  <wps:txbx>
                                    <w:txbxContent>
                                      <w:p w14:paraId="76C7785B">
                                        <w:pPr>
                                          <w:jc w:val="center"/>
                                          <w:rPr>
                                            <w:rFonts w:hint="eastAsia" w:eastAsia="宋体"/>
                                            <w:sz w:val="24"/>
                                            <w:szCs w:val="24"/>
                                            <w:lang w:val="en-US" w:eastAsia="zh-CN"/>
                                          </w:rPr>
                                        </w:pPr>
                                        <w:r>
                                          <w:rPr>
                                            <w:rFonts w:hint="eastAsia"/>
                                            <w:sz w:val="24"/>
                                            <w:szCs w:val="24"/>
                                            <w:lang w:val="en-US" w:eastAsia="zh-CN"/>
                                          </w:rPr>
                                          <w:t>卸车</w:t>
                                        </w:r>
                                      </w:p>
                                    </w:txbxContent>
                                  </wps:txbx>
                                  <wps:bodyPr rot="0" vert="horz" wrap="square" lIns="91440" tIns="45720" rIns="91440" bIns="45720" anchor="t" anchorCtr="0" upright="1">
                                    <a:noAutofit/>
                                  </wps:bodyPr>
                                </wps:wsp>
                                <wps:wsp>
                                  <wps:cNvPr id="535" name="Text Box 107"/>
                                  <wps:cNvSpPr txBox="1">
                                    <a:spLocks noChangeArrowheads="1"/>
                                  </wps:cNvSpPr>
                                  <wps:spPr bwMode="auto">
                                    <a:xfrm>
                                      <a:off x="11321" y="530343"/>
                                      <a:ext cx="3222" cy="1007"/>
                                    </a:xfrm>
                                    <a:prstGeom prst="rect">
                                      <a:avLst/>
                                    </a:prstGeom>
                                    <a:noFill/>
                                    <a:ln>
                                      <a:noFill/>
                                    </a:ln>
                                  </wps:spPr>
                                  <wps:txbx>
                                    <w:txbxContent>
                                      <w:p w14:paraId="7A5B6A2C">
                                        <w:pPr>
                                          <w:jc w:val="center"/>
                                          <w:rPr>
                                            <w:rFonts w:hint="eastAsia"/>
                                            <w:sz w:val="24"/>
                                            <w:szCs w:val="24"/>
                                            <w:lang w:val="en-US" w:eastAsia="zh-CN"/>
                                          </w:rPr>
                                        </w:pPr>
                                        <w:r>
                                          <w:rPr>
                                            <w:rFonts w:hint="eastAsia"/>
                                            <w:sz w:val="24"/>
                                            <w:szCs w:val="24"/>
                                            <w:lang w:val="en-US" w:eastAsia="zh-CN"/>
                                          </w:rPr>
                                          <w:t>原料罐</w:t>
                                        </w:r>
                                      </w:p>
                                      <w:p w14:paraId="4AA2988F">
                                        <w:pPr>
                                          <w:pStyle w:val="12"/>
                                          <w:jc w:val="center"/>
                                          <w:rPr>
                                            <w:rFonts w:hint="default"/>
                                            <w:sz w:val="24"/>
                                            <w:szCs w:val="24"/>
                                            <w:lang w:val="en-US" w:eastAsia="zh-CN"/>
                                          </w:rPr>
                                        </w:pPr>
                                        <w:r>
                                          <w:rPr>
                                            <w:rFonts w:hint="eastAsia"/>
                                            <w:sz w:val="24"/>
                                            <w:szCs w:val="24"/>
                                            <w:lang w:val="en-US" w:eastAsia="zh-CN"/>
                                          </w:rPr>
                                          <w:t>（23m</w:t>
                                        </w:r>
                                        <w:r>
                                          <w:rPr>
                                            <w:rFonts w:hint="eastAsia"/>
                                            <w:sz w:val="24"/>
                                            <w:szCs w:val="24"/>
                                            <w:vertAlign w:val="superscript"/>
                                            <w:lang w:val="en-US" w:eastAsia="zh-CN"/>
                                          </w:rPr>
                                          <w:t>3</w:t>
                                        </w:r>
                                        <w:r>
                                          <w:rPr>
                                            <w:rFonts w:hint="eastAsia"/>
                                            <w:sz w:val="24"/>
                                            <w:szCs w:val="24"/>
                                            <w:lang w:val="en-US" w:eastAsia="zh-CN"/>
                                          </w:rPr>
                                          <w:t>×11）</w:t>
                                        </w:r>
                                      </w:p>
                                    </w:txbxContent>
                                  </wps:txbx>
                                  <wps:bodyPr rot="0" vert="horz" wrap="square" lIns="91440" tIns="45720" rIns="91440" bIns="45720" anchor="t" anchorCtr="0" upright="1">
                                    <a:noAutofit/>
                                  </wps:bodyPr>
                                </wps:wsp>
                              </wpg:grpSp>
                              <wpg:grpSp>
                                <wpg:cNvPr id="536" name="组合 527"/>
                                <wpg:cNvGrpSpPr/>
                                <wpg:grpSpPr>
                                  <a:xfrm>
                                    <a:off x="12206" y="531109"/>
                                    <a:ext cx="1440" cy="765"/>
                                    <a:chOff x="12206" y="531109"/>
                                    <a:chExt cx="1440" cy="765"/>
                                  </a:xfrm>
                                </wpg:grpSpPr>
                                <wps:wsp>
                                  <wps:cNvPr id="537" name="直线 1110"/>
                                  <wps:cNvCnPr/>
                                  <wps:spPr bwMode="auto">
                                    <a:xfrm>
                                      <a:off x="12970" y="531109"/>
                                      <a:ext cx="1" cy="345"/>
                                    </a:xfrm>
                                    <a:prstGeom prst="line">
                                      <a:avLst/>
                                    </a:prstGeom>
                                    <a:noFill/>
                                    <a:ln w="9525">
                                      <a:solidFill>
                                        <a:srgbClr val="000000"/>
                                      </a:solidFill>
                                      <a:round/>
                                      <a:tailEnd type="triangle" w="med" len="med"/>
                                    </a:ln>
                                  </wps:spPr>
                                  <wps:bodyPr/>
                                </wps:wsp>
                                <wps:wsp>
                                  <wps:cNvPr id="538" name="Text Box 107"/>
                                  <wps:cNvSpPr txBox="1">
                                    <a:spLocks noChangeArrowheads="1"/>
                                  </wps:cNvSpPr>
                                  <wps:spPr bwMode="auto">
                                    <a:xfrm>
                                      <a:off x="12206" y="531438"/>
                                      <a:ext cx="1441" cy="437"/>
                                    </a:xfrm>
                                    <a:prstGeom prst="rect">
                                      <a:avLst/>
                                    </a:prstGeom>
                                    <a:noFill/>
                                    <a:ln>
                                      <a:noFill/>
                                    </a:ln>
                                  </wps:spPr>
                                  <wps:txbx>
                                    <w:txbxContent>
                                      <w:p w14:paraId="1DEE94A0">
                                        <w:pPr>
                                          <w:jc w:val="center"/>
                                          <w:rPr>
                                            <w:rFonts w:hint="default" w:eastAsia="宋体"/>
                                            <w:sz w:val="24"/>
                                            <w:szCs w:val="24"/>
                                            <w:lang w:val="en-US" w:eastAsia="zh-CN"/>
                                          </w:rPr>
                                        </w:pPr>
                                        <w:r>
                                          <w:rPr>
                                            <w:rFonts w:hint="eastAsia"/>
                                            <w:sz w:val="24"/>
                                            <w:szCs w:val="24"/>
                                            <w:lang w:val="en-US" w:eastAsia="zh-CN"/>
                                          </w:rPr>
                                          <w:t>储存、待用</w:t>
                                        </w:r>
                                      </w:p>
                                    </w:txbxContent>
                                  </wps:txbx>
                                  <wps:bodyPr rot="0" vert="horz" wrap="square" lIns="91440" tIns="45720" rIns="91440" bIns="45720" anchor="t" anchorCtr="0" upright="1">
                                    <a:noAutofit/>
                                  </wps:bodyPr>
                                </wps:wsp>
                              </wpg:grpSp>
                            </wpg:grpSp>
                            <wpg:grpSp>
                              <wpg:cNvPr id="555" name="组合 555"/>
                              <wpg:cNvGrpSpPr/>
                              <wpg:grpSpPr>
                                <a:xfrm>
                                  <a:off x="8213" y="531748"/>
                                  <a:ext cx="4664" cy="1145"/>
                                  <a:chOff x="8213" y="531748"/>
                                  <a:chExt cx="4664" cy="1145"/>
                                </a:xfrm>
                              </wpg:grpSpPr>
                              <wpg:grpSp>
                                <wpg:cNvPr id="543" name="组合 543"/>
                                <wpg:cNvGrpSpPr/>
                                <wpg:grpSpPr>
                                  <a:xfrm>
                                    <a:off x="8213" y="531748"/>
                                    <a:ext cx="4665" cy="344"/>
                                    <a:chOff x="10590" y="531748"/>
                                    <a:chExt cx="4665" cy="344"/>
                                  </a:xfrm>
                                </wpg:grpSpPr>
                                <wps:wsp>
                                  <wps:cNvPr id="539" name="直接连接符 539"/>
                                  <wps:cNvCnPr/>
                                  <wps:spPr>
                                    <a:xfrm>
                                      <a:off x="10590" y="531763"/>
                                      <a:ext cx="0" cy="31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540" name="直接连接符 540"/>
                                  <wps:cNvCnPr/>
                                  <wps:spPr>
                                    <a:xfrm>
                                      <a:off x="12990" y="531748"/>
                                      <a:ext cx="0" cy="31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541" name="直接连接符 541"/>
                                  <wps:cNvCnPr/>
                                  <wps:spPr>
                                    <a:xfrm>
                                      <a:off x="15225" y="531778"/>
                                      <a:ext cx="0" cy="31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542" name="直接连接符 542"/>
                                  <wps:cNvCnPr/>
                                  <wps:spPr>
                                    <a:xfrm>
                                      <a:off x="10605" y="532078"/>
                                      <a:ext cx="4650" cy="1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grpSp>
                              <wps:wsp>
                                <wps:cNvPr id="549" name="直线 1108"/>
                                <wps:cNvCnPr/>
                                <wps:spPr bwMode="auto">
                                  <a:xfrm>
                                    <a:off x="10624" y="532084"/>
                                    <a:ext cx="1" cy="345"/>
                                  </a:xfrm>
                                  <a:prstGeom prst="line">
                                    <a:avLst/>
                                  </a:prstGeom>
                                  <a:noFill/>
                                  <a:ln w="9525">
                                    <a:solidFill>
                                      <a:srgbClr val="000000"/>
                                    </a:solidFill>
                                    <a:round/>
                                    <a:tailEnd type="triangle" w="med" len="med"/>
                                  </a:ln>
                                </wps:spPr>
                                <wps:bodyPr/>
                              </wps:wsp>
                              <wps:wsp>
                                <wps:cNvPr id="550" name="文本框 1109"/>
                                <wps:cNvSpPr txBox="1">
                                  <a:spLocks noChangeArrowheads="1"/>
                                </wps:cNvSpPr>
                                <wps:spPr bwMode="auto">
                                  <a:xfrm>
                                    <a:off x="10086" y="532459"/>
                                    <a:ext cx="1062" cy="435"/>
                                  </a:xfrm>
                                  <a:prstGeom prst="rect">
                                    <a:avLst/>
                                  </a:prstGeom>
                                  <a:solidFill>
                                    <a:srgbClr val="FFFFFF"/>
                                  </a:solidFill>
                                  <a:ln w="9525">
                                    <a:solidFill>
                                      <a:srgbClr val="000000"/>
                                    </a:solidFill>
                                    <a:miter lim="800000"/>
                                  </a:ln>
                                </wps:spPr>
                                <wps:txbx>
                                  <w:txbxContent>
                                    <w:p w14:paraId="1AD016B7">
                                      <w:pPr>
                                        <w:jc w:val="center"/>
                                        <w:rPr>
                                          <w:rFonts w:hint="default" w:eastAsia="宋体"/>
                                          <w:sz w:val="24"/>
                                          <w:szCs w:val="24"/>
                                          <w:lang w:val="en-US" w:eastAsia="zh-CN"/>
                                        </w:rPr>
                                      </w:pPr>
                                      <w:r>
                                        <w:rPr>
                                          <w:rFonts w:hint="eastAsia"/>
                                          <w:sz w:val="24"/>
                                          <w:szCs w:val="24"/>
                                          <w:lang w:val="en-US" w:eastAsia="zh-CN"/>
                                        </w:rPr>
                                        <w:t>待调合</w:t>
                                      </w:r>
                                    </w:p>
                                  </w:txbxContent>
                                </wps:txbx>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8.4pt;margin-top:15.85pt;height:214.45pt;width:392.05pt;z-index:251662336;mso-width-relative:page;mso-height-relative:page;" coordorigin="7024,528603" coordsize="7407,4289" o:gfxdata="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">
                      <o:lock v:ext="edit" aspectratio="f"/>
                      <v:group id="_x0000_s1026" o:spid="_x0000_s1026" o:spt="203" style="position:absolute;left:7024;top:528918;height:2926;width:2428;" coordorigin="9386,528588" coordsize="2428,2926" o:gfxdata="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tcvPfvwAAANwAAAAPAAAAAAAAAAEAIAAAACIAAABkcnMvZG93bnJldi54&#10;bWxQSwECFAAUAAAACACHTuJAMy8FnjsAAAA5AAAAFQAAAAAAAAABACAAAAAOAQAAZHJzL2dyb3Vw&#10;c2hhcGV4bWwueG1sUEsFBgAAAAAGAAYAYAEAAMsDAAAAAA==&#10;">
                        <o:lock v:ext="edit" aspectratio="f"/>
                        <v:shape id="Text Box 107" o:spid="_x0000_s1026" o:spt="202" type="#_x0000_t202" style="position:absolute;left:9386;top:528588;height:735;width:2428;" filled="f" stroked="f" coordsize="21600,21600" o:gfxdata="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K99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762BA232">
                                <w:pPr>
                                  <w:jc w:val="center"/>
                                  <w:rPr>
                                    <w:rFonts w:hint="eastAsia"/>
                                    <w:sz w:val="24"/>
                                    <w:szCs w:val="24"/>
                                    <w:lang w:val="en-US" w:eastAsia="zh-CN"/>
                                  </w:rPr>
                                </w:pPr>
                                <w:r>
                                  <w:rPr>
                                    <w:rFonts w:hint="eastAsia"/>
                                    <w:sz w:val="24"/>
                                    <w:szCs w:val="24"/>
                                    <w:lang w:val="en-US" w:eastAsia="zh-CN"/>
                                  </w:rPr>
                                  <w:t>石油蜡</w:t>
                                </w:r>
                              </w:p>
                              <w:p w14:paraId="0FB87015">
                                <w:pPr>
                                  <w:jc w:val="center"/>
                                  <w:rPr>
                                    <w:rFonts w:hint="default" w:eastAsia="宋体"/>
                                    <w:sz w:val="24"/>
                                    <w:szCs w:val="24"/>
                                    <w:lang w:val="en-US" w:eastAsia="zh-CN"/>
                                  </w:rPr>
                                </w:pPr>
                                <w:r>
                                  <w:rPr>
                                    <w:rFonts w:hint="eastAsia"/>
                                    <w:sz w:val="24"/>
                                    <w:szCs w:val="24"/>
                                    <w:lang w:val="en-US" w:eastAsia="zh-CN"/>
                                  </w:rPr>
                                  <w:t>（固体，板蜡，汽运）</w:t>
                                </w:r>
                              </w:p>
                            </w:txbxContent>
                          </v:textbox>
                        </v:shape>
                        <v:line id="直线 1108" o:spid="_x0000_s1026" o:spt="20" style="position:absolute;left:10646;top:529249;height:345;width:1;" filled="f" stroked="t" coordsize="21600,21600" o:gfxdata="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ZGhr&#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109" o:spid="_x0000_s1026" o:spt="202" type="#_x0000_t202" style="position:absolute;left:10153;top:529609;height:435;width:928;" fillcolor="#FFFFFF" filled="t" stroked="t" coordsize="21600,21600" o:gfxdata="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bCO2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11971F1B">
                                <w:pPr>
                                  <w:jc w:val="center"/>
                                  <w:rPr>
                                    <w:rFonts w:hint="eastAsia" w:eastAsia="宋体"/>
                                    <w:sz w:val="24"/>
                                    <w:szCs w:val="24"/>
                                    <w:lang w:val="en-US" w:eastAsia="zh-CN"/>
                                  </w:rPr>
                                </w:pPr>
                                <w:r>
                                  <w:rPr>
                                    <w:rFonts w:hint="eastAsia"/>
                                    <w:sz w:val="24"/>
                                    <w:szCs w:val="24"/>
                                    <w:lang w:val="en-US" w:eastAsia="zh-CN"/>
                                  </w:rPr>
                                  <w:t>卸车</w:t>
                                </w:r>
                              </w:p>
                            </w:txbxContent>
                          </v:textbox>
                        </v:shape>
                        <v:line id="直线 1110" o:spid="_x0000_s1026" o:spt="20" style="position:absolute;left:10630;top:530059;height:345;width:1;" filled="f" stroked="t" coordsize="21600,21600" o:gfxdata="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E8v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shape id="Text Box 107" o:spid="_x0000_s1026" o:spt="202" type="#_x0000_t202" style="position:absolute;left:9596;top:530388;height:437;width:2007;" filled="f" stroked="f" coordsize="21600,21600" o:gfxdata="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Iq83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22206009">
                                <w:pPr>
                                  <w:jc w:val="center"/>
                                  <w:rPr>
                                    <w:rFonts w:hint="default" w:eastAsia="宋体"/>
                                    <w:sz w:val="24"/>
                                    <w:szCs w:val="24"/>
                                    <w:lang w:val="en-US" w:eastAsia="zh-CN"/>
                                  </w:rPr>
                                </w:pPr>
                                <w:r>
                                  <w:rPr>
                                    <w:rFonts w:hint="default" w:eastAsia="宋体"/>
                                    <w:sz w:val="24"/>
                                    <w:szCs w:val="24"/>
                                    <w:lang w:val="en-US" w:eastAsia="zh-CN"/>
                                  </w:rPr>
                                  <w:t>原材料储存雨棚</w:t>
                                </w:r>
                              </w:p>
                            </w:txbxContent>
                          </v:textbox>
                        </v:shape>
                        <v:line id="直线 1110" o:spid="_x0000_s1026" o:spt="20" style="position:absolute;left:10600;top:530734;height:345;width:1;" filled="f" stroked="t" coordsize="21600,21600" o:gfxdata="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O+Z2/&#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Text Box 107" o:spid="_x0000_s1026" o:spt="202" type="#_x0000_t202" style="position:absolute;left:9806;top:531078;height:437;width:1441;" filled="f" stroked="f" coordsize="21600,21600" o:gfxdata="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i4ur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05432AB">
                                <w:pPr>
                                  <w:jc w:val="center"/>
                                  <w:rPr>
                                    <w:rFonts w:hint="default" w:eastAsia="宋体"/>
                                    <w:sz w:val="24"/>
                                    <w:szCs w:val="24"/>
                                    <w:lang w:val="en-US" w:eastAsia="zh-CN"/>
                                  </w:rPr>
                                </w:pPr>
                                <w:r>
                                  <w:rPr>
                                    <w:rFonts w:hint="eastAsia"/>
                                    <w:sz w:val="24"/>
                                    <w:szCs w:val="24"/>
                                    <w:lang w:val="en-US" w:eastAsia="zh-CN"/>
                                  </w:rPr>
                                  <w:t>储存、待用</w:t>
                                </w:r>
                              </w:p>
                            </w:txbxContent>
                          </v:textbox>
                        </v:shape>
                      </v:group>
                      <v:group id="_x0000_s1026" o:spid="_x0000_s1026" o:spt="203" style="position:absolute;left:8944;top:528603;height:3270;width:3222;" coordorigin="11321,528603" coordsize="3222,3270" o:gfxdata="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j1mGu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11321;top:528603;height:2746;width:3222;" coordorigin="11321,528603" coordsize="3222,2746" o:gfxdata="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9BVBHvwAAANwAAAAPAAAAAAAAAAEAIAAAACIAAABkcnMvZG93bnJldi54&#10;bWxQSwECFAAUAAAACACHTuJAMy8FnjsAAAA5AAAAFQAAAAAAAAABACAAAAAOAQAAZHJzL2dyb3Vw&#10;c2hhcGV4bWwueG1sUEsFBgAAAAAGAAYAYAEAAMsDAAAAAA==&#10;">
                          <o:lock v:ext="edit" aspectratio="f"/>
                          <v:line id="直线 1112" o:spid="_x0000_s1026" o:spt="20" style="position:absolute;left:12956;top:530054;height:345;width:1;" filled="f" stroked="t" coordsize="21600,21600" o:gfxdata="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CKLW&#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Text Box 107" o:spid="_x0000_s1026" o:spt="202" type="#_x0000_t202" style="position:absolute;left:12041;top:528603;height:735;width:1753;" filled="f" stroked="f" coordsize="21600,21600" o:gfxdata="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jJKq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DD6A350">
                                  <w:pPr>
                                    <w:jc w:val="center"/>
                                    <w:rPr>
                                      <w:rFonts w:hint="eastAsia"/>
                                      <w:sz w:val="24"/>
                                      <w:szCs w:val="24"/>
                                      <w:lang w:val="en-US" w:eastAsia="zh-CN"/>
                                    </w:rPr>
                                  </w:pPr>
                                  <w:r>
                                    <w:rPr>
                                      <w:rFonts w:hint="eastAsia"/>
                                      <w:sz w:val="24"/>
                                      <w:szCs w:val="24"/>
                                      <w:lang w:val="en-US" w:eastAsia="zh-CN"/>
                                    </w:rPr>
                                    <w:t>石油蜡</w:t>
                                  </w:r>
                                </w:p>
                                <w:p w14:paraId="60D2B8C0">
                                  <w:pPr>
                                    <w:jc w:val="center"/>
                                    <w:rPr>
                                      <w:rFonts w:hint="default" w:eastAsia="宋体"/>
                                      <w:sz w:val="24"/>
                                      <w:szCs w:val="24"/>
                                      <w:lang w:val="en-US" w:eastAsia="zh-CN"/>
                                    </w:rPr>
                                  </w:pPr>
                                  <w:r>
                                    <w:rPr>
                                      <w:rFonts w:hint="eastAsia"/>
                                      <w:sz w:val="24"/>
                                      <w:szCs w:val="24"/>
                                      <w:lang w:val="en-US" w:eastAsia="zh-CN"/>
                                    </w:rPr>
                                    <w:t>（液体，汽运）</w:t>
                                  </w:r>
                                </w:p>
                              </w:txbxContent>
                            </v:textbox>
                          </v:shape>
                          <v:line id="直线 1108" o:spid="_x0000_s1026" o:spt="20" style="position:absolute;left:12971;top:529264;height:345;width:1;" filled="f" stroked="t" coordsize="21600,21600" o:gfxdata="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cZ+q/&#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1109" o:spid="_x0000_s1026" o:spt="202" type="#_x0000_t202" style="position:absolute;left:12478;top:529594;height:435;width:928;" fillcolor="#FFFFFF" filled="t" stroked="t" coordsize="21600,21600" o:gfxdata="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iqPK/&#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1F8C207F">
                                  <w:pPr>
                                    <w:jc w:val="center"/>
                                    <w:rPr>
                                      <w:rFonts w:hint="eastAsia" w:eastAsia="宋体"/>
                                      <w:sz w:val="24"/>
                                      <w:szCs w:val="24"/>
                                      <w:lang w:val="en-US" w:eastAsia="zh-CN"/>
                                    </w:rPr>
                                  </w:pPr>
                                  <w:r>
                                    <w:rPr>
                                      <w:rFonts w:hint="eastAsia"/>
                                      <w:sz w:val="24"/>
                                      <w:szCs w:val="24"/>
                                      <w:lang w:val="en-US" w:eastAsia="zh-CN"/>
                                    </w:rPr>
                                    <w:t>卸车</w:t>
                                  </w:r>
                                </w:p>
                              </w:txbxContent>
                            </v:textbox>
                          </v:shape>
                          <v:shape id="Text Box 107" o:spid="_x0000_s1026" o:spt="202" type="#_x0000_t202" style="position:absolute;left:11321;top:530343;height:1007;width:3222;" filled="f" stroked="f" coordsize="21600,21600" o:gfxdata="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NOgU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47208EF1">
                                  <w:pPr>
                                    <w:jc w:val="center"/>
                                    <w:rPr>
                                      <w:rFonts w:hint="eastAsia"/>
                                      <w:sz w:val="24"/>
                                      <w:szCs w:val="24"/>
                                      <w:lang w:val="en-US" w:eastAsia="zh-CN"/>
                                    </w:rPr>
                                  </w:pPr>
                                  <w:r>
                                    <w:rPr>
                                      <w:rFonts w:hint="eastAsia"/>
                                      <w:sz w:val="24"/>
                                      <w:szCs w:val="24"/>
                                      <w:lang w:val="en-US" w:eastAsia="zh-CN"/>
                                    </w:rPr>
                                    <w:t>原料罐</w:t>
                                  </w:r>
                                </w:p>
                                <w:p w14:paraId="727CF99C">
                                  <w:pPr>
                                    <w:pStyle w:val="12"/>
                                    <w:rPr>
                                      <w:rFonts w:hint="default"/>
                                      <w:sz w:val="24"/>
                                      <w:szCs w:val="24"/>
                                      <w:lang w:val="en-US" w:eastAsia="zh-CN"/>
                                    </w:rPr>
                                  </w:pPr>
                                  <w:r>
                                    <w:rPr>
                                      <w:rFonts w:hint="eastAsia"/>
                                      <w:sz w:val="24"/>
                                      <w:szCs w:val="24"/>
                                      <w:lang w:val="en-US" w:eastAsia="zh-CN"/>
                                    </w:rPr>
                                    <w:t>（2000m</w:t>
                                  </w:r>
                                  <w:r>
                                    <w:rPr>
                                      <w:rFonts w:hint="eastAsia"/>
                                      <w:sz w:val="24"/>
                                      <w:szCs w:val="24"/>
                                      <w:vertAlign w:val="superscript"/>
                                      <w:lang w:val="en-US" w:eastAsia="zh-CN"/>
                                    </w:rPr>
                                    <w:t>3</w:t>
                                  </w:r>
                                  <w:r>
                                    <w:rPr>
                                      <w:rFonts w:hint="eastAsia"/>
                                      <w:sz w:val="24"/>
                                      <w:szCs w:val="24"/>
                                      <w:lang w:val="en-US" w:eastAsia="zh-CN"/>
                                    </w:rPr>
                                    <w:t>×2，2650m</w:t>
                                  </w:r>
                                  <w:r>
                                    <w:rPr>
                                      <w:rFonts w:hint="eastAsia"/>
                                      <w:sz w:val="24"/>
                                      <w:szCs w:val="24"/>
                                      <w:vertAlign w:val="superscript"/>
                                      <w:lang w:val="en-US" w:eastAsia="zh-CN"/>
                                    </w:rPr>
                                    <w:t>3</w:t>
                                  </w:r>
                                  <w:r>
                                    <w:rPr>
                                      <w:rFonts w:hint="eastAsia"/>
                                      <w:sz w:val="24"/>
                                      <w:szCs w:val="24"/>
                                      <w:lang w:val="en-US" w:eastAsia="zh-CN"/>
                                    </w:rPr>
                                    <w:t>×2）</w:t>
                                  </w:r>
                                </w:p>
                              </w:txbxContent>
                            </v:textbox>
                          </v:shape>
                        </v:group>
                        <v:group id="_x0000_s1026" o:spid="_x0000_s1026" o:spt="203" style="position:absolute;left:12206;top:531109;height:765;width:1440;" coordorigin="12206,531109" coordsize="1440,765" o:gfxdata="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JJ9dy+AAAA3AAAAA8AAAAAAAAAAQAgAAAAIgAAAGRycy9kb3ducmV2Lnht&#10;bFBLAQIUABQAAAAIAIdO4kAzLwWeOwAAADkAAAAVAAAAAAAAAAEAIAAAAA0BAABkcnMvZ3JvdXBz&#10;aGFwZXhtbC54bWxQSwUGAAAAAAYABgBgAQAAygMAAAAA&#10;">
                          <o:lock v:ext="edit" aspectratio="f"/>
                          <v:line id="直线 1110" o:spid="_x0000_s1026" o:spt="20" style="position:absolute;left:12970;top:531109;height:345;width:1;" filled="f" stroked="t" coordsize="21600,21600" o:gfxdata="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Lq1S/&#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Text Box 107" o:spid="_x0000_s1026" o:spt="202" type="#_x0000_t202" style="position:absolute;left:12206;top:531438;height:437;width:1441;" filled="f" stroked="f" coordsize="21600,21600" o:gfxdata="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Wq0/i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46E0E980">
                                  <w:pPr>
                                    <w:jc w:val="center"/>
                                    <w:rPr>
                                      <w:rFonts w:hint="default" w:eastAsia="宋体"/>
                                      <w:sz w:val="24"/>
                                      <w:szCs w:val="24"/>
                                      <w:lang w:val="en-US" w:eastAsia="zh-CN"/>
                                    </w:rPr>
                                  </w:pPr>
                                  <w:r>
                                    <w:rPr>
                                      <w:rFonts w:hint="eastAsia"/>
                                      <w:sz w:val="24"/>
                                      <w:szCs w:val="24"/>
                                      <w:lang w:val="en-US" w:eastAsia="zh-CN"/>
                                    </w:rPr>
                                    <w:t>储存、待用</w:t>
                                  </w:r>
                                </w:p>
                              </w:txbxContent>
                            </v:textbox>
                          </v:shape>
                        </v:group>
                      </v:group>
                      <v:group id="_x0000_s1026" o:spid="_x0000_s1026" o:spt="203" style="position:absolute;left:11209;top:528603;height:3270;width:3222;" coordorigin="11321,528603" coordsize="3222,3270" o:gfxdata="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yaxDW+AAAA3AAAAA8AAAAAAAAAAQAgAAAAIgAAAGRycy9kb3ducmV2Lnht&#10;bFBLAQIUABQAAAAIAIdO4kAzLwWeOwAAADkAAAAVAAAAAAAAAAEAIAAAAA0BAABkcnMvZ3JvdXBz&#10;aGFwZXhtbC54bWxQSwUGAAAAAAYABgBgAQAAygMAAAAA&#10;">
                        <o:lock v:ext="edit" aspectratio="f"/>
                        <v:group id="组合 526" o:spid="_x0000_s1026" o:spt="203" style="position:absolute;left:11321;top:528603;height:2746;width:3222;" coordorigin="11321,528603" coordsize="3222,2746" o:gfxdata="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Yeft1vAAAANwAAAAPAAAAAAAAAAEAIAAAACIAAABkcnMvZG93bnJldi54bWxQ&#10;SwECFAAUAAAACACHTuJAMy8FnjsAAAA5AAAAFQAAAAAAAAABACAAAAALAQAAZHJzL2dyb3Vwc2hh&#10;cGV4bWwueG1sUEsFBgAAAAAGAAYAYAEAAMgDAAAAAA==&#10;">
                          <o:lock v:ext="edit" aspectratio="f"/>
                          <v:line id="直线 1112" o:spid="_x0000_s1026" o:spt="20" style="position:absolute;left:12956;top:530054;height:345;width:1;" filled="f" stroked="t" coordsize="21600,21600" o:gfxdata="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Ej2J&#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Text Box 107" o:spid="_x0000_s1026" o:spt="202" type="#_x0000_t202" style="position:absolute;left:12041;top:528603;height:735;width:1753;" filled="f" stroked="f" coordsize="21600,21600" o:gfxdata="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zRSW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49353D33">
                                  <w:pPr>
                                    <w:jc w:val="center"/>
                                    <w:rPr>
                                      <w:rFonts w:hint="eastAsia"/>
                                      <w:sz w:val="24"/>
                                      <w:szCs w:val="24"/>
                                      <w:lang w:val="en-US" w:eastAsia="zh-CN"/>
                                    </w:rPr>
                                  </w:pPr>
                                  <w:r>
                                    <w:rPr>
                                      <w:rFonts w:hint="eastAsia"/>
                                      <w:sz w:val="24"/>
                                      <w:szCs w:val="24"/>
                                      <w:lang w:val="en-US" w:eastAsia="zh-CN"/>
                                    </w:rPr>
                                    <w:t>微晶蜡</w:t>
                                  </w:r>
                                </w:p>
                                <w:p w14:paraId="1A2D0DB9">
                                  <w:pPr>
                                    <w:jc w:val="center"/>
                                    <w:rPr>
                                      <w:rFonts w:hint="default" w:eastAsia="宋体"/>
                                      <w:sz w:val="24"/>
                                      <w:szCs w:val="24"/>
                                      <w:lang w:val="en-US" w:eastAsia="zh-CN"/>
                                    </w:rPr>
                                  </w:pPr>
                                  <w:r>
                                    <w:rPr>
                                      <w:rFonts w:hint="eastAsia"/>
                                      <w:sz w:val="24"/>
                                      <w:szCs w:val="24"/>
                                      <w:lang w:val="en-US" w:eastAsia="zh-CN"/>
                                    </w:rPr>
                                    <w:t>（液体，汽运）</w:t>
                                  </w:r>
                                </w:p>
                              </w:txbxContent>
                            </v:textbox>
                          </v:shape>
                          <v:line id="直线 1108" o:spid="_x0000_s1026" o:spt="20" style="position:absolute;left:12971;top:529264;height:345;width:1;" filled="f" stroked="t" coordsize="21600,21600" o:gfxdata="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OMBmW/&#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1109" o:spid="_x0000_s1026" o:spt="202" type="#_x0000_t202" style="position:absolute;left:12478;top:529594;height:435;width:928;" fillcolor="#FFFFFF" filled="t" stroked="t" coordsize="21600,21600" o:gfxdata="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VZbD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76C7785B">
                                  <w:pPr>
                                    <w:jc w:val="center"/>
                                    <w:rPr>
                                      <w:rFonts w:hint="eastAsia" w:eastAsia="宋体"/>
                                      <w:sz w:val="24"/>
                                      <w:szCs w:val="24"/>
                                      <w:lang w:val="en-US" w:eastAsia="zh-CN"/>
                                    </w:rPr>
                                  </w:pPr>
                                  <w:r>
                                    <w:rPr>
                                      <w:rFonts w:hint="eastAsia"/>
                                      <w:sz w:val="24"/>
                                      <w:szCs w:val="24"/>
                                      <w:lang w:val="en-US" w:eastAsia="zh-CN"/>
                                    </w:rPr>
                                    <w:t>卸车</w:t>
                                  </w:r>
                                </w:p>
                              </w:txbxContent>
                            </v:textbox>
                          </v:shape>
                          <v:shape id="Text Box 107" o:spid="_x0000_s1026" o:spt="202" type="#_x0000_t202" style="position:absolute;left:11321;top:530343;height:1007;width:3222;" filled="f" stroked="f" coordsize="21600,21600" o:gfxdata="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mt1R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A5B6A2C">
                                  <w:pPr>
                                    <w:jc w:val="center"/>
                                    <w:rPr>
                                      <w:rFonts w:hint="eastAsia"/>
                                      <w:sz w:val="24"/>
                                      <w:szCs w:val="24"/>
                                      <w:lang w:val="en-US" w:eastAsia="zh-CN"/>
                                    </w:rPr>
                                  </w:pPr>
                                  <w:r>
                                    <w:rPr>
                                      <w:rFonts w:hint="eastAsia"/>
                                      <w:sz w:val="24"/>
                                      <w:szCs w:val="24"/>
                                      <w:lang w:val="en-US" w:eastAsia="zh-CN"/>
                                    </w:rPr>
                                    <w:t>原料罐</w:t>
                                  </w:r>
                                </w:p>
                                <w:p w14:paraId="4AA2988F">
                                  <w:pPr>
                                    <w:pStyle w:val="12"/>
                                    <w:jc w:val="center"/>
                                    <w:rPr>
                                      <w:rFonts w:hint="default"/>
                                      <w:sz w:val="24"/>
                                      <w:szCs w:val="24"/>
                                      <w:lang w:val="en-US" w:eastAsia="zh-CN"/>
                                    </w:rPr>
                                  </w:pPr>
                                  <w:r>
                                    <w:rPr>
                                      <w:rFonts w:hint="eastAsia"/>
                                      <w:sz w:val="24"/>
                                      <w:szCs w:val="24"/>
                                      <w:lang w:val="en-US" w:eastAsia="zh-CN"/>
                                    </w:rPr>
                                    <w:t>（23m</w:t>
                                  </w:r>
                                  <w:r>
                                    <w:rPr>
                                      <w:rFonts w:hint="eastAsia"/>
                                      <w:sz w:val="24"/>
                                      <w:szCs w:val="24"/>
                                      <w:vertAlign w:val="superscript"/>
                                      <w:lang w:val="en-US" w:eastAsia="zh-CN"/>
                                    </w:rPr>
                                    <w:t>3</w:t>
                                  </w:r>
                                  <w:r>
                                    <w:rPr>
                                      <w:rFonts w:hint="eastAsia"/>
                                      <w:sz w:val="24"/>
                                      <w:szCs w:val="24"/>
                                      <w:lang w:val="en-US" w:eastAsia="zh-CN"/>
                                    </w:rPr>
                                    <w:t>×11）</w:t>
                                  </w:r>
                                </w:p>
                              </w:txbxContent>
                            </v:textbox>
                          </v:shape>
                        </v:group>
                        <v:group id="组合 527" o:spid="_x0000_s1026" o:spt="203" style="position:absolute;left:12206;top:531109;height:765;width:1440;" coordorigin="12206,531109" coordsize="1440,765" o:gfxdata="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uNzGmsAAAADcAAAADwAAAAAAAAABACAAAAAiAAAAZHJzL2Rvd25yZXYu&#10;eG1sUEsBAhQAFAAAAAgAh07iQDMvBZ47AAAAOQAAABUAAAAAAAAAAQAgAAAADwEAAGRycy9ncm91&#10;cHNoYXBleG1sLnhtbFBLBQYAAAAABgAGAGABAADMAwAAAAA=&#10;">
                          <o:lock v:ext="edit" aspectratio="f"/>
                          <v:line id="直线 1110" o:spid="_x0000_s1026" o:spt="20" style="position:absolute;left:12970;top:531109;height:345;width:1;" filled="f" stroked="t" coordsize="21600,21600" o:gfxdata="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twBm&#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Text Box 107" o:spid="_x0000_s1026" o:spt="202" type="#_x0000_t202" style="position:absolute;left:12206;top:531438;height:437;width:1441;" filled="f" stroked="f" coordsize="21600,21600" o:gfxdata="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bcs+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1DEE94A0">
                                  <w:pPr>
                                    <w:jc w:val="center"/>
                                    <w:rPr>
                                      <w:rFonts w:hint="default" w:eastAsia="宋体"/>
                                      <w:sz w:val="24"/>
                                      <w:szCs w:val="24"/>
                                      <w:lang w:val="en-US" w:eastAsia="zh-CN"/>
                                    </w:rPr>
                                  </w:pPr>
                                  <w:r>
                                    <w:rPr>
                                      <w:rFonts w:hint="eastAsia"/>
                                      <w:sz w:val="24"/>
                                      <w:szCs w:val="24"/>
                                      <w:lang w:val="en-US" w:eastAsia="zh-CN"/>
                                    </w:rPr>
                                    <w:t>储存、待用</w:t>
                                  </w:r>
                                </w:p>
                              </w:txbxContent>
                            </v:textbox>
                          </v:shape>
                        </v:group>
                      </v:group>
                      <v:group id="_x0000_s1026" o:spid="_x0000_s1026" o:spt="203" style="position:absolute;left:8213;top:531748;height:1145;width:4664;" coordorigin="8213,531748" coordsize="4664,1145" o:gfxdata="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XRvU2+AAAA3AAAAA8AAAAAAAAAAQAgAAAAIgAAAGRycy9kb3ducmV2Lnht&#10;bFBLAQIUABQAAAAIAIdO4kAzLwWeOwAAADkAAAAVAAAAAAAAAAEAIAAAAA0BAABkcnMvZ3JvdXBz&#10;aGFwZXhtbC54bWxQSwUGAAAAAAYABgBgAQAAygMAAAAA&#10;">
                        <o:lock v:ext="edit" aspectratio="f"/>
                        <v:group id="_x0000_s1026" o:spid="_x0000_s1026" o:spt="203" style="position:absolute;left:8213;top:531748;height:344;width:4665;" coordorigin="10590,531748" coordsize="4665,344" o:gfxdata="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8K0Wf8AAAADcAAAADwAAAAAAAAABACAAAAAiAAAAZHJzL2Rvd25yZXYu&#10;eG1sUEsBAhQAFAAAAAgAh07iQDMvBZ47AAAAOQAAABUAAAAAAAAAAQAgAAAADwEAAGRycy9ncm91&#10;cHNoYXBleG1sLnhtbFBLBQYAAAAABgAGAGABAADMAwAAAAA=&#10;">
                          <o:lock v:ext="edit" aspectratio="f"/>
                          <v:line id="_x0000_s1026" o:spid="_x0000_s1026" o:spt="20" style="position:absolute;left:10590;top:531763;height:315;width:0;" filled="f" stroked="t" coordsize="21600,21600" o:gfxdata="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JFYe&#10;wAAAANwAAAAPAAAAAAAAAAEAIAAAACIAAABkcnMvZG93bnJldi54bWxQSwECFAAUAAAACACHTuJA&#10;My8FnjsAAAA5AAAAEAAAAAAAAAABACAAAAAPAQAAZHJzL3NoYXBleG1sLnhtbFBLBQYAAAAABgAG&#10;AFsBAAC5AwAAAAA=&#10;">
                            <v:fill on="f" focussize="0,0"/>
                            <v:stroke color="#000000 [3213]" joinstyle="round"/>
                            <v:imagedata o:title=""/>
                            <o:lock v:ext="edit" aspectratio="f"/>
                          </v:line>
                          <v:line id="_x0000_s1026" o:spid="_x0000_s1026" o:spt="20" style="position:absolute;left:12990;top:531748;height:315;width:0;" filled="f" stroked="t" coordsize="21600,21600" o:gfxdata="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YjP68AAAA&#10;3AAAAA8AAAAAAAAAAQAgAAAAIgAAAGRycy9kb3ducmV2LnhtbFBLAQIUABQAAAAIAIdO4kAzLwWe&#10;OwAAADkAAAAQAAAAAAAAAAEAIAAAAAsBAABkcnMvc2hhcGV4bWwueG1sUEsFBgAAAAAGAAYAWwEA&#10;ALUDAAAAAA==&#10;">
                            <v:fill on="f" focussize="0,0"/>
                            <v:stroke color="#000000 [3213]" joinstyle="round"/>
                            <v:imagedata o:title=""/>
                            <o:lock v:ext="edit" aspectratio="f"/>
                          </v:line>
                          <v:line id="_x0000_s1026" o:spid="_x0000_s1026" o:spt="20" style="position:absolute;left:15225;top:531778;height:315;width:0;" filled="f" stroked="t" coordsize="21600,21600" o:gfxdata="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UKWW/&#10;AAAA3AAAAA8AAAAAAAAAAQAgAAAAIgAAAGRycy9kb3ducmV2LnhtbFBLAQIUABQAAAAIAIdO4kAz&#10;LwWeOwAAADkAAAAQAAAAAAAAAAEAIAAAAA4BAABkcnMvc2hhcGV4bWwueG1sUEsFBgAAAAAGAAYA&#10;WwEAALgDAAAAAA==&#10;">
                            <v:fill on="f" focussize="0,0"/>
                            <v:stroke color="#000000 [3213]" joinstyle="round"/>
                            <v:imagedata o:title=""/>
                            <o:lock v:ext="edit" aspectratio="f"/>
                          </v:line>
                          <v:line id="_x0000_s1026" o:spid="_x0000_s1026" o:spt="20" style="position:absolute;left:10605;top:532078;height:15;width:4650;" filled="f" stroked="t" coordsize="21600,21600" o:gfxdata="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GtxK/&#10;AAAA3AAAAA8AAAAAAAAAAQAgAAAAIgAAAGRycy9kb3ducmV2LnhtbFBLAQIUABQAAAAIAIdO4kAz&#10;LwWeOwAAADkAAAAQAAAAAAAAAAEAIAAAAA4BAABkcnMvc2hhcGV4bWwueG1sUEsFBgAAAAAGAAYA&#10;WwEAALgDAAAAAA==&#10;">
                            <v:fill on="f" focussize="0,0"/>
                            <v:stroke color="#000000 [3213]" joinstyle="round"/>
                            <v:imagedata o:title=""/>
                            <o:lock v:ext="edit" aspectratio="f"/>
                          </v:line>
                        </v:group>
                        <v:line id="直线 1108" o:spid="_x0000_s1026" o:spt="20" style="position:absolute;left:10624;top:532084;height:345;width:1;" filled="f" stroked="t" coordsize="21600,21600" o:gfxdata="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YkLy&#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109" o:spid="_x0000_s1026" o:spt="202" type="#_x0000_t202" style="position:absolute;left:10086;top:532459;height:435;width:1062;" fillcolor="#FFFFFF" filled="t" stroked="t" coordsize="21600,21600" o:gfxdata="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7K4r7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1AD016B7">
                                <w:pPr>
                                  <w:jc w:val="center"/>
                                  <w:rPr>
                                    <w:rFonts w:hint="default" w:eastAsia="宋体"/>
                                    <w:sz w:val="24"/>
                                    <w:szCs w:val="24"/>
                                    <w:lang w:val="en-US" w:eastAsia="zh-CN"/>
                                  </w:rPr>
                                </w:pPr>
                                <w:r>
                                  <w:rPr>
                                    <w:rFonts w:hint="eastAsia"/>
                                    <w:sz w:val="24"/>
                                    <w:szCs w:val="24"/>
                                    <w:lang w:val="en-US" w:eastAsia="zh-CN"/>
                                  </w:rPr>
                                  <w:t>待调合</w:t>
                                </w:r>
                              </w:p>
                            </w:txbxContent>
                          </v:textbox>
                        </v:shape>
                      </v:group>
                    </v:group>
                  </w:pict>
                </mc:Fallback>
              </mc:AlternateContent>
            </w:r>
          </w:p>
          <w:p w14:paraId="599F95B8">
            <w:pPr>
              <w:pStyle w:val="2"/>
              <w:keepNext w:val="0"/>
              <w:keepLines w:val="0"/>
              <w:suppressLineNumbers w:val="0"/>
              <w:spacing w:before="0" w:beforeAutospacing="0" w:after="0" w:afterAutospacing="0" w:line="360" w:lineRule="exact"/>
              <w:ind w:left="0" w:right="0"/>
              <w:rPr>
                <w:color w:val="auto"/>
                <w:sz w:val="21"/>
                <w:szCs w:val="21"/>
                <w:highlight w:val="none"/>
              </w:rPr>
            </w:pPr>
          </w:p>
          <w:p w14:paraId="6E7F239D">
            <w:pPr>
              <w:pStyle w:val="2"/>
              <w:keepNext w:val="0"/>
              <w:keepLines w:val="0"/>
              <w:suppressLineNumbers w:val="0"/>
              <w:spacing w:before="0" w:beforeAutospacing="0" w:after="0" w:afterAutospacing="0" w:line="360" w:lineRule="exact"/>
              <w:ind w:left="0" w:right="0"/>
              <w:rPr>
                <w:color w:val="auto"/>
                <w:sz w:val="21"/>
                <w:szCs w:val="21"/>
                <w:highlight w:val="none"/>
              </w:rPr>
            </w:pPr>
          </w:p>
          <w:p w14:paraId="434DB847">
            <w:pPr>
              <w:pStyle w:val="2"/>
              <w:keepNext w:val="0"/>
              <w:keepLines w:val="0"/>
              <w:suppressLineNumbers w:val="0"/>
              <w:spacing w:before="0" w:beforeAutospacing="0" w:after="0" w:afterAutospacing="0" w:line="360" w:lineRule="exact"/>
              <w:ind w:left="0" w:right="0"/>
              <w:rPr>
                <w:color w:val="auto"/>
                <w:sz w:val="21"/>
                <w:szCs w:val="21"/>
                <w:highlight w:val="none"/>
              </w:rPr>
            </w:pPr>
          </w:p>
          <w:p w14:paraId="37976438">
            <w:pPr>
              <w:pStyle w:val="2"/>
              <w:keepNext w:val="0"/>
              <w:keepLines w:val="0"/>
              <w:suppressLineNumbers w:val="0"/>
              <w:spacing w:before="0" w:beforeAutospacing="0" w:after="0" w:afterAutospacing="0" w:line="360" w:lineRule="exact"/>
              <w:ind w:left="0" w:right="0"/>
              <w:rPr>
                <w:color w:val="auto"/>
                <w:sz w:val="21"/>
                <w:szCs w:val="21"/>
                <w:highlight w:val="none"/>
              </w:rPr>
            </w:pPr>
            <w:r>
              <w:rPr>
                <w:color w:val="auto"/>
                <w:sz w:val="21"/>
                <w:highlight w:val="none"/>
              </w:rPr>
              <mc:AlternateContent>
                <mc:Choice Requires="wpg">
                  <w:drawing>
                    <wp:anchor distT="0" distB="0" distL="114300" distR="114300" simplePos="0" relativeHeight="251727872" behindDoc="0" locked="0" layoutInCell="1" allowOverlap="1">
                      <wp:simplePos x="0" y="0"/>
                      <wp:positionH relativeFrom="column">
                        <wp:posOffset>4237355</wp:posOffset>
                      </wp:positionH>
                      <wp:positionV relativeFrom="paragraph">
                        <wp:posOffset>138430</wp:posOffset>
                      </wp:positionV>
                      <wp:extent cx="771525" cy="632460"/>
                      <wp:effectExtent l="0" t="0" r="0" b="0"/>
                      <wp:wrapNone/>
                      <wp:docPr id="215" name="组合 215"/>
                      <wp:cNvGraphicFramePr/>
                      <a:graphic xmlns:a="http://schemas.openxmlformats.org/drawingml/2006/main">
                        <a:graphicData uri="http://schemas.microsoft.com/office/word/2010/wordprocessingGroup">
                          <wpg:wgp>
                            <wpg:cNvGrpSpPr/>
                            <wpg:grpSpPr>
                              <a:xfrm>
                                <a:off x="0" y="0"/>
                                <a:ext cx="771525" cy="632460"/>
                                <a:chOff x="12960" y="510725"/>
                                <a:chExt cx="1215" cy="996"/>
                              </a:xfrm>
                            </wpg:grpSpPr>
                            <wps:wsp>
                              <wps:cNvPr id="204" name="直接箭头连接符 204"/>
                              <wps:cNvCnPr/>
                              <wps:spPr>
                                <a:xfrm>
                                  <a:off x="12960" y="511345"/>
                                  <a:ext cx="435" cy="0"/>
                                </a:xfrm>
                                <a:prstGeom prst="straightConnector1">
                                  <a:avLst/>
                                </a:prstGeom>
                                <a:ln w="12700" cmpd="sng">
                                  <a:noFill/>
                                  <a:prstDash val="sysDash"/>
                                  <a:tailEnd type="triangle"/>
                                </a:ln>
                              </wps:spPr>
                              <wps:style>
                                <a:lnRef idx="2">
                                  <a:schemeClr val="accent1"/>
                                </a:lnRef>
                                <a:fillRef idx="0">
                                  <a:srgbClr val="FFFFFF"/>
                                </a:fillRef>
                                <a:effectRef idx="0">
                                  <a:srgbClr val="FFFFFF"/>
                                </a:effectRef>
                                <a:fontRef idx="minor">
                                  <a:schemeClr val="tx1"/>
                                </a:fontRef>
                              </wps:style>
                              <wps:bodyPr/>
                            </wps:wsp>
                            <wps:wsp>
                              <wps:cNvPr id="205" name="文本框 205"/>
                              <wps:cNvSpPr txBox="1"/>
                              <wps:spPr>
                                <a:xfrm>
                                  <a:off x="13245" y="510725"/>
                                  <a:ext cx="930" cy="99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B9C6D">
                                    <w:pPr>
                                      <w:rPr>
                                        <w:rFonts w:hint="default"/>
                                        <w:lang w:val="en-US" w:eastAsia="zh-CN"/>
                                      </w:rPr>
                                    </w:pPr>
                                    <w:r>
                                      <w:rPr>
                                        <w:rFonts w:hint="eastAsia"/>
                                        <w:lang w:val="en-US" w:eastAsia="zh-CN"/>
                                      </w:rPr>
                                      <w:t>G1-3</w:t>
                                    </w:r>
                                  </w:p>
                                  <w:p w14:paraId="5510E0A2">
                                    <w:pPr>
                                      <w:rPr>
                                        <w:rFonts w:hint="default" w:eastAsia="宋体"/>
                                        <w:lang w:val="en-US" w:eastAsia="zh-CN"/>
                                      </w:rPr>
                                    </w:pPr>
                                    <w:r>
                                      <w:rPr>
                                        <w:rFonts w:hint="eastAsia"/>
                                        <w:lang w:val="en-US" w:eastAsia="zh-CN"/>
                                      </w:rPr>
                                      <w:t>大小呼吸废气</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333.65pt;margin-top:10.9pt;height:49.8pt;width:60.75pt;z-index:251727872;mso-width-relative:page;mso-height-relative:page;" coordorigin="12960,510725" coordsize="1215,996" o:gfxdata="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AWTRuU2gAAAAoBAAAPAAAAAAAAAAEAIAAAACIAAABkcnMvZG93bnJldi54bWxQ&#10;SwECFAAUAAAACACHTuJA9T5QxUsDAABwBwAADgAAAAAAAAABACAAAAApAQAAZHJzL2Uyb0RvYy54&#10;bWxQSwUGAAAAAAYABgBZAQAA5gYAAAAA&#10;">
                      <o:lock v:ext="edit" aspectratio="f"/>
                      <v:shape id="_x0000_s1026" o:spid="_x0000_s1026" o:spt="32" type="#_x0000_t32" style="position:absolute;left:12960;top:511345;height:0;width:435;" filled="f" stroked="f" coordsize="21600,21600" o:gfxdata="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6rp2&#10;wAAAANwAAAAPAAAAAAAAAAEAIAAAACIAAABkcnMvZG93bnJldi54bWxQSwECFAAUAAAACACHTuJA&#10;My8FnjsAAAA5AAAAEAAAAAAAAAABACAAAAAPAQAAZHJzL3NoYXBleG1sLnhtbFBLBQYAAAAABgAG&#10;AFsBAAC5AwAAAAA=&#10;">
                        <v:fill on="f" focussize="0,0"/>
                        <v:stroke on="f" weight="1pt" dashstyle="3 1" endarrow="block"/>
                        <v:imagedata o:title=""/>
                        <o:lock v:ext="edit" aspectratio="f"/>
                      </v:shape>
                      <v:shape id="_x0000_s1026" o:spid="_x0000_s1026" o:spt="202" type="#_x0000_t202" style="position:absolute;left:13245;top:510725;height:996;width:930;" filled="f" stroked="f" coordsize="21600,21600" o:gfxdata="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Yz2q/&#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67B9C6D">
                              <w:pPr>
                                <w:rPr>
                                  <w:rFonts w:hint="default"/>
                                  <w:lang w:val="en-US" w:eastAsia="zh-CN"/>
                                </w:rPr>
                              </w:pPr>
                              <w:r>
                                <w:rPr>
                                  <w:rFonts w:hint="eastAsia"/>
                                  <w:lang w:val="en-US" w:eastAsia="zh-CN"/>
                                </w:rPr>
                                <w:t>G1-3</w:t>
                              </w:r>
                            </w:p>
                            <w:p w14:paraId="5510E0A2">
                              <w:pPr>
                                <w:rPr>
                                  <w:rFonts w:hint="default" w:eastAsia="宋体"/>
                                  <w:lang w:val="en-US" w:eastAsia="zh-CN"/>
                                </w:rPr>
                              </w:pPr>
                              <w:r>
                                <w:rPr>
                                  <w:rFonts w:hint="eastAsia"/>
                                  <w:lang w:val="en-US" w:eastAsia="zh-CN"/>
                                </w:rPr>
                                <w:t>大小呼吸废气</w:t>
                              </w:r>
                            </w:p>
                          </w:txbxContent>
                        </v:textbox>
                      </v:shape>
                    </v:group>
                  </w:pict>
                </mc:Fallback>
              </mc:AlternateContent>
            </w:r>
          </w:p>
          <w:p w14:paraId="29FD4ADA">
            <w:pPr>
              <w:pStyle w:val="2"/>
              <w:keepNext w:val="0"/>
              <w:keepLines w:val="0"/>
              <w:suppressLineNumbers w:val="0"/>
              <w:spacing w:before="0" w:beforeAutospacing="0" w:after="0" w:afterAutospacing="0" w:line="360" w:lineRule="exact"/>
              <w:ind w:left="0" w:right="0"/>
              <w:rPr>
                <w:color w:val="auto"/>
                <w:sz w:val="21"/>
                <w:szCs w:val="21"/>
                <w:highlight w:val="none"/>
              </w:rPr>
            </w:pPr>
          </w:p>
          <w:p w14:paraId="6B3DCBC7">
            <w:pPr>
              <w:pStyle w:val="2"/>
              <w:keepNext w:val="0"/>
              <w:keepLines w:val="0"/>
              <w:suppressLineNumbers w:val="0"/>
              <w:spacing w:before="0" w:beforeAutospacing="0" w:after="0" w:afterAutospacing="0" w:line="360" w:lineRule="exact"/>
              <w:ind w:left="0" w:right="0"/>
              <w:rPr>
                <w:color w:val="auto"/>
                <w:sz w:val="21"/>
                <w:szCs w:val="21"/>
                <w:highlight w:val="none"/>
              </w:rPr>
            </w:pPr>
            <w:r>
              <w:rPr>
                <w:color w:val="auto"/>
                <w:sz w:val="24"/>
              </w:rPr>
              <mc:AlternateContent>
                <mc:Choice Requires="wps">
                  <w:drawing>
                    <wp:anchor distT="0" distB="0" distL="114300" distR="114300" simplePos="0" relativeHeight="251791360" behindDoc="0" locked="0" layoutInCell="1" allowOverlap="1">
                      <wp:simplePos x="0" y="0"/>
                      <wp:positionH relativeFrom="column">
                        <wp:posOffset>4228465</wp:posOffset>
                      </wp:positionH>
                      <wp:positionV relativeFrom="paragraph">
                        <wp:posOffset>50165</wp:posOffset>
                      </wp:positionV>
                      <wp:extent cx="295275" cy="0"/>
                      <wp:effectExtent l="0" t="38100" r="9525" b="38100"/>
                      <wp:wrapNone/>
                      <wp:docPr id="134" name="直接箭头连接符 134"/>
                      <wp:cNvGraphicFramePr/>
                      <a:graphic xmlns:a="http://schemas.openxmlformats.org/drawingml/2006/main">
                        <a:graphicData uri="http://schemas.microsoft.com/office/word/2010/wordprocessingShape">
                          <wps:wsp>
                            <wps:cNvCnPr/>
                            <wps:spPr>
                              <a:xfrm>
                                <a:off x="5424170" y="4977130"/>
                                <a:ext cx="295275" cy="0"/>
                              </a:xfrm>
                              <a:prstGeom prst="straightConnector1">
                                <a:avLst/>
                              </a:prstGeom>
                              <a:ln w="9525">
                                <a:solidFill>
                                  <a:schemeClr val="tx1"/>
                                </a:solidFill>
                                <a:prstDash val="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32.95pt;margin-top:3.95pt;height:0pt;width:23.25pt;z-index:251791360;mso-width-relative:page;mso-height-relative:page;" filled="f" stroked="t" coordsize="21600,21600" o:gfxdata="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RtiZ9MAAAAHAQAADwAAAAAAAAABACAAAAAiAAAAZHJz&#10;L2Rvd25yZXYueG1sUEsBAhQAFAAAAAgAh07iQFtrrv0JAgAA2AMAAA4AAAAAAAAAAQAgAAAAIgEA&#10;AGRycy9lMm9Eb2MueG1sUEsFBgAAAAAGAAYAWQEAAJ0FAAAAAA==&#10;">
                      <v:fill on="f" focussize="0,0"/>
                      <v:stroke color="#000000 [3213]" joinstyle="round" dashstyle="dash" endarrow="block"/>
                      <v:imagedata o:title=""/>
                      <o:lock v:ext="edit" aspectratio="f"/>
                    </v:shape>
                  </w:pict>
                </mc:Fallback>
              </mc:AlternateContent>
            </w:r>
          </w:p>
          <w:p w14:paraId="33DC030A">
            <w:pPr>
              <w:keepNext w:val="0"/>
              <w:keepLines w:val="0"/>
              <w:suppressLineNumbers w:val="0"/>
              <w:spacing w:before="0" w:beforeAutospacing="0" w:after="0" w:afterAutospacing="0"/>
              <w:ind w:left="0" w:right="0"/>
              <w:rPr>
                <w:color w:val="auto"/>
                <w:highlight w:val="none"/>
              </w:rPr>
            </w:pPr>
          </w:p>
          <w:p w14:paraId="04BB70F6">
            <w:pPr>
              <w:pStyle w:val="2"/>
              <w:keepNext w:val="0"/>
              <w:keepLines w:val="0"/>
              <w:suppressLineNumbers w:val="0"/>
              <w:spacing w:before="0" w:beforeAutospacing="0" w:after="0" w:afterAutospacing="0" w:line="360" w:lineRule="exact"/>
              <w:ind w:left="0" w:right="0"/>
              <w:rPr>
                <w:color w:val="auto"/>
                <w:sz w:val="21"/>
                <w:szCs w:val="21"/>
                <w:highlight w:val="none"/>
              </w:rPr>
            </w:pPr>
          </w:p>
          <w:p w14:paraId="6558A03C">
            <w:pPr>
              <w:pStyle w:val="2"/>
              <w:keepNext w:val="0"/>
              <w:keepLines w:val="0"/>
              <w:suppressLineNumbers w:val="0"/>
              <w:spacing w:before="0" w:beforeAutospacing="0" w:after="0" w:afterAutospacing="0" w:line="360" w:lineRule="exact"/>
              <w:ind w:left="0" w:right="0"/>
              <w:rPr>
                <w:color w:val="auto"/>
                <w:sz w:val="21"/>
                <w:szCs w:val="21"/>
                <w:highlight w:val="none"/>
              </w:rPr>
            </w:pPr>
          </w:p>
          <w:p w14:paraId="13CC1DB1">
            <w:pPr>
              <w:keepNext w:val="0"/>
              <w:keepLines w:val="0"/>
              <w:suppressLineNumbers w:val="0"/>
              <w:spacing w:before="0" w:beforeAutospacing="0" w:after="0" w:afterAutospacing="0"/>
              <w:ind w:left="0" w:right="0"/>
              <w:rPr>
                <w:color w:val="auto"/>
                <w:sz w:val="21"/>
                <w:szCs w:val="21"/>
                <w:highlight w:val="none"/>
              </w:rPr>
            </w:pPr>
            <w:r>
              <w:rPr>
                <w:color w:val="auto"/>
                <w:highlight w:val="none"/>
              </w:rPr>
              <mc:AlternateContent>
                <mc:Choice Requires="wps">
                  <w:drawing>
                    <wp:anchor distT="0" distB="0" distL="114300" distR="114300" simplePos="0" relativeHeight="251790336" behindDoc="0" locked="0" layoutInCell="1" allowOverlap="1">
                      <wp:simplePos x="0" y="0"/>
                      <wp:positionH relativeFrom="column">
                        <wp:posOffset>258445</wp:posOffset>
                      </wp:positionH>
                      <wp:positionV relativeFrom="paragraph">
                        <wp:posOffset>118110</wp:posOffset>
                      </wp:positionV>
                      <wp:extent cx="656590" cy="276225"/>
                      <wp:effectExtent l="0" t="0" r="0" b="0"/>
                      <wp:wrapNone/>
                      <wp:docPr id="42"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656590" cy="276225"/>
                              </a:xfrm>
                              <a:prstGeom prst="rect">
                                <a:avLst/>
                              </a:prstGeom>
                              <a:noFill/>
                              <a:ln>
                                <a:noFill/>
                              </a:ln>
                            </wps:spPr>
                            <wps:txbx>
                              <w:txbxContent>
                                <w:p w14:paraId="7075A811">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20.35pt;margin-top:9.3pt;height:21.75pt;width:51.7pt;z-index:251790336;mso-width-relative:page;mso-height-relative:page;" filled="f" stroked="f" coordsize="21600,21600" o:gfxdata="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&#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lCBMr1gAAAAgBAAAPAAAAAAAAAAEAIAAAACIAAABk&#10;cnMvZG93bnJldi54bWxQSwECFAAUAAAACACHTuJAxUb4cggCAAAWBAAADgAAAAAAAAABACAAAAAl&#10;AQAAZHJzL2Uyb0RvYy54bWxQSwUGAAAAAAYABgBZAQAAnwUAAAAA&#10;">
                      <v:fill on="f" focussize="0,0"/>
                      <v:stroke on="f"/>
                      <v:imagedata o:title=""/>
                      <o:lock v:ext="edit" aspectratio="f"/>
                      <v:textbox>
                        <w:txbxContent>
                          <w:p w14:paraId="7075A811">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v:textbox>
                    </v:shape>
                  </w:pict>
                </mc:Fallback>
              </mc:AlternateContent>
            </w:r>
            <w:r>
              <w:rPr>
                <w:color w:val="auto"/>
                <w:highlight w:val="none"/>
              </w:rPr>
              <mc:AlternateContent>
                <mc:Choice Requires="wps">
                  <w:drawing>
                    <wp:anchor distT="0" distB="0" distL="114300" distR="114300" simplePos="0" relativeHeight="251726848" behindDoc="0" locked="0" layoutInCell="1" allowOverlap="1">
                      <wp:simplePos x="0" y="0"/>
                      <wp:positionH relativeFrom="column">
                        <wp:posOffset>3973195</wp:posOffset>
                      </wp:positionH>
                      <wp:positionV relativeFrom="paragraph">
                        <wp:posOffset>80010</wp:posOffset>
                      </wp:positionV>
                      <wp:extent cx="656590" cy="276225"/>
                      <wp:effectExtent l="0" t="0" r="0" b="0"/>
                      <wp:wrapNone/>
                      <wp:docPr id="208"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656590" cy="276225"/>
                              </a:xfrm>
                              <a:prstGeom prst="rect">
                                <a:avLst/>
                              </a:prstGeom>
                              <a:noFill/>
                              <a:ln>
                                <a:noFill/>
                              </a:ln>
                            </wps:spPr>
                            <wps:txbx>
                              <w:txbxContent>
                                <w:p w14:paraId="434E1047">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312.85pt;margin-top:6.3pt;height:21.75pt;width:51.7pt;z-index:251726848;mso-width-relative:page;mso-height-relative:page;" filled="f" stroked="f" coordsize="21600,21600" o:gfxdata="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0Q7jTXAAAACQEAAA8AAAAAAAAAAQAgAAAAIgAA&#10;AGRycy9kb3ducmV2LnhtbFBLAQIUABQAAAAIAIdO4kD3Cny+CQIAABcEAAAOAAAAAAAAAAEAIAAA&#10;ACYBAABkcnMvZTJvRG9jLnhtbFBLBQYAAAAABgAGAFkBAAChBQAAAAA=&#10;">
                      <v:fill on="f" focussize="0,0"/>
                      <v:stroke on="f"/>
                      <v:imagedata o:title=""/>
                      <o:lock v:ext="edit" aspectratio="f"/>
                      <v:textbox>
                        <w:txbxContent>
                          <w:p w14:paraId="434E1047">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v:textbox>
                    </v:shape>
                  </w:pict>
                </mc:Fallback>
              </mc:AlternateContent>
            </w:r>
          </w:p>
          <w:p w14:paraId="185C7945">
            <w:pPr>
              <w:pStyle w:val="12"/>
              <w:keepNext w:val="0"/>
              <w:keepLines w:val="0"/>
              <w:suppressLineNumbers w:val="0"/>
              <w:spacing w:beforeAutospacing="0" w:afterAutospacing="0"/>
              <w:ind w:left="0"/>
              <w:rPr>
                <w:color w:val="auto"/>
                <w:highlight w:val="none"/>
              </w:rPr>
            </w:pPr>
          </w:p>
          <w:p w14:paraId="68B9D132">
            <w:pPr>
              <w:pStyle w:val="2"/>
              <w:keepNext w:val="0"/>
              <w:keepLines w:val="0"/>
              <w:suppressLineNumbers w:val="0"/>
              <w:spacing w:before="0" w:beforeAutospacing="0" w:after="0" w:afterAutospacing="0" w:line="360" w:lineRule="exact"/>
              <w:ind w:left="0" w:right="0"/>
              <w:rPr>
                <w:color w:val="auto"/>
                <w:sz w:val="21"/>
                <w:szCs w:val="21"/>
                <w:highlight w:val="none"/>
              </w:rPr>
            </w:pPr>
          </w:p>
          <w:p w14:paraId="7AB8F50A">
            <w:pPr>
              <w:pStyle w:val="2"/>
              <w:keepNext w:val="0"/>
              <w:keepLines w:val="0"/>
              <w:suppressLineNumbers w:val="0"/>
              <w:spacing w:before="0" w:beforeAutospacing="0" w:after="0" w:afterAutospacing="0" w:line="360" w:lineRule="auto"/>
              <w:ind w:left="0" w:right="0"/>
              <w:jc w:val="center"/>
              <w:rPr>
                <w:rFonts w:hint="default" w:eastAsia="宋体"/>
                <w:b/>
                <w:color w:val="auto"/>
                <w:sz w:val="24"/>
                <w:szCs w:val="24"/>
                <w:highlight w:val="none"/>
                <w:lang w:val="en-US" w:eastAsia="zh-CN"/>
              </w:rPr>
            </w:pPr>
            <w:r>
              <w:rPr>
                <w:color w:val="auto"/>
                <w:sz w:val="24"/>
              </w:rPr>
              <mc:AlternateContent>
                <mc:Choice Requires="wpg">
                  <w:drawing>
                    <wp:anchor distT="0" distB="0" distL="114300" distR="114300" simplePos="0" relativeHeight="251858944" behindDoc="0" locked="0" layoutInCell="1" allowOverlap="1">
                      <wp:simplePos x="0" y="0"/>
                      <wp:positionH relativeFrom="column">
                        <wp:posOffset>3694430</wp:posOffset>
                      </wp:positionH>
                      <wp:positionV relativeFrom="paragraph">
                        <wp:posOffset>81280</wp:posOffset>
                      </wp:positionV>
                      <wp:extent cx="1143000" cy="675640"/>
                      <wp:effectExtent l="4445" t="4445" r="14605" b="5715"/>
                      <wp:wrapNone/>
                      <wp:docPr id="277" name="组合 277"/>
                      <wp:cNvGraphicFramePr/>
                      <a:graphic xmlns:a="http://schemas.openxmlformats.org/drawingml/2006/main">
                        <a:graphicData uri="http://schemas.microsoft.com/office/word/2010/wordprocessingGroup">
                          <wpg:wgp>
                            <wpg:cNvGrpSpPr/>
                            <wpg:grpSpPr>
                              <a:xfrm>
                                <a:off x="0" y="0"/>
                                <a:ext cx="1143000" cy="675640"/>
                                <a:chOff x="14190" y="572314"/>
                                <a:chExt cx="1800" cy="1064"/>
                              </a:xfrm>
                            </wpg:grpSpPr>
                            <wps:wsp>
                              <wps:cNvPr id="145" name="文本框 145"/>
                              <wps:cNvSpPr txBox="1"/>
                              <wps:spPr>
                                <a:xfrm>
                                  <a:off x="14190" y="572314"/>
                                  <a:ext cx="1800" cy="10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6DBC4D2">
                                    <w:pPr>
                                      <w:keepNext w:val="0"/>
                                      <w:keepLines w:val="0"/>
                                      <w:pageBreakBefore w:val="0"/>
                                      <w:widowControl w:val="0"/>
                                      <w:kinsoku/>
                                      <w:wordWrap/>
                                      <w:overflowPunct/>
                                      <w:topLinePunct w:val="0"/>
                                      <w:bidi w:val="0"/>
                                      <w:adjustRightInd/>
                                      <w:spacing w:line="360" w:lineRule="auto"/>
                                      <w:jc w:val="center"/>
                                      <w:textAlignment w:val="auto"/>
                                      <w:rPr>
                                        <w:rFonts w:hint="eastAsia"/>
                                        <w:sz w:val="21"/>
                                        <w:szCs w:val="21"/>
                                        <w:lang w:val="en-US" w:eastAsia="zh-CN"/>
                                      </w:rPr>
                                    </w:pPr>
                                    <w:r>
                                      <w:rPr>
                                        <w:rFonts w:hint="eastAsia"/>
                                        <w:sz w:val="21"/>
                                        <w:szCs w:val="21"/>
                                        <w:lang w:val="en-US" w:eastAsia="zh-CN"/>
                                      </w:rPr>
                                      <w:t>图例</w:t>
                                    </w:r>
                                  </w:p>
                                  <w:p w14:paraId="73E06B82">
                                    <w:pPr>
                                      <w:pStyle w:val="2"/>
                                      <w:keepNext w:val="0"/>
                                      <w:keepLines w:val="0"/>
                                      <w:pageBreakBefore w:val="0"/>
                                      <w:widowControl w:val="0"/>
                                      <w:kinsoku/>
                                      <w:wordWrap/>
                                      <w:overflowPunct/>
                                      <w:topLinePunct w:val="0"/>
                                      <w:bidi w:val="0"/>
                                      <w:adjustRightInd/>
                                      <w:spacing w:line="360" w:lineRule="auto"/>
                                      <w:ind w:firstLine="840" w:firstLineChars="400"/>
                                      <w:textAlignment w:val="auto"/>
                                      <w:rPr>
                                        <w:rFonts w:hint="eastAsia"/>
                                        <w:lang w:val="en-US" w:eastAsia="zh-CN"/>
                                      </w:rPr>
                                    </w:pPr>
                                    <w:r>
                                      <w:rPr>
                                        <w:rFonts w:hint="eastAsia"/>
                                        <w:sz w:val="21"/>
                                        <w:szCs w:val="21"/>
                                        <w:lang w:val="en-US"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6" name="矩形 276"/>
                              <wps:cNvSpPr/>
                              <wps:spPr>
                                <a:xfrm>
                                  <a:off x="14564" y="572861"/>
                                  <a:ext cx="422" cy="223"/>
                                </a:xfrm>
                                <a:prstGeom prst="rect">
                                  <a:avLst/>
                                </a:prstGeom>
                                <a:noFill/>
                                <a:ln w="9525"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0.9pt;margin-top:6.4pt;height:53.2pt;width:90pt;z-index:251858944;mso-width-relative:page;mso-height-relative:page;" coordorigin="14190,572314" coordsize="1800,1064" o:gfxdata="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">
                      <o:lock v:ext="edit" aspectratio="f"/>
                      <v:shape id="_x0000_s1026" o:spid="_x0000_s1026" o:spt="202" type="#_x0000_t202" style="position:absolute;left:14190;top:572314;height:1065;width:1800;" fillcolor="#FFFFFF [3201]" filled="t" stroked="t" coordsize="21600,21600" o:gfxdata="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9rkMbr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06DBC4D2">
                              <w:pPr>
                                <w:keepNext w:val="0"/>
                                <w:keepLines w:val="0"/>
                                <w:pageBreakBefore w:val="0"/>
                                <w:widowControl w:val="0"/>
                                <w:kinsoku/>
                                <w:wordWrap/>
                                <w:overflowPunct/>
                                <w:topLinePunct w:val="0"/>
                                <w:bidi w:val="0"/>
                                <w:adjustRightInd/>
                                <w:spacing w:line="360" w:lineRule="auto"/>
                                <w:jc w:val="center"/>
                                <w:textAlignment w:val="auto"/>
                                <w:rPr>
                                  <w:rFonts w:hint="eastAsia"/>
                                  <w:sz w:val="21"/>
                                  <w:szCs w:val="21"/>
                                  <w:lang w:val="en-US" w:eastAsia="zh-CN"/>
                                </w:rPr>
                              </w:pPr>
                              <w:r>
                                <w:rPr>
                                  <w:rFonts w:hint="eastAsia"/>
                                  <w:sz w:val="21"/>
                                  <w:szCs w:val="21"/>
                                  <w:lang w:val="en-US" w:eastAsia="zh-CN"/>
                                </w:rPr>
                                <w:t>图例</w:t>
                              </w:r>
                            </w:p>
                            <w:p w14:paraId="73E06B82">
                              <w:pPr>
                                <w:pStyle w:val="2"/>
                                <w:keepNext w:val="0"/>
                                <w:keepLines w:val="0"/>
                                <w:pageBreakBefore w:val="0"/>
                                <w:widowControl w:val="0"/>
                                <w:kinsoku/>
                                <w:wordWrap/>
                                <w:overflowPunct/>
                                <w:topLinePunct w:val="0"/>
                                <w:bidi w:val="0"/>
                                <w:adjustRightInd/>
                                <w:spacing w:line="360" w:lineRule="auto"/>
                                <w:ind w:firstLine="840" w:firstLineChars="400"/>
                                <w:textAlignment w:val="auto"/>
                                <w:rPr>
                                  <w:rFonts w:hint="eastAsia"/>
                                  <w:lang w:val="en-US" w:eastAsia="zh-CN"/>
                                </w:rPr>
                              </w:pPr>
                              <w:r>
                                <w:rPr>
                                  <w:rFonts w:hint="eastAsia"/>
                                  <w:sz w:val="21"/>
                                  <w:szCs w:val="21"/>
                                  <w:lang w:val="en-US" w:eastAsia="zh-CN"/>
                                </w:rPr>
                                <w:t>本项目</w:t>
                              </w:r>
                            </w:p>
                          </w:txbxContent>
                        </v:textbox>
                      </v:shape>
                      <v:rect id="_x0000_s1026" o:spid="_x0000_s1026" o:spt="1" style="position:absolute;left:14564;top:572861;height:223;width:422;v-text-anchor:middle;" filled="f" stroked="t" coordsize="21600,21600" o:gfxdata="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0NjH7sAAADc&#10;AAAADwAAAAAAAAABACAAAAAiAAAAZHJzL2Rvd25yZXYueG1sUEsBAhQAFAAAAAgAh07iQDMvBZ47&#10;AAAAOQAAABAAAAAAAAAAAQAgAAAACgEAAGRycy9zaGFwZXhtbC54bWxQSwUGAAAAAAYABgBbAQAA&#10;tAMAAAAA&#10;">
                        <v:fill on="f" focussize="0,0"/>
                        <v:stroke color="#000000 [3213]" joinstyle="round" dashstyle="dash"/>
                        <v:imagedata o:title=""/>
                        <o:lock v:ext="edit" aspectratio="f"/>
                      </v:rect>
                    </v:group>
                  </w:pict>
                </mc:Fallback>
              </mc:AlternateContent>
            </w:r>
            <w:r>
              <w:rPr>
                <w:rFonts w:hint="eastAsia"/>
                <w:b/>
                <w:color w:val="auto"/>
                <w:sz w:val="24"/>
                <w:szCs w:val="24"/>
                <w:highlight w:val="none"/>
                <w:lang w:val="en-US" w:eastAsia="zh-CN"/>
              </w:rPr>
              <w:t xml:space="preserve">                                                                                                                                                                                                                                                                                                                                                                                                                                                                                                                                                                                                                                                                                                                                                                                                                                                                                                                                           </w:t>
            </w:r>
          </w:p>
          <w:p w14:paraId="65F9F830">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607394C0">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71D4CF4B">
            <w:pPr>
              <w:pStyle w:val="2"/>
              <w:keepNext w:val="0"/>
              <w:keepLines w:val="0"/>
              <w:suppressLineNumbers w:val="0"/>
              <w:spacing w:before="0" w:beforeAutospacing="0" w:after="0" w:afterAutospacing="0" w:line="360" w:lineRule="auto"/>
              <w:ind w:left="0" w:right="0"/>
              <w:jc w:val="center"/>
              <w:rPr>
                <w:rFonts w:hint="eastAsia" w:eastAsia="宋体"/>
                <w:b/>
                <w:color w:val="auto"/>
                <w:sz w:val="24"/>
                <w:szCs w:val="24"/>
                <w:highlight w:val="none"/>
                <w:lang w:val="en-US" w:eastAsia="zh-CN"/>
              </w:rPr>
            </w:pPr>
            <w:r>
              <w:rPr>
                <w:rFonts w:hint="eastAsia"/>
                <w:b/>
                <w:color w:val="auto"/>
                <w:sz w:val="24"/>
                <w:szCs w:val="24"/>
                <w:highlight w:val="none"/>
              </w:rPr>
              <w:t>图</w:t>
            </w:r>
            <w:r>
              <w:rPr>
                <w:rFonts w:hint="eastAsia"/>
                <w:b/>
                <w:color w:val="auto"/>
                <w:sz w:val="24"/>
                <w:szCs w:val="24"/>
                <w:highlight w:val="none"/>
                <w:lang w:val="en-US" w:eastAsia="zh-CN"/>
              </w:rPr>
              <w:t>7</w:t>
            </w:r>
            <w:r>
              <w:rPr>
                <w:rFonts w:hint="eastAsia"/>
                <w:b/>
                <w:color w:val="auto"/>
                <w:sz w:val="24"/>
                <w:szCs w:val="24"/>
                <w:highlight w:val="none"/>
              </w:rPr>
              <w:t xml:space="preserve">  </w:t>
            </w:r>
            <w:r>
              <w:rPr>
                <w:rFonts w:hint="eastAsia"/>
                <w:b/>
                <w:color w:val="auto"/>
                <w:sz w:val="24"/>
                <w:szCs w:val="24"/>
                <w:highlight w:val="none"/>
                <w:lang w:val="en-US" w:eastAsia="zh-CN"/>
              </w:rPr>
              <w:t>原料储运</w:t>
            </w:r>
            <w:r>
              <w:rPr>
                <w:rFonts w:hint="eastAsia"/>
                <w:b/>
                <w:color w:val="auto"/>
                <w:sz w:val="24"/>
                <w:szCs w:val="24"/>
                <w:highlight w:val="none"/>
              </w:rPr>
              <w:t>工艺流程</w:t>
            </w:r>
          </w:p>
          <w:p w14:paraId="42298793">
            <w:pPr>
              <w:pStyle w:val="2"/>
              <w:keepNext w:val="0"/>
              <w:keepLines w:val="0"/>
              <w:suppressLineNumbers w:val="0"/>
              <w:snapToGrid/>
              <w:spacing w:before="0" w:beforeAutospacing="0" w:after="0" w:afterAutospacing="0" w:line="360" w:lineRule="auto"/>
              <w:ind w:left="0" w:right="0" w:firstLine="480" w:firstLineChars="200"/>
              <w:rPr>
                <w:b w:val="0"/>
                <w:bCs w:val="0"/>
                <w:color w:val="auto"/>
                <w:sz w:val="24"/>
                <w:szCs w:val="24"/>
                <w:highlight w:val="none"/>
              </w:rPr>
            </w:pPr>
            <w:r>
              <w:rPr>
                <w:rFonts w:hint="eastAsia"/>
                <w:b w:val="0"/>
                <w:bCs w:val="0"/>
                <w:color w:val="auto"/>
                <w:sz w:val="24"/>
                <w:szCs w:val="24"/>
                <w:highlight w:val="none"/>
              </w:rPr>
              <w:t>工艺流程简述：</w:t>
            </w:r>
          </w:p>
          <w:p w14:paraId="77311134">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①固态石油蜡：汉圣化工原料——固态石油蜡主要来源于黑龙江大庆及抚顺石化，由发货地装车经汽运运输至项目所在地原材料储存雨棚，卸车后储存、待用，原料以25kg/袋、袋装包装。</w:t>
            </w:r>
          </w:p>
          <w:p w14:paraId="12CBE19D">
            <w:pPr>
              <w:pStyle w:val="2"/>
              <w:keepNext w:val="0"/>
              <w:keepLines w:val="0"/>
              <w:suppressLineNumbers w:val="0"/>
              <w:snapToGrid/>
              <w:spacing w:before="0" w:beforeAutospacing="0" w:after="0" w:afterAutospacing="0" w:line="360" w:lineRule="auto"/>
              <w:ind w:left="0" w:right="0" w:firstLine="480" w:firstLineChars="200"/>
              <w:rPr>
                <w:rFonts w:hint="default"/>
                <w:b w:val="0"/>
                <w:bCs w:val="0"/>
                <w:color w:val="auto"/>
                <w:sz w:val="24"/>
                <w:szCs w:val="24"/>
                <w:highlight w:val="none"/>
                <w:lang w:val="en-US" w:eastAsia="zh-CN"/>
              </w:rPr>
            </w:pPr>
            <w:r>
              <w:rPr>
                <w:rFonts w:hint="eastAsia"/>
                <w:b w:val="0"/>
                <w:bCs w:val="0"/>
                <w:color w:val="auto"/>
                <w:sz w:val="24"/>
                <w:szCs w:val="24"/>
                <w:highlight w:val="none"/>
                <w:lang w:val="en-US" w:eastAsia="zh-CN"/>
              </w:rPr>
              <w:t xml:space="preserve">固态石油蜡用量约14000t/a，原材料储存雨棚堆存量约3000t、年周转约5次。 </w:t>
            </w:r>
          </w:p>
          <w:p w14:paraId="0B3C33F8">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②液体石油蜡：汉圣化工原料——液体石油蜡来自2个部分，其中：生产食品级包装蜡、医药级凡士林的原料石蜡来自德国汉圣集团总部，采用远洋集装箱罐海运输送、汽运进厂，使用量为12000t/a，卸至2座有效容积为2650m</w:t>
            </w:r>
            <w:r>
              <w:rPr>
                <w:rFonts w:hint="eastAsia"/>
                <w:b w:val="0"/>
                <w:bCs w:val="0"/>
                <w:color w:val="auto"/>
                <w:sz w:val="24"/>
                <w:szCs w:val="24"/>
                <w:highlight w:val="none"/>
                <w:vertAlign w:val="superscript"/>
                <w:lang w:val="en-US" w:eastAsia="zh-CN"/>
              </w:rPr>
              <w:t>3</w:t>
            </w:r>
            <w:r>
              <w:rPr>
                <w:rFonts w:hint="eastAsia"/>
                <w:b w:val="0"/>
                <w:bCs w:val="0"/>
                <w:color w:val="auto"/>
                <w:sz w:val="24"/>
                <w:szCs w:val="24"/>
                <w:highlight w:val="none"/>
                <w:lang w:val="en-US" w:eastAsia="zh-CN"/>
              </w:rPr>
              <w:t>的原料罐；其余原料石蜡来自抚顺石化公司石油二厂，采用管道形式输送进厂，使用量为7000t/a，卸至2座有效容积为2000m</w:t>
            </w:r>
            <w:r>
              <w:rPr>
                <w:rFonts w:hint="eastAsia"/>
                <w:b w:val="0"/>
                <w:bCs w:val="0"/>
                <w:color w:val="auto"/>
                <w:sz w:val="24"/>
                <w:szCs w:val="24"/>
                <w:highlight w:val="none"/>
                <w:vertAlign w:val="superscript"/>
                <w:lang w:val="en-US" w:eastAsia="zh-CN"/>
              </w:rPr>
              <w:t>3</w:t>
            </w:r>
            <w:r>
              <w:rPr>
                <w:rFonts w:hint="eastAsia"/>
                <w:b w:val="0"/>
                <w:bCs w:val="0"/>
                <w:color w:val="auto"/>
                <w:sz w:val="24"/>
                <w:szCs w:val="24"/>
                <w:highlight w:val="none"/>
                <w:lang w:val="en-US" w:eastAsia="zh-CN"/>
              </w:rPr>
              <w:t>的原料罐。</w:t>
            </w:r>
          </w:p>
          <w:p w14:paraId="1852A900">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r>
              <w:rPr>
                <w:rFonts w:hint="eastAsia"/>
                <w:b w:val="0"/>
                <w:bCs w:val="0"/>
                <w:color w:val="auto"/>
                <w:sz w:val="24"/>
                <w:szCs w:val="24"/>
                <w:highlight w:val="none"/>
                <w:lang w:val="en-US" w:eastAsia="zh-CN"/>
              </w:rPr>
              <w:t>③微晶蜡：汉圣化工原料——液体微晶蜡来自抚顺石化公司石油二厂，采用汽运形式输送进厂，使用量为2000t/a，卸至11座有效容积为23m</w:t>
            </w:r>
            <w:r>
              <w:rPr>
                <w:rFonts w:hint="eastAsia"/>
                <w:b w:val="0"/>
                <w:bCs w:val="0"/>
                <w:color w:val="auto"/>
                <w:sz w:val="24"/>
                <w:szCs w:val="24"/>
                <w:highlight w:val="none"/>
                <w:vertAlign w:val="superscript"/>
                <w:lang w:val="en-US" w:eastAsia="zh-CN"/>
              </w:rPr>
              <w:t>3</w:t>
            </w:r>
            <w:r>
              <w:rPr>
                <w:rFonts w:hint="eastAsia"/>
                <w:b w:val="0"/>
                <w:bCs w:val="0"/>
                <w:color w:val="auto"/>
                <w:sz w:val="24"/>
                <w:szCs w:val="24"/>
                <w:highlight w:val="none"/>
                <w:lang w:val="en-US" w:eastAsia="zh-CN"/>
              </w:rPr>
              <w:t>的原料罐。</w:t>
            </w:r>
          </w:p>
          <w:p w14:paraId="01DB4C96">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2" w:firstLineChars="200"/>
              <w:textAlignment w:val="auto"/>
              <w:rPr>
                <w:rFonts w:hint="default"/>
                <w:b/>
                <w:bCs/>
                <w:color w:val="auto"/>
                <w:sz w:val="24"/>
                <w:highlight w:val="none"/>
                <w:lang w:val="en-US" w:eastAsia="zh-CN"/>
              </w:rPr>
            </w:pPr>
            <w:r>
              <w:rPr>
                <w:rFonts w:hint="eastAsia"/>
                <w:b/>
                <w:bCs/>
                <w:color w:val="auto"/>
                <w:sz w:val="24"/>
                <w:highlight w:val="none"/>
                <w:lang w:val="en-US" w:eastAsia="zh-CN"/>
              </w:rPr>
              <w:t>（2）原料精细预处理——橡胶防护蜡</w:t>
            </w:r>
          </w:p>
          <w:p w14:paraId="1D5A7877">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p>
          <w:p w14:paraId="6BF6BF79">
            <w:pPr>
              <w:pStyle w:val="2"/>
              <w:keepNext w:val="0"/>
              <w:keepLines w:val="0"/>
              <w:suppressLineNumbers w:val="0"/>
              <w:snapToGrid/>
              <w:spacing w:before="0" w:beforeAutospacing="0" w:after="0" w:afterAutospacing="0" w:line="360" w:lineRule="auto"/>
              <w:ind w:left="0" w:right="0" w:firstLine="420" w:firstLineChars="200"/>
              <w:rPr>
                <w:b/>
                <w:color w:val="auto"/>
                <w:sz w:val="24"/>
                <w:szCs w:val="24"/>
                <w:highlight w:val="none"/>
              </w:rPr>
            </w:pPr>
            <w:r>
              <w:rPr>
                <w:color w:val="auto"/>
                <w:sz w:val="21"/>
                <w:highlight w:val="none"/>
              </w:rPr>
              <mc:AlternateContent>
                <mc:Choice Requires="wpg">
                  <w:drawing>
                    <wp:anchor distT="0" distB="0" distL="114300" distR="114300" simplePos="0" relativeHeight="251665408" behindDoc="0" locked="0" layoutInCell="1" allowOverlap="1">
                      <wp:simplePos x="0" y="0"/>
                      <wp:positionH relativeFrom="column">
                        <wp:posOffset>259080</wp:posOffset>
                      </wp:positionH>
                      <wp:positionV relativeFrom="paragraph">
                        <wp:posOffset>32385</wp:posOffset>
                      </wp:positionV>
                      <wp:extent cx="4295140" cy="2981960"/>
                      <wp:effectExtent l="4445" t="0" r="5715" b="8255"/>
                      <wp:wrapNone/>
                      <wp:docPr id="41" name="组合 41"/>
                      <wp:cNvGraphicFramePr/>
                      <a:graphic xmlns:a="http://schemas.openxmlformats.org/drawingml/2006/main">
                        <a:graphicData uri="http://schemas.microsoft.com/office/word/2010/wordprocessingGroup">
                          <wpg:wgp>
                            <wpg:cNvGrpSpPr/>
                            <wpg:grpSpPr>
                              <a:xfrm>
                                <a:off x="0" y="0"/>
                                <a:ext cx="4295140" cy="2981960"/>
                                <a:chOff x="6830" y="546341"/>
                                <a:chExt cx="6764" cy="4696"/>
                              </a:xfrm>
                            </wpg:grpSpPr>
                            <wpg:grpSp>
                              <wpg:cNvPr id="17" name="组合 17"/>
                              <wpg:cNvGrpSpPr/>
                              <wpg:grpSpPr>
                                <a:xfrm>
                                  <a:off x="9004" y="546341"/>
                                  <a:ext cx="2354" cy="2385"/>
                                  <a:chOff x="8689" y="546341"/>
                                  <a:chExt cx="2354" cy="2385"/>
                                </a:xfrm>
                              </wpg:grpSpPr>
                              <wps:wsp>
                                <wps:cNvPr id="579" name="Text Box 107"/>
                                <wps:cNvSpPr txBox="1">
                                  <a:spLocks noChangeArrowheads="1"/>
                                </wps:cNvSpPr>
                                <wps:spPr bwMode="auto">
                                  <a:xfrm>
                                    <a:off x="9949" y="546341"/>
                                    <a:ext cx="1094" cy="465"/>
                                  </a:xfrm>
                                  <a:prstGeom prst="rect">
                                    <a:avLst/>
                                  </a:prstGeom>
                                  <a:noFill/>
                                  <a:ln>
                                    <a:noFill/>
                                  </a:ln>
                                </wps:spPr>
                                <wps:txbx>
                                  <w:txbxContent>
                                    <w:p w14:paraId="551D3DDB">
                                      <w:pPr>
                                        <w:jc w:val="center"/>
                                        <w:rPr>
                                          <w:rFonts w:hint="default" w:eastAsia="宋体"/>
                                          <w:sz w:val="24"/>
                                          <w:szCs w:val="24"/>
                                          <w:lang w:val="en-US" w:eastAsia="zh-CN"/>
                                        </w:rPr>
                                      </w:pPr>
                                      <w:r>
                                        <w:rPr>
                                          <w:rFonts w:hint="eastAsia"/>
                                          <w:sz w:val="24"/>
                                          <w:szCs w:val="24"/>
                                          <w:lang w:val="en-US" w:eastAsia="zh-CN"/>
                                        </w:rPr>
                                        <w:t>微晶蜡</w:t>
                                      </w:r>
                                    </w:p>
                                  </w:txbxContent>
                                </wps:txbx>
                                <wps:bodyPr rot="0" vert="horz" wrap="square" lIns="91440" tIns="45720" rIns="91440" bIns="45720" anchor="t" anchorCtr="0" upright="1">
                                  <a:noAutofit/>
                                </wps:bodyPr>
                              </wps:wsp>
                              <wps:wsp>
                                <wps:cNvPr id="584" name="直线 1110"/>
                                <wps:cNvCnPr/>
                                <wps:spPr bwMode="auto">
                                  <a:xfrm>
                                    <a:off x="9918" y="547902"/>
                                    <a:ext cx="1" cy="345"/>
                                  </a:xfrm>
                                  <a:prstGeom prst="line">
                                    <a:avLst/>
                                  </a:prstGeom>
                                  <a:noFill/>
                                  <a:ln w="9525">
                                    <a:solidFill>
                                      <a:srgbClr val="000000"/>
                                    </a:solidFill>
                                    <a:round/>
                                    <a:tailEnd type="triangle" w="med" len="med"/>
                                  </a:ln>
                                </wps:spPr>
                                <wps:bodyPr/>
                              </wps:wsp>
                              <wps:wsp>
                                <wps:cNvPr id="569" name="Text Box 107"/>
                                <wps:cNvSpPr txBox="1">
                                  <a:spLocks noChangeArrowheads="1"/>
                                </wps:cNvSpPr>
                                <wps:spPr bwMode="auto">
                                  <a:xfrm>
                                    <a:off x="8689" y="546356"/>
                                    <a:ext cx="1093" cy="465"/>
                                  </a:xfrm>
                                  <a:prstGeom prst="rect">
                                    <a:avLst/>
                                  </a:prstGeom>
                                  <a:noFill/>
                                  <a:ln>
                                    <a:noFill/>
                                  </a:ln>
                                </wps:spPr>
                                <wps:txbx>
                                  <w:txbxContent>
                                    <w:p w14:paraId="7CEACBBB">
                                      <w:pPr>
                                        <w:jc w:val="center"/>
                                        <w:rPr>
                                          <w:rFonts w:hint="default" w:eastAsia="宋体"/>
                                          <w:sz w:val="24"/>
                                          <w:szCs w:val="24"/>
                                          <w:lang w:val="en-US" w:eastAsia="zh-CN"/>
                                        </w:rPr>
                                      </w:pPr>
                                      <w:r>
                                        <w:rPr>
                                          <w:rFonts w:hint="eastAsia"/>
                                          <w:sz w:val="24"/>
                                          <w:szCs w:val="24"/>
                                          <w:lang w:val="en-US" w:eastAsia="zh-CN"/>
                                        </w:rPr>
                                        <w:t>石油蜡</w:t>
                                      </w:r>
                                    </w:p>
                                  </w:txbxContent>
                                </wps:txbx>
                                <wps:bodyPr rot="0" vert="horz" wrap="square" lIns="91440" tIns="45720" rIns="91440" bIns="45720" anchor="t" anchorCtr="0" upright="1">
                                  <a:noAutofit/>
                                </wps:bodyPr>
                              </wps:wsp>
                              <wps:wsp>
                                <wps:cNvPr id="571" name="文本框 1109"/>
                                <wps:cNvSpPr txBox="1">
                                  <a:spLocks noChangeArrowheads="1"/>
                                </wps:cNvSpPr>
                                <wps:spPr bwMode="auto">
                                  <a:xfrm>
                                    <a:off x="9366" y="547467"/>
                                    <a:ext cx="1062" cy="435"/>
                                  </a:xfrm>
                                  <a:prstGeom prst="rect">
                                    <a:avLst/>
                                  </a:prstGeom>
                                  <a:solidFill>
                                    <a:srgbClr val="FFFFFF"/>
                                  </a:solidFill>
                                  <a:ln w="9525">
                                    <a:solidFill>
                                      <a:srgbClr val="000000"/>
                                    </a:solidFill>
                                    <a:miter lim="800000"/>
                                  </a:ln>
                                </wps:spPr>
                                <wps:txbx>
                                  <w:txbxContent>
                                    <w:p w14:paraId="24BF0C6A">
                                      <w:pPr>
                                        <w:jc w:val="both"/>
                                        <w:rPr>
                                          <w:rFonts w:hint="default" w:eastAsia="宋体"/>
                                          <w:sz w:val="24"/>
                                          <w:szCs w:val="24"/>
                                          <w:lang w:val="en-US" w:eastAsia="zh-CN"/>
                                        </w:rPr>
                                      </w:pPr>
                                      <w:r>
                                        <w:rPr>
                                          <w:rFonts w:hint="eastAsia"/>
                                          <w:sz w:val="24"/>
                                          <w:szCs w:val="24"/>
                                          <w:lang w:val="en-US" w:eastAsia="zh-CN"/>
                                        </w:rPr>
                                        <w:t>调和罐</w:t>
                                      </w:r>
                                    </w:p>
                                  </w:txbxContent>
                                </wps:txbx>
                                <wps:bodyPr rot="0" vert="horz" wrap="square" lIns="91440" tIns="45720" rIns="91440" bIns="45720" anchor="t" anchorCtr="0" upright="1">
                                  <a:noAutofit/>
                                </wps:bodyPr>
                              </wps:wsp>
                              <wpg:grpSp>
                                <wpg:cNvPr id="2" name="组合 2"/>
                                <wpg:cNvGrpSpPr/>
                                <wpg:grpSpPr>
                                  <a:xfrm>
                                    <a:off x="9229" y="546747"/>
                                    <a:ext cx="1320" cy="704"/>
                                    <a:chOff x="9229" y="546747"/>
                                    <a:chExt cx="1320" cy="704"/>
                                  </a:xfrm>
                                </wpg:grpSpPr>
                                <wps:wsp>
                                  <wps:cNvPr id="574" name="直线 1110"/>
                                  <wps:cNvCnPr/>
                                  <wps:spPr bwMode="auto">
                                    <a:xfrm>
                                      <a:off x="9903" y="547107"/>
                                      <a:ext cx="1" cy="345"/>
                                    </a:xfrm>
                                    <a:prstGeom prst="line">
                                      <a:avLst/>
                                    </a:prstGeom>
                                    <a:noFill/>
                                    <a:ln w="9525">
                                      <a:solidFill>
                                        <a:srgbClr val="000000"/>
                                      </a:solidFill>
                                      <a:round/>
                                      <a:tailEnd type="triangle" w="med" len="med"/>
                                    </a:ln>
                                  </wps:spPr>
                                  <wps:bodyPr/>
                                </wps:wsp>
                                <wpg:grpSp>
                                  <wpg:cNvPr id="1" name="组合 1"/>
                                  <wpg:cNvGrpSpPr/>
                                  <wpg:grpSpPr>
                                    <a:xfrm>
                                      <a:off x="9229" y="546747"/>
                                      <a:ext cx="1320" cy="359"/>
                                      <a:chOff x="9229" y="546747"/>
                                      <a:chExt cx="1320" cy="359"/>
                                    </a:xfrm>
                                  </wpg:grpSpPr>
                                  <wps:wsp>
                                    <wps:cNvPr id="580" name="直线 1108"/>
                                    <wps:cNvCnPr/>
                                    <wps:spPr bwMode="auto">
                                      <a:xfrm>
                                        <a:off x="10549" y="546762"/>
                                        <a:ext cx="1" cy="345"/>
                                      </a:xfrm>
                                      <a:prstGeom prst="line">
                                        <a:avLst/>
                                      </a:prstGeom>
                                      <a:noFill/>
                                      <a:ln w="9525">
                                        <a:solidFill>
                                          <a:srgbClr val="000000"/>
                                        </a:solidFill>
                                        <a:round/>
                                        <a:tailEnd type="none" w="med" len="med"/>
                                      </a:ln>
                                    </wps:spPr>
                                    <wps:bodyPr/>
                                  </wps:wsp>
                                  <wps:wsp>
                                    <wps:cNvPr id="568" name="直线 1112"/>
                                    <wps:cNvCnPr/>
                                    <wps:spPr bwMode="auto">
                                      <a:xfrm>
                                        <a:off x="9229" y="547102"/>
                                        <a:ext cx="1316" cy="0"/>
                                      </a:xfrm>
                                      <a:prstGeom prst="line">
                                        <a:avLst/>
                                      </a:prstGeom>
                                      <a:noFill/>
                                      <a:ln w="9525">
                                        <a:solidFill>
                                          <a:srgbClr val="000000"/>
                                        </a:solidFill>
                                        <a:round/>
                                        <a:tailEnd type="none" w="med" len="med"/>
                                      </a:ln>
                                    </wps:spPr>
                                    <wps:bodyPr/>
                                  </wps:wsp>
                                  <wps:wsp>
                                    <wps:cNvPr id="570" name="直线 1108"/>
                                    <wps:cNvCnPr/>
                                    <wps:spPr bwMode="auto">
                                      <a:xfrm>
                                        <a:off x="9229" y="546747"/>
                                        <a:ext cx="1" cy="345"/>
                                      </a:xfrm>
                                      <a:prstGeom prst="line">
                                        <a:avLst/>
                                      </a:prstGeom>
                                      <a:noFill/>
                                      <a:ln w="9525">
                                        <a:solidFill>
                                          <a:srgbClr val="000000"/>
                                        </a:solidFill>
                                        <a:round/>
                                        <a:tailEnd type="none" w="med" len="med"/>
                                      </a:ln>
                                    </wps:spPr>
                                    <wps:bodyPr/>
                                  </wps:wsp>
                                </wpg:grpSp>
                              </wpg:grpSp>
                              <wps:wsp>
                                <wps:cNvPr id="3" name="文本框 1109"/>
                                <wps:cNvSpPr txBox="1">
                                  <a:spLocks noChangeArrowheads="1"/>
                                </wps:cNvSpPr>
                                <wps:spPr bwMode="auto">
                                  <a:xfrm>
                                    <a:off x="9351" y="548262"/>
                                    <a:ext cx="1062" cy="464"/>
                                  </a:xfrm>
                                  <a:prstGeom prst="rect">
                                    <a:avLst/>
                                  </a:prstGeom>
                                  <a:solidFill>
                                    <a:srgbClr val="FFFFFF"/>
                                  </a:solidFill>
                                  <a:ln w="9525">
                                    <a:solidFill>
                                      <a:srgbClr val="000000"/>
                                    </a:solidFill>
                                    <a:miter lim="800000"/>
                                  </a:ln>
                                </wps:spPr>
                                <wps:txbx>
                                  <w:txbxContent>
                                    <w:p w14:paraId="48CD4B84">
                                      <w:pPr>
                                        <w:jc w:val="both"/>
                                        <w:rPr>
                                          <w:rFonts w:hint="default" w:eastAsia="宋体"/>
                                          <w:sz w:val="24"/>
                                          <w:szCs w:val="24"/>
                                          <w:lang w:val="en-US" w:eastAsia="zh-CN"/>
                                        </w:rPr>
                                      </w:pPr>
                                      <w:r>
                                        <w:rPr>
                                          <w:rFonts w:hint="eastAsia"/>
                                          <w:sz w:val="24"/>
                                          <w:szCs w:val="24"/>
                                          <w:lang w:val="en-US" w:eastAsia="zh-CN"/>
                                        </w:rPr>
                                        <w:t>过滤器</w:t>
                                      </w:r>
                                    </w:p>
                                  </w:txbxContent>
                                </wps:txbx>
                                <wps:bodyPr rot="0" vert="horz" wrap="square" lIns="91440" tIns="45720" rIns="91440" bIns="45720" anchor="t" anchorCtr="0" upright="1">
                                  <a:noAutofit/>
                                </wps:bodyPr>
                              </wps:wsp>
                            </wpg:grpSp>
                            <wps:wsp>
                              <wps:cNvPr id="23" name="文本框 1109"/>
                              <wps:cNvSpPr txBox="1">
                                <a:spLocks noChangeArrowheads="1"/>
                              </wps:cNvSpPr>
                              <wps:spPr bwMode="auto">
                                <a:xfrm>
                                  <a:off x="9726" y="550602"/>
                                  <a:ext cx="1062" cy="435"/>
                                </a:xfrm>
                                <a:prstGeom prst="rect">
                                  <a:avLst/>
                                </a:prstGeom>
                                <a:solidFill>
                                  <a:srgbClr val="FFFFFF"/>
                                </a:solidFill>
                                <a:ln w="9525">
                                  <a:solidFill>
                                    <a:srgbClr val="000000"/>
                                  </a:solidFill>
                                  <a:miter lim="800000"/>
                                </a:ln>
                              </wps:spPr>
                              <wps:txbx>
                                <w:txbxContent>
                                  <w:p w14:paraId="5C8EDBBC">
                                    <w:pPr>
                                      <w:jc w:val="both"/>
                                      <w:rPr>
                                        <w:rFonts w:hint="default" w:eastAsia="宋体"/>
                                        <w:sz w:val="24"/>
                                        <w:szCs w:val="24"/>
                                        <w:lang w:val="en-US" w:eastAsia="zh-CN"/>
                                      </w:rPr>
                                    </w:pPr>
                                    <w:r>
                                      <w:rPr>
                                        <w:rFonts w:hint="eastAsia"/>
                                        <w:sz w:val="24"/>
                                        <w:szCs w:val="24"/>
                                        <w:lang w:val="en-US" w:eastAsia="zh-CN"/>
                                      </w:rPr>
                                      <w:t>包装机</w:t>
                                    </w:r>
                                  </w:p>
                                </w:txbxContent>
                              </wps:txbx>
                              <wps:bodyPr rot="0" vert="horz" wrap="square" lIns="91440" tIns="45720" rIns="91440" bIns="45720" anchor="t" anchorCtr="0" upright="1">
                                <a:noAutofit/>
                              </wps:bodyPr>
                            </wps:wsp>
                            <wpg:grpSp>
                              <wpg:cNvPr id="40" name="组合 40"/>
                              <wpg:cNvGrpSpPr/>
                              <wpg:grpSpPr>
                                <a:xfrm>
                                  <a:off x="6830" y="548722"/>
                                  <a:ext cx="6764" cy="1903"/>
                                  <a:chOff x="6366" y="548722"/>
                                  <a:chExt cx="7692" cy="1903"/>
                                </a:xfrm>
                              </wpg:grpSpPr>
                              <wpg:grpSp>
                                <wpg:cNvPr id="18" name="组合 18"/>
                                <wpg:cNvGrpSpPr/>
                                <wpg:grpSpPr>
                                  <a:xfrm>
                                    <a:off x="6366" y="548722"/>
                                    <a:ext cx="7692" cy="1144"/>
                                    <a:chOff x="6366" y="548722"/>
                                    <a:chExt cx="7692" cy="1144"/>
                                  </a:xfrm>
                                </wpg:grpSpPr>
                                <wps:wsp>
                                  <wps:cNvPr id="9" name="文本框 1109"/>
                                  <wps:cNvSpPr txBox="1">
                                    <a:spLocks noChangeArrowheads="1"/>
                                  </wps:cNvSpPr>
                                  <wps:spPr bwMode="auto">
                                    <a:xfrm>
                                      <a:off x="6366" y="549417"/>
                                      <a:ext cx="1062" cy="435"/>
                                    </a:xfrm>
                                    <a:prstGeom prst="rect">
                                      <a:avLst/>
                                    </a:prstGeom>
                                    <a:solidFill>
                                      <a:srgbClr val="FFFFFF"/>
                                    </a:solidFill>
                                    <a:ln w="9525">
                                      <a:solidFill>
                                        <a:srgbClr val="000000"/>
                                      </a:solidFill>
                                      <a:miter lim="800000"/>
                                    </a:ln>
                                  </wps:spPr>
                                  <wps:txbx>
                                    <w:txbxContent>
                                      <w:p w14:paraId="301F154A">
                                        <w:pPr>
                                          <w:jc w:val="both"/>
                                          <w:rPr>
                                            <w:rFonts w:hint="default" w:eastAsia="宋体"/>
                                            <w:sz w:val="24"/>
                                            <w:szCs w:val="24"/>
                                            <w:lang w:val="en-US" w:eastAsia="zh-CN"/>
                                          </w:rPr>
                                        </w:pPr>
                                        <w:r>
                                          <w:rPr>
                                            <w:rFonts w:hint="eastAsia"/>
                                            <w:sz w:val="24"/>
                                            <w:szCs w:val="24"/>
                                            <w:lang w:val="en-US" w:eastAsia="zh-CN"/>
                                          </w:rPr>
                                          <w:t>造粒机</w:t>
                                        </w:r>
                                      </w:p>
                                    </w:txbxContent>
                                  </wps:txbx>
                                  <wps:bodyPr rot="0" vert="horz" wrap="square" lIns="91440" tIns="45720" rIns="91440" bIns="45720" anchor="t" anchorCtr="0" upright="1">
                                    <a:noAutofit/>
                                  </wps:bodyPr>
                                </wps:wsp>
                                <wps:wsp>
                                  <wps:cNvPr id="10" name="文本框 1109"/>
                                  <wps:cNvSpPr txBox="1">
                                    <a:spLocks noChangeArrowheads="1"/>
                                  </wps:cNvSpPr>
                                  <wps:spPr bwMode="auto">
                                    <a:xfrm>
                                      <a:off x="11316" y="549432"/>
                                      <a:ext cx="1062" cy="435"/>
                                    </a:xfrm>
                                    <a:prstGeom prst="rect">
                                      <a:avLst/>
                                    </a:prstGeom>
                                    <a:solidFill>
                                      <a:srgbClr val="FFFFFF"/>
                                    </a:solidFill>
                                    <a:ln w="9525">
                                      <a:solidFill>
                                        <a:srgbClr val="000000"/>
                                      </a:solidFill>
                                      <a:miter lim="800000"/>
                                    </a:ln>
                                  </wps:spPr>
                                  <wps:txbx>
                                    <w:txbxContent>
                                      <w:p w14:paraId="1D11A480">
                                        <w:pPr>
                                          <w:jc w:val="both"/>
                                          <w:rPr>
                                            <w:rFonts w:hint="default" w:eastAsia="宋体"/>
                                            <w:sz w:val="24"/>
                                            <w:szCs w:val="24"/>
                                            <w:lang w:val="en-US" w:eastAsia="zh-CN"/>
                                          </w:rPr>
                                        </w:pPr>
                                        <w:r>
                                          <w:rPr>
                                            <w:rFonts w:hint="eastAsia"/>
                                            <w:sz w:val="24"/>
                                            <w:szCs w:val="24"/>
                                            <w:lang w:val="en-US" w:eastAsia="zh-CN"/>
                                          </w:rPr>
                                          <w:t>造粒机</w:t>
                                        </w:r>
                                      </w:p>
                                    </w:txbxContent>
                                  </wps:txbx>
                                  <wps:bodyPr rot="0" vert="horz" wrap="square" lIns="91440" tIns="45720" rIns="91440" bIns="45720" anchor="t" anchorCtr="0" upright="1">
                                    <a:noAutofit/>
                                  </wps:bodyPr>
                                </wps:wsp>
                                <wpg:grpSp>
                                  <wpg:cNvPr id="16" name="组合 16"/>
                                  <wpg:cNvGrpSpPr/>
                                  <wpg:grpSpPr>
                                    <a:xfrm>
                                      <a:off x="6964" y="548722"/>
                                      <a:ext cx="6596" cy="704"/>
                                      <a:chOff x="7069" y="548722"/>
                                      <a:chExt cx="6596" cy="704"/>
                                    </a:xfrm>
                                  </wpg:grpSpPr>
                                  <wps:wsp>
                                    <wps:cNvPr id="4" name="直线 1112"/>
                                    <wps:cNvCnPr/>
                                    <wps:spPr bwMode="auto">
                                      <a:xfrm>
                                        <a:off x="8674" y="549067"/>
                                        <a:ext cx="1" cy="345"/>
                                      </a:xfrm>
                                      <a:prstGeom prst="line">
                                        <a:avLst/>
                                      </a:prstGeom>
                                      <a:noFill/>
                                      <a:ln w="9525">
                                        <a:solidFill>
                                          <a:srgbClr val="000000"/>
                                        </a:solidFill>
                                        <a:round/>
                                        <a:tailEnd type="triangle" w="med" len="med"/>
                                      </a:ln>
                                    </wps:spPr>
                                    <wps:bodyPr/>
                                  </wps:wsp>
                                  <wps:wsp>
                                    <wps:cNvPr id="8" name="直线 1112"/>
                                    <wps:cNvCnPr/>
                                    <wps:spPr bwMode="auto">
                                      <a:xfrm>
                                        <a:off x="11929" y="549067"/>
                                        <a:ext cx="1" cy="345"/>
                                      </a:xfrm>
                                      <a:prstGeom prst="line">
                                        <a:avLst/>
                                      </a:prstGeom>
                                      <a:noFill/>
                                      <a:ln w="9525">
                                        <a:solidFill>
                                          <a:srgbClr val="000000"/>
                                        </a:solidFill>
                                        <a:round/>
                                        <a:tailEnd type="triangle" w="med" len="med"/>
                                      </a:ln>
                                    </wps:spPr>
                                    <wps:bodyPr/>
                                  </wps:wsp>
                                  <wpg:grpSp>
                                    <wpg:cNvPr id="15" name="组合 15"/>
                                    <wpg:cNvGrpSpPr/>
                                    <wpg:grpSpPr>
                                      <a:xfrm>
                                        <a:off x="7069" y="548722"/>
                                        <a:ext cx="6596" cy="704"/>
                                        <a:chOff x="7069" y="548722"/>
                                        <a:chExt cx="6596" cy="704"/>
                                      </a:xfrm>
                                    </wpg:grpSpPr>
                                    <wps:wsp>
                                      <wps:cNvPr id="578" name="直线 1112"/>
                                      <wps:cNvCnPr/>
                                      <wps:spPr bwMode="auto">
                                        <a:xfrm flipH="1">
                                          <a:off x="10335" y="548722"/>
                                          <a:ext cx="4" cy="705"/>
                                        </a:xfrm>
                                        <a:prstGeom prst="line">
                                          <a:avLst/>
                                        </a:prstGeom>
                                        <a:noFill/>
                                        <a:ln w="9525">
                                          <a:solidFill>
                                            <a:srgbClr val="000000"/>
                                          </a:solidFill>
                                          <a:round/>
                                          <a:headEnd type="none"/>
                                          <a:tailEnd type="triangle" w="med" len="med"/>
                                        </a:ln>
                                      </wps:spPr>
                                      <wps:bodyPr/>
                                    </wps:wsp>
                                    <wpg:grpSp>
                                      <wpg:cNvPr id="12" name="组合 12"/>
                                      <wpg:cNvGrpSpPr/>
                                      <wpg:grpSpPr>
                                        <a:xfrm>
                                          <a:off x="7069" y="549067"/>
                                          <a:ext cx="6597" cy="359"/>
                                          <a:chOff x="8119" y="549082"/>
                                          <a:chExt cx="2820" cy="359"/>
                                        </a:xfrm>
                                      </wpg:grpSpPr>
                                      <wps:wsp>
                                        <wps:cNvPr id="5" name="直线 1112"/>
                                        <wps:cNvCnPr/>
                                        <wps:spPr bwMode="auto">
                                          <a:xfrm>
                                            <a:off x="8119" y="549082"/>
                                            <a:ext cx="2816" cy="0"/>
                                          </a:xfrm>
                                          <a:prstGeom prst="line">
                                            <a:avLst/>
                                          </a:prstGeom>
                                          <a:noFill/>
                                          <a:ln w="9525">
                                            <a:solidFill>
                                              <a:srgbClr val="000000"/>
                                            </a:solidFill>
                                            <a:round/>
                                            <a:tailEnd type="none" w="med" len="med"/>
                                          </a:ln>
                                        </wps:spPr>
                                        <wps:bodyPr/>
                                      </wps:wsp>
                                      <wps:wsp>
                                        <wps:cNvPr id="6" name="直线 1112"/>
                                        <wps:cNvCnPr/>
                                        <wps:spPr bwMode="auto">
                                          <a:xfrm>
                                            <a:off x="10939" y="549097"/>
                                            <a:ext cx="1" cy="345"/>
                                          </a:xfrm>
                                          <a:prstGeom prst="line">
                                            <a:avLst/>
                                          </a:prstGeom>
                                          <a:noFill/>
                                          <a:ln w="9525">
                                            <a:solidFill>
                                              <a:srgbClr val="000000"/>
                                            </a:solidFill>
                                            <a:round/>
                                            <a:tailEnd type="triangle" w="med" len="med"/>
                                          </a:ln>
                                        </wps:spPr>
                                        <wps:bodyPr/>
                                      </wps:wsp>
                                      <wps:wsp>
                                        <wps:cNvPr id="7" name="直线 1112"/>
                                        <wps:cNvCnPr/>
                                        <wps:spPr bwMode="auto">
                                          <a:xfrm>
                                            <a:off x="8119" y="549082"/>
                                            <a:ext cx="1" cy="345"/>
                                          </a:xfrm>
                                          <a:prstGeom prst="line">
                                            <a:avLst/>
                                          </a:prstGeom>
                                          <a:noFill/>
                                          <a:ln w="9525">
                                            <a:solidFill>
                                              <a:srgbClr val="000000"/>
                                            </a:solidFill>
                                            <a:round/>
                                            <a:tailEnd type="triangle" w="med" len="med"/>
                                          </a:ln>
                                        </wps:spPr>
                                        <wps:bodyPr/>
                                      </wps:wsp>
                                    </wpg:grpSp>
                                  </wpg:grpSp>
                                </wpg:grpSp>
                                <wps:wsp>
                                  <wps:cNvPr id="11" name="文本框 1109"/>
                                  <wps:cNvSpPr txBox="1">
                                    <a:spLocks noChangeArrowheads="1"/>
                                  </wps:cNvSpPr>
                                  <wps:spPr bwMode="auto">
                                    <a:xfrm>
                                      <a:off x="9726" y="549432"/>
                                      <a:ext cx="1062" cy="435"/>
                                    </a:xfrm>
                                    <a:prstGeom prst="rect">
                                      <a:avLst/>
                                    </a:prstGeom>
                                    <a:solidFill>
                                      <a:srgbClr val="FFFFFF"/>
                                    </a:solidFill>
                                    <a:ln w="9525">
                                      <a:solidFill>
                                        <a:srgbClr val="000000"/>
                                      </a:solidFill>
                                      <a:miter lim="800000"/>
                                    </a:ln>
                                  </wps:spPr>
                                  <wps:txbx>
                                    <w:txbxContent>
                                      <w:p w14:paraId="4D6C0690">
                                        <w:pPr>
                                          <w:jc w:val="both"/>
                                          <w:rPr>
                                            <w:rFonts w:hint="default" w:eastAsia="宋体"/>
                                            <w:sz w:val="24"/>
                                            <w:szCs w:val="24"/>
                                            <w:lang w:val="en-US" w:eastAsia="zh-CN"/>
                                          </w:rPr>
                                        </w:pPr>
                                        <w:r>
                                          <w:rPr>
                                            <w:rFonts w:hint="eastAsia"/>
                                            <w:sz w:val="24"/>
                                            <w:szCs w:val="24"/>
                                            <w:lang w:val="en-US" w:eastAsia="zh-CN"/>
                                          </w:rPr>
                                          <w:t>造粒机</w:t>
                                        </w:r>
                                      </w:p>
                                    </w:txbxContent>
                                  </wps:txbx>
                                  <wps:bodyPr rot="0" vert="horz" wrap="square" lIns="91440" tIns="45720" rIns="91440" bIns="45720" anchor="t" anchorCtr="0" upright="1">
                                    <a:noAutofit/>
                                  </wps:bodyPr>
                                </wps:wsp>
                                <wps:wsp>
                                  <wps:cNvPr id="13" name="文本框 1109"/>
                                  <wps:cNvSpPr txBox="1">
                                    <a:spLocks noChangeArrowheads="1"/>
                                  </wps:cNvSpPr>
                                  <wps:spPr bwMode="auto">
                                    <a:xfrm>
                                      <a:off x="8016" y="549432"/>
                                      <a:ext cx="1062" cy="435"/>
                                    </a:xfrm>
                                    <a:prstGeom prst="rect">
                                      <a:avLst/>
                                    </a:prstGeom>
                                    <a:solidFill>
                                      <a:srgbClr val="FFFFFF"/>
                                    </a:solidFill>
                                    <a:ln w="9525">
                                      <a:solidFill>
                                        <a:srgbClr val="000000"/>
                                      </a:solidFill>
                                      <a:miter lim="800000"/>
                                    </a:ln>
                                  </wps:spPr>
                                  <wps:txbx>
                                    <w:txbxContent>
                                      <w:p w14:paraId="10AAE8DF">
                                        <w:pPr>
                                          <w:jc w:val="both"/>
                                          <w:rPr>
                                            <w:rFonts w:hint="default" w:eastAsia="宋体"/>
                                            <w:sz w:val="24"/>
                                            <w:szCs w:val="24"/>
                                            <w:lang w:val="en-US" w:eastAsia="zh-CN"/>
                                          </w:rPr>
                                        </w:pPr>
                                        <w:r>
                                          <w:rPr>
                                            <w:rFonts w:hint="eastAsia"/>
                                            <w:sz w:val="24"/>
                                            <w:szCs w:val="24"/>
                                            <w:lang w:val="en-US" w:eastAsia="zh-CN"/>
                                          </w:rPr>
                                          <w:t>造粒机</w:t>
                                        </w:r>
                                      </w:p>
                                    </w:txbxContent>
                                  </wps:txbx>
                                  <wps:bodyPr rot="0" vert="horz" wrap="square" lIns="91440" tIns="45720" rIns="91440" bIns="45720" anchor="t" anchorCtr="0" upright="1">
                                    <a:noAutofit/>
                                  </wps:bodyPr>
                                </wps:wsp>
                                <wps:wsp>
                                  <wps:cNvPr id="14" name="文本框 1109"/>
                                  <wps:cNvSpPr txBox="1">
                                    <a:spLocks noChangeArrowheads="1"/>
                                  </wps:cNvSpPr>
                                  <wps:spPr bwMode="auto">
                                    <a:xfrm>
                                      <a:off x="12996" y="549417"/>
                                      <a:ext cx="1062" cy="435"/>
                                    </a:xfrm>
                                    <a:prstGeom prst="rect">
                                      <a:avLst/>
                                    </a:prstGeom>
                                    <a:solidFill>
                                      <a:srgbClr val="FFFFFF"/>
                                    </a:solidFill>
                                    <a:ln w="9525">
                                      <a:solidFill>
                                        <a:srgbClr val="000000"/>
                                      </a:solidFill>
                                      <a:miter lim="800000"/>
                                    </a:ln>
                                  </wps:spPr>
                                  <wps:txbx>
                                    <w:txbxContent>
                                      <w:p w14:paraId="5CB1011A">
                                        <w:pPr>
                                          <w:jc w:val="both"/>
                                          <w:rPr>
                                            <w:rFonts w:hint="default" w:eastAsia="宋体"/>
                                            <w:sz w:val="24"/>
                                            <w:szCs w:val="24"/>
                                            <w:lang w:val="en-US" w:eastAsia="zh-CN"/>
                                          </w:rPr>
                                        </w:pPr>
                                        <w:r>
                                          <w:rPr>
                                            <w:rFonts w:hint="eastAsia"/>
                                            <w:sz w:val="24"/>
                                            <w:szCs w:val="24"/>
                                            <w:lang w:val="en-US" w:eastAsia="zh-CN"/>
                                          </w:rPr>
                                          <w:t>造粒机</w:t>
                                        </w:r>
                                      </w:p>
                                    </w:txbxContent>
                                  </wps:txbx>
                                  <wps:bodyPr rot="0" vert="horz" wrap="square" lIns="91440" tIns="45720" rIns="91440" bIns="45720" anchor="t" anchorCtr="0" upright="1">
                                    <a:noAutofit/>
                                  </wps:bodyPr>
                                </wps:wsp>
                              </wpg:grpSp>
                              <wpg:grpSp>
                                <wpg:cNvPr id="39" name="组合 39"/>
                                <wpg:cNvGrpSpPr/>
                                <wpg:grpSpPr>
                                  <a:xfrm>
                                    <a:off x="6919" y="549867"/>
                                    <a:ext cx="6690" cy="759"/>
                                    <a:chOff x="6919" y="549867"/>
                                    <a:chExt cx="6690" cy="759"/>
                                  </a:xfrm>
                                </wpg:grpSpPr>
                                <wps:wsp>
                                  <wps:cNvPr id="25" name="直线 1110"/>
                                  <wps:cNvCnPr/>
                                  <wps:spPr bwMode="auto">
                                    <a:xfrm>
                                      <a:off x="10260" y="549892"/>
                                      <a:ext cx="0" cy="735"/>
                                    </a:xfrm>
                                    <a:prstGeom prst="line">
                                      <a:avLst/>
                                    </a:prstGeom>
                                    <a:noFill/>
                                    <a:ln w="9525">
                                      <a:solidFill>
                                        <a:srgbClr val="000000"/>
                                      </a:solidFill>
                                      <a:round/>
                                      <a:tailEnd type="triangle" w="med" len="med"/>
                                    </a:ln>
                                  </wps:spPr>
                                  <wps:bodyPr/>
                                </wps:wsp>
                                <wpg:grpSp>
                                  <wpg:cNvPr id="38" name="组合 38"/>
                                  <wpg:cNvGrpSpPr/>
                                  <wpg:grpSpPr>
                                    <a:xfrm>
                                      <a:off x="6919" y="549867"/>
                                      <a:ext cx="6690" cy="373"/>
                                      <a:chOff x="6919" y="549867"/>
                                      <a:chExt cx="6690" cy="373"/>
                                    </a:xfrm>
                                  </wpg:grpSpPr>
                                  <wpg:grpSp>
                                    <wpg:cNvPr id="26" name="组合 1"/>
                                    <wpg:cNvGrpSpPr/>
                                    <wpg:grpSpPr>
                                      <a:xfrm rot="0">
                                        <a:off x="6919" y="549882"/>
                                        <a:ext cx="6690" cy="359"/>
                                        <a:chOff x="9229" y="546747"/>
                                        <a:chExt cx="1320" cy="359"/>
                                      </a:xfrm>
                                    </wpg:grpSpPr>
                                    <wps:wsp>
                                      <wps:cNvPr id="27" name="直线 1108"/>
                                      <wps:cNvCnPr/>
                                      <wps:spPr bwMode="auto">
                                        <a:xfrm>
                                          <a:off x="10549" y="546762"/>
                                          <a:ext cx="1" cy="345"/>
                                        </a:xfrm>
                                        <a:prstGeom prst="line">
                                          <a:avLst/>
                                        </a:prstGeom>
                                        <a:noFill/>
                                        <a:ln w="9525">
                                          <a:solidFill>
                                            <a:srgbClr val="000000"/>
                                          </a:solidFill>
                                          <a:round/>
                                          <a:tailEnd type="none" w="med" len="med"/>
                                        </a:ln>
                                      </wps:spPr>
                                      <wps:bodyPr/>
                                    </wps:wsp>
                                    <wps:wsp>
                                      <wps:cNvPr id="28" name="直线 1112"/>
                                      <wps:cNvCnPr/>
                                      <wps:spPr bwMode="auto">
                                        <a:xfrm>
                                          <a:off x="9229" y="547102"/>
                                          <a:ext cx="1316" cy="0"/>
                                        </a:xfrm>
                                        <a:prstGeom prst="line">
                                          <a:avLst/>
                                        </a:prstGeom>
                                        <a:noFill/>
                                        <a:ln w="9525">
                                          <a:solidFill>
                                            <a:srgbClr val="000000"/>
                                          </a:solidFill>
                                          <a:round/>
                                          <a:tailEnd type="none" w="med" len="med"/>
                                        </a:ln>
                                      </wps:spPr>
                                      <wps:bodyPr/>
                                    </wps:wsp>
                                    <wps:wsp>
                                      <wps:cNvPr id="29" name="直线 1108"/>
                                      <wps:cNvCnPr/>
                                      <wps:spPr bwMode="auto">
                                        <a:xfrm>
                                          <a:off x="9229" y="546747"/>
                                          <a:ext cx="1" cy="345"/>
                                        </a:xfrm>
                                        <a:prstGeom prst="line">
                                          <a:avLst/>
                                        </a:prstGeom>
                                        <a:noFill/>
                                        <a:ln w="9525">
                                          <a:solidFill>
                                            <a:srgbClr val="000000"/>
                                          </a:solidFill>
                                          <a:round/>
                                          <a:tailEnd type="none" w="med" len="med"/>
                                        </a:ln>
                                      </wps:spPr>
                                      <wps:bodyPr/>
                                    </wps:wsp>
                                  </wpg:grpSp>
                                  <wps:wsp>
                                    <wps:cNvPr id="36" name="直线 1108"/>
                                    <wps:cNvCnPr/>
                                    <wps:spPr bwMode="auto">
                                      <a:xfrm>
                                        <a:off x="8584" y="549882"/>
                                        <a:ext cx="5" cy="345"/>
                                      </a:xfrm>
                                      <a:prstGeom prst="line">
                                        <a:avLst/>
                                      </a:prstGeom>
                                      <a:noFill/>
                                      <a:ln w="9525">
                                        <a:solidFill>
                                          <a:srgbClr val="000000"/>
                                        </a:solidFill>
                                        <a:round/>
                                        <a:tailEnd type="none" w="med" len="med"/>
                                      </a:ln>
                                    </wps:spPr>
                                    <wps:bodyPr/>
                                  </wps:wsp>
                                  <wps:wsp>
                                    <wps:cNvPr id="37" name="直线 1108"/>
                                    <wps:cNvCnPr/>
                                    <wps:spPr bwMode="auto">
                                      <a:xfrm>
                                        <a:off x="11839" y="549867"/>
                                        <a:ext cx="11" cy="370"/>
                                      </a:xfrm>
                                      <a:prstGeom prst="line">
                                        <a:avLst/>
                                      </a:prstGeom>
                                      <a:noFill/>
                                      <a:ln w="9525">
                                        <a:solidFill>
                                          <a:srgbClr val="000000"/>
                                        </a:solidFill>
                                        <a:round/>
                                        <a:tailEnd type="none" w="med" len="med"/>
                                      </a:ln>
                                    </wps:spPr>
                                    <wps:bodyPr/>
                                  </wps:wsp>
                                </wpg:grpSp>
                              </wpg:grpSp>
                            </wpg:grpSp>
                          </wpg:wgp>
                        </a:graphicData>
                      </a:graphic>
                    </wp:anchor>
                  </w:drawing>
                </mc:Choice>
                <mc:Fallback>
                  <w:pict>
                    <v:group id="_x0000_s1026" o:spid="_x0000_s1026" o:spt="203" style="position:absolute;left:0pt;margin-left:20.4pt;margin-top:2.55pt;height:234.8pt;width:338.2pt;z-index:251665408;mso-width-relative:page;mso-height-relative:page;" coordorigin="6830,546341" coordsize="6764,4696" o:gfxdata="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">
                      <o:lock v:ext="edit" aspectratio="f"/>
                      <v:group id="_x0000_s1026" o:spid="_x0000_s1026" o:spt="203" style="position:absolute;left:9004;top:546341;height:2385;width:2354;" coordorigin="8689,546341" coordsize="2354,2385"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shape id="Text Box 107" o:spid="_x0000_s1026" o:spt="202" type="#_x0000_t202" style="position:absolute;left:9949;top:546341;height:465;width:1094;" filled="f" stroked="f" coordsize="21600,21600" o:gfxdata="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1ul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551D3DDB">
                                <w:pPr>
                                  <w:jc w:val="center"/>
                                  <w:rPr>
                                    <w:rFonts w:hint="default" w:eastAsia="宋体"/>
                                    <w:sz w:val="24"/>
                                    <w:szCs w:val="24"/>
                                    <w:lang w:val="en-US" w:eastAsia="zh-CN"/>
                                  </w:rPr>
                                </w:pPr>
                                <w:r>
                                  <w:rPr>
                                    <w:rFonts w:hint="eastAsia"/>
                                    <w:sz w:val="24"/>
                                    <w:szCs w:val="24"/>
                                    <w:lang w:val="en-US" w:eastAsia="zh-CN"/>
                                  </w:rPr>
                                  <w:t>微晶蜡</w:t>
                                </w:r>
                              </w:p>
                            </w:txbxContent>
                          </v:textbox>
                        </v:shape>
                        <v:line id="直线 1110" o:spid="_x0000_s1026" o:spt="20" style="position:absolute;left:9918;top:547902;height:345;width:1;" filled="f" stroked="t" coordsize="21600,21600" o:gfxdata="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2lf2&#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Text Box 107" o:spid="_x0000_s1026" o:spt="202" type="#_x0000_t202" style="position:absolute;left:8689;top:546356;height:465;width:1093;" filled="f" stroked="f" coordsize="21600,21600" o:gfxdata="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T4S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CEACBBB">
                                <w:pPr>
                                  <w:jc w:val="center"/>
                                  <w:rPr>
                                    <w:rFonts w:hint="default" w:eastAsia="宋体"/>
                                    <w:sz w:val="24"/>
                                    <w:szCs w:val="24"/>
                                    <w:lang w:val="en-US" w:eastAsia="zh-CN"/>
                                  </w:rPr>
                                </w:pPr>
                                <w:r>
                                  <w:rPr>
                                    <w:rFonts w:hint="eastAsia"/>
                                    <w:sz w:val="24"/>
                                    <w:szCs w:val="24"/>
                                    <w:lang w:val="en-US" w:eastAsia="zh-CN"/>
                                  </w:rPr>
                                  <w:t>石油蜡</w:t>
                                </w:r>
                              </w:p>
                            </w:txbxContent>
                          </v:textbox>
                        </v:shape>
                        <v:shape id="文本框 1109" o:spid="_x0000_s1026" o:spt="202" type="#_x0000_t202" style="position:absolute;left:9366;top:547467;height:435;width:1062;" fillcolor="#FFFFFF" filled="t" stroked="t" coordsize="21600,21600" o:gfxdata="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NLQVS/&#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24BF0C6A">
                                <w:pPr>
                                  <w:jc w:val="both"/>
                                  <w:rPr>
                                    <w:rFonts w:hint="default" w:eastAsia="宋体"/>
                                    <w:sz w:val="24"/>
                                    <w:szCs w:val="24"/>
                                    <w:lang w:val="en-US" w:eastAsia="zh-CN"/>
                                  </w:rPr>
                                </w:pPr>
                                <w:r>
                                  <w:rPr>
                                    <w:rFonts w:hint="eastAsia"/>
                                    <w:sz w:val="24"/>
                                    <w:szCs w:val="24"/>
                                    <w:lang w:val="en-US" w:eastAsia="zh-CN"/>
                                  </w:rPr>
                                  <w:t>调和罐</w:t>
                                </w:r>
                              </w:p>
                            </w:txbxContent>
                          </v:textbox>
                        </v:shape>
                        <v:group id="_x0000_s1026" o:spid="_x0000_s1026" o:spt="203" style="position:absolute;left:9229;top:546747;height:704;width:1320;" coordorigin="9229,546747" coordsize="1320,704"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line id="直线 1110" o:spid="_x0000_s1026" o:spt="20" style="position:absolute;left:9903;top:547107;height:345;width:1;" filled="f" stroked="t" coordsize="21600,21600" o:gfxdata="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DyfR&#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group id="_x0000_s1026" o:spid="_x0000_s1026" o:spt="203" style="position:absolute;left:9229;top:546747;height:359;width:1320;" coordorigin="9229,546747" coordsize="1320,359"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line id="直线 1108" o:spid="_x0000_s1026" o:spt="20" style="position:absolute;left:10549;top:546762;height:345;width:1;" filled="f" stroked="t" coordsize="21600,21600" o:gfxdata="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qE2Z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1112" o:spid="_x0000_s1026" o:spt="20" style="position:absolute;left:9229;top:547102;height:0;width:1316;" filled="f" stroked="t" coordsize="21600,21600" o:gfxdata="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Nvcm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1108" o:spid="_x0000_s1026" o:spt="20" style="position:absolute;left:9229;top:546747;height:345;width:1;" filled="f" stroked="t" coordsize="21600,21600" o:gfxdata="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0RkO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group>
                        <v:shape id="文本框 1109" o:spid="_x0000_s1026" o:spt="202" type="#_x0000_t202" style="position:absolute;left:9351;top:548262;height:464;width:1062;"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48CD4B84">
                                <w:pPr>
                                  <w:jc w:val="both"/>
                                  <w:rPr>
                                    <w:rFonts w:hint="default" w:eastAsia="宋体"/>
                                    <w:sz w:val="24"/>
                                    <w:szCs w:val="24"/>
                                    <w:lang w:val="en-US" w:eastAsia="zh-CN"/>
                                  </w:rPr>
                                </w:pPr>
                                <w:r>
                                  <w:rPr>
                                    <w:rFonts w:hint="eastAsia"/>
                                    <w:sz w:val="24"/>
                                    <w:szCs w:val="24"/>
                                    <w:lang w:val="en-US" w:eastAsia="zh-CN"/>
                                  </w:rPr>
                                  <w:t>过滤器</w:t>
                                </w:r>
                              </w:p>
                            </w:txbxContent>
                          </v:textbox>
                        </v:shape>
                      </v:group>
                      <v:shape id="文本框 1109" o:spid="_x0000_s1026" o:spt="202" type="#_x0000_t202" style="position:absolute;left:9726;top:550602;height:435;width:1062;"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5C8EDBBC">
                              <w:pPr>
                                <w:jc w:val="both"/>
                                <w:rPr>
                                  <w:rFonts w:hint="default" w:eastAsia="宋体"/>
                                  <w:sz w:val="24"/>
                                  <w:szCs w:val="24"/>
                                  <w:lang w:val="en-US" w:eastAsia="zh-CN"/>
                                </w:rPr>
                              </w:pPr>
                              <w:r>
                                <w:rPr>
                                  <w:rFonts w:hint="eastAsia"/>
                                  <w:sz w:val="24"/>
                                  <w:szCs w:val="24"/>
                                  <w:lang w:val="en-US" w:eastAsia="zh-CN"/>
                                </w:rPr>
                                <w:t>包装机</w:t>
                              </w:r>
                            </w:p>
                          </w:txbxContent>
                        </v:textbox>
                      </v:shape>
                      <v:group id="_x0000_s1026" o:spid="_x0000_s1026" o:spt="203" style="position:absolute;left:6830;top:548722;height:1903;width:6764;" coordorigin="6366,548722" coordsize="7692,1903"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group id="_x0000_s1026" o:spid="_x0000_s1026" o:spt="203" style="position:absolute;left:6366;top:548722;height:1144;width:7692;" coordorigin="6366,548722" coordsize="7692,1144"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文本框 1109" o:spid="_x0000_s1026" o:spt="202" type="#_x0000_t202" style="position:absolute;left:6366;top:549417;height:435;width:1062;"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01F154A">
                                  <w:pPr>
                                    <w:jc w:val="both"/>
                                    <w:rPr>
                                      <w:rFonts w:hint="default" w:eastAsia="宋体"/>
                                      <w:sz w:val="24"/>
                                      <w:szCs w:val="24"/>
                                      <w:lang w:val="en-US" w:eastAsia="zh-CN"/>
                                    </w:rPr>
                                  </w:pPr>
                                  <w:r>
                                    <w:rPr>
                                      <w:rFonts w:hint="eastAsia"/>
                                      <w:sz w:val="24"/>
                                      <w:szCs w:val="24"/>
                                      <w:lang w:val="en-US" w:eastAsia="zh-CN"/>
                                    </w:rPr>
                                    <w:t>造粒机</w:t>
                                  </w:r>
                                </w:p>
                              </w:txbxContent>
                            </v:textbox>
                          </v:shape>
                          <v:shape id="文本框 1109" o:spid="_x0000_s1026" o:spt="202" type="#_x0000_t202" style="position:absolute;left:11316;top:549432;height:435;width:1062;"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1D11A480">
                                  <w:pPr>
                                    <w:jc w:val="both"/>
                                    <w:rPr>
                                      <w:rFonts w:hint="default" w:eastAsia="宋体"/>
                                      <w:sz w:val="24"/>
                                      <w:szCs w:val="24"/>
                                      <w:lang w:val="en-US" w:eastAsia="zh-CN"/>
                                    </w:rPr>
                                  </w:pPr>
                                  <w:r>
                                    <w:rPr>
                                      <w:rFonts w:hint="eastAsia"/>
                                      <w:sz w:val="24"/>
                                      <w:szCs w:val="24"/>
                                      <w:lang w:val="en-US" w:eastAsia="zh-CN"/>
                                    </w:rPr>
                                    <w:t>造粒机</w:t>
                                  </w:r>
                                </w:p>
                              </w:txbxContent>
                            </v:textbox>
                          </v:shape>
                          <v:group id="_x0000_s1026" o:spid="_x0000_s1026" o:spt="203" style="position:absolute;left:6964;top:548722;height:704;width:6596;" coordorigin="7069,548722" coordsize="6596,704"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line id="直线 1112" o:spid="_x0000_s1026" o:spt="20" style="position:absolute;left:8674;top:549067;height:345;width:1;" filled="f" stroked="t" coordsize="21600,21600" o:gfxdata="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Vbhr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1112" o:spid="_x0000_s1026" o:spt="20" style="position:absolute;left:11929;top:549067;height:345;width:1;"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group id="_x0000_s1026" o:spid="_x0000_s1026" o:spt="203" style="position:absolute;left:7069;top:548722;height:704;width:6596;" coordorigin="7069,548722" coordsize="6596,704"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line id="直线 1112" o:spid="_x0000_s1026" o:spt="20" style="position:absolute;left:10335;top:548722;flip:x;height:705;width:4;" filled="f" stroked="t" coordsize="21600,21600" o:gfxdata="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CFk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id="_x0000_s1026" o:spid="_x0000_s1026" o:spt="203" style="position:absolute;left:7069;top:549067;height:359;width:6597;" coordorigin="8119,549082" coordsize="2820,359"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line id="直线 1112" o:spid="_x0000_s1026" o:spt="20" style="position:absolute;left:8119;top:549082;height:0;width:2816;" filled="f" stroked="t" coordsize="21600,21600" o:gfxdata="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7iYe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1112" o:spid="_x0000_s1026" o:spt="20" style="position:absolute;left:10939;top:549097;height:345;width:1;" filled="f" stroked="t" coordsize="21600,21600" o:gfxdata="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q2BqvQAA&#10;ANo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1112" o:spid="_x0000_s1026" o:spt="20" style="position:absolute;left:8119;top:549082;height:345;width:1;" filled="f" stroked="t" coordsize="21600,21600" o:gfxdata="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fF8b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group>
                            </v:group>
                          </v:group>
                          <v:shape id="文本框 1109" o:spid="_x0000_s1026" o:spt="202" type="#_x0000_t202" style="position:absolute;left:9726;top:549432;height:435;width:1062;"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4D6C0690">
                                  <w:pPr>
                                    <w:jc w:val="both"/>
                                    <w:rPr>
                                      <w:rFonts w:hint="default" w:eastAsia="宋体"/>
                                      <w:sz w:val="24"/>
                                      <w:szCs w:val="24"/>
                                      <w:lang w:val="en-US" w:eastAsia="zh-CN"/>
                                    </w:rPr>
                                  </w:pPr>
                                  <w:r>
                                    <w:rPr>
                                      <w:rFonts w:hint="eastAsia"/>
                                      <w:sz w:val="24"/>
                                      <w:szCs w:val="24"/>
                                      <w:lang w:val="en-US" w:eastAsia="zh-CN"/>
                                    </w:rPr>
                                    <w:t>造粒机</w:t>
                                  </w:r>
                                </w:p>
                              </w:txbxContent>
                            </v:textbox>
                          </v:shape>
                          <v:shape id="文本框 1109" o:spid="_x0000_s1026" o:spt="202" type="#_x0000_t202" style="position:absolute;left:8016;top:549432;height:435;width:1062;" fillcolor="#FFFFFF" filled="t" stroked="t" coordsize="21600,21600" o:gfxdata="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ZBr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10AAE8DF">
                                  <w:pPr>
                                    <w:jc w:val="both"/>
                                    <w:rPr>
                                      <w:rFonts w:hint="default" w:eastAsia="宋体"/>
                                      <w:sz w:val="24"/>
                                      <w:szCs w:val="24"/>
                                      <w:lang w:val="en-US" w:eastAsia="zh-CN"/>
                                    </w:rPr>
                                  </w:pPr>
                                  <w:r>
                                    <w:rPr>
                                      <w:rFonts w:hint="eastAsia"/>
                                      <w:sz w:val="24"/>
                                      <w:szCs w:val="24"/>
                                      <w:lang w:val="en-US" w:eastAsia="zh-CN"/>
                                    </w:rPr>
                                    <w:t>造粒机</w:t>
                                  </w:r>
                                </w:p>
                              </w:txbxContent>
                            </v:textbox>
                          </v:shape>
                          <v:shape id="文本框 1109" o:spid="_x0000_s1026" o:spt="202" type="#_x0000_t202" style="position:absolute;left:12996;top:549417;height:435;width:1062;"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5CB1011A">
                                  <w:pPr>
                                    <w:jc w:val="both"/>
                                    <w:rPr>
                                      <w:rFonts w:hint="default" w:eastAsia="宋体"/>
                                      <w:sz w:val="24"/>
                                      <w:szCs w:val="24"/>
                                      <w:lang w:val="en-US" w:eastAsia="zh-CN"/>
                                    </w:rPr>
                                  </w:pPr>
                                  <w:r>
                                    <w:rPr>
                                      <w:rFonts w:hint="eastAsia"/>
                                      <w:sz w:val="24"/>
                                      <w:szCs w:val="24"/>
                                      <w:lang w:val="en-US" w:eastAsia="zh-CN"/>
                                    </w:rPr>
                                    <w:t>造粒机</w:t>
                                  </w:r>
                                </w:p>
                              </w:txbxContent>
                            </v:textbox>
                          </v:shape>
                        </v:group>
                        <v:group id="_x0000_s1026" o:spid="_x0000_s1026" o:spt="203" style="position:absolute;left:6919;top:549867;height:759;width:6690;" coordorigin="6919,549867" coordsize="6690,759"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line id="直线 1110" o:spid="_x0000_s1026" o:spt="20" style="position:absolute;left:10260;top:549892;height:735;width:0;" filled="f" stroked="t" coordsize="21600,21600" o:gfxdata="UEsDBAoAAAAAAIdO4kAAAAAAAAAAAAAAAAAEAAAAZHJzL1BLAwQUAAAACACHTuJAt7KVjr8AAADb&#10;AAAADwAAAGRycy9kb3ducmV2LnhtbEWPT2vCQBTE7wW/w/IEb3UTw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ylY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id="_x0000_s1026" o:spid="_x0000_s1026" o:spt="203" style="position:absolute;left:6919;top:549867;height:373;width:6690;" coordorigin="6919,549867" coordsize="6690,373" o:gfxdata="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R83Bc7oAAADbAAAADwAAAAAAAAABACAAAAAiAAAAZHJzL2Rvd25yZXYueG1sUEsB&#10;AhQAFAAAAAgAh07iQDMvBZ47AAAAOQAAABUAAAAAAAAAAQAgAAAACQEAAGRycy9ncm91cHNoYXBl&#10;eG1sLnhtbFBLBQYAAAAABgAGAGABAADGAwAAAAA=&#10;">
                            <o:lock v:ext="edit" aspectratio="f"/>
                            <v:group id="组合 1" o:spid="_x0000_s1026" o:spt="203" style="position:absolute;left:6919;top:549882;height:359;width:6690;" coordorigin="9229,546747" coordsize="1320,359"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line id="直线 1108" o:spid="_x0000_s1026" o:spt="20" style="position:absolute;left:10549;top:546762;height:345;width:1;" filled="f" stroked="t" coordsize="21600,21600" o:gfxdata="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uYJ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1112" o:spid="_x0000_s1026" o:spt="20" style="position:absolute;left:9229;top:547102;height:0;width:1316;" filled="f" stroked="t" coordsize="21600,21600" o:gfxdata="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JhYT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1108" o:spid="_x0000_s1026" o:spt="20" style="position:absolute;left:9229;top:546747;height:345;width:1;"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line id="直线 1108" o:spid="_x0000_s1026" o:spt="20" style="position:absolute;left:8584;top:549882;height:345;width:5;" filled="f" stroked="t" coordsize="21600,21600" o:gfxdata="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LLE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1108" o:spid="_x0000_s1026" o:spt="20" style="position:absolute;left:11839;top:549867;height:370;width:11;" filled="f" stroked="t" coordsize="21600,21600" o:gfxdata="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AUv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v:group>
                    </v:group>
                  </w:pict>
                </mc:Fallback>
              </mc:AlternateContent>
            </w:r>
          </w:p>
          <w:p w14:paraId="03FC4FA7">
            <w:pPr>
              <w:pStyle w:val="2"/>
              <w:keepNext w:val="0"/>
              <w:keepLines w:val="0"/>
              <w:suppressLineNumbers w:val="0"/>
              <w:snapToGrid/>
              <w:spacing w:before="0" w:beforeAutospacing="0" w:after="0" w:afterAutospacing="0" w:line="360" w:lineRule="auto"/>
              <w:ind w:left="0" w:right="0" w:firstLine="482" w:firstLineChars="200"/>
              <w:rPr>
                <w:b/>
                <w:color w:val="auto"/>
                <w:sz w:val="24"/>
                <w:szCs w:val="24"/>
                <w:highlight w:val="none"/>
              </w:rPr>
            </w:pPr>
          </w:p>
          <w:p w14:paraId="330968F7">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rPr>
              <mc:AlternateContent>
                <mc:Choice Requires="wps">
                  <w:drawing>
                    <wp:anchor distT="0" distB="0" distL="114300" distR="114300" simplePos="0" relativeHeight="251731968" behindDoc="0" locked="0" layoutInCell="1" allowOverlap="1">
                      <wp:simplePos x="0" y="0"/>
                      <wp:positionH relativeFrom="column">
                        <wp:posOffset>3011170</wp:posOffset>
                      </wp:positionH>
                      <wp:positionV relativeFrom="paragraph">
                        <wp:posOffset>163195</wp:posOffset>
                      </wp:positionV>
                      <wp:extent cx="635000" cy="390525"/>
                      <wp:effectExtent l="0" t="0" r="0" b="0"/>
                      <wp:wrapNone/>
                      <wp:docPr id="211" name="文本框 205"/>
                      <wp:cNvGraphicFramePr/>
                      <a:graphic xmlns:a="http://schemas.openxmlformats.org/drawingml/2006/main">
                        <a:graphicData uri="http://schemas.microsoft.com/office/word/2010/wordprocessingShape">
                          <wps:wsp>
                            <wps:cNvSpPr txBox="1"/>
                            <wps:spPr>
                              <a:xfrm>
                                <a:off x="4587875" y="2334260"/>
                                <a:ext cx="635000" cy="390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CFB8E">
                                  <w:pPr>
                                    <w:rPr>
                                      <w:rFonts w:hint="eastAsia"/>
                                      <w:sz w:val="24"/>
                                      <w:szCs w:val="24"/>
                                      <w:lang w:val="en-US" w:eastAsia="zh-CN"/>
                                    </w:rPr>
                                  </w:pPr>
                                  <w:r>
                                    <w:rPr>
                                      <w:rFonts w:hint="eastAsia"/>
                                      <w:sz w:val="24"/>
                                      <w:szCs w:val="24"/>
                                      <w:lang w:val="en-US" w:eastAsia="zh-CN"/>
                                    </w:rPr>
                                    <w:t>G1-1</w:t>
                                  </w:r>
                                </w:p>
                                <w:p w14:paraId="478DF63B">
                                  <w:pPr>
                                    <w:rPr>
                                      <w:rFonts w:hint="default" w:eastAsia="宋体"/>
                                      <w:sz w:val="24"/>
                                      <w:szCs w:val="24"/>
                                      <w:lang w:val="en-US" w:eastAsia="zh-CN"/>
                                    </w:rPr>
                                  </w:pPr>
                                  <w:r>
                                    <w:rPr>
                                      <w:rFonts w:hint="eastAsia"/>
                                      <w:sz w:val="24"/>
                                      <w:szCs w:val="24"/>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5" o:spid="_x0000_s1026" o:spt="202" type="#_x0000_t202" style="position:absolute;left:0pt;margin-left:237.1pt;margin-top:12.85pt;height:30.75pt;width:50pt;z-index:251731968;mso-width-relative:page;mso-height-relative:page;" filled="f" stroked="f" coordsize="21600,21600" o:gfxdata="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L5Faz2gAAAAkBAAAPAAAAAAAA&#10;AAEAIAAAACIAAABkcnMvZG93bnJldi54bWxQSwECFAAUAAAACACHTuJA1hfXcUkCAAB1BAAADgAA&#10;AAAAAAABACAAAAApAQAAZHJzL2Uyb0RvYy54bWxQSwUGAAAAAAYABgBZAQAA5AUAAAAA&#10;">
                      <v:fill on="f" focussize="0,0"/>
                      <v:stroke on="f" weight="0.5pt"/>
                      <v:imagedata o:title=""/>
                      <o:lock v:ext="edit" aspectratio="f"/>
                      <v:textbox>
                        <w:txbxContent>
                          <w:p w14:paraId="19BCFB8E">
                            <w:pPr>
                              <w:rPr>
                                <w:rFonts w:hint="eastAsia"/>
                                <w:sz w:val="24"/>
                                <w:szCs w:val="24"/>
                                <w:lang w:val="en-US" w:eastAsia="zh-CN"/>
                              </w:rPr>
                            </w:pPr>
                            <w:r>
                              <w:rPr>
                                <w:rFonts w:hint="eastAsia"/>
                                <w:sz w:val="24"/>
                                <w:szCs w:val="24"/>
                                <w:lang w:val="en-US" w:eastAsia="zh-CN"/>
                              </w:rPr>
                              <w:t>G1-1</w:t>
                            </w:r>
                          </w:p>
                          <w:p w14:paraId="478DF63B">
                            <w:pPr>
                              <w:rPr>
                                <w:rFonts w:hint="default" w:eastAsia="宋体"/>
                                <w:sz w:val="24"/>
                                <w:szCs w:val="24"/>
                                <w:lang w:val="en-US" w:eastAsia="zh-CN"/>
                              </w:rPr>
                            </w:pPr>
                            <w:r>
                              <w:rPr>
                                <w:rFonts w:hint="eastAsia"/>
                                <w:sz w:val="24"/>
                                <w:szCs w:val="24"/>
                                <w:lang w:val="en-US" w:eastAsia="zh-CN"/>
                              </w:rPr>
                              <w:t>N</w:t>
                            </w:r>
                          </w:p>
                        </w:txbxContent>
                      </v:textbox>
                    </v:shape>
                  </w:pict>
                </mc:Fallback>
              </mc:AlternateContent>
            </w:r>
            <w:r>
              <w:rPr>
                <w:color w:val="auto"/>
                <w:sz w:val="24"/>
                <w:highlight w:val="none"/>
              </w:rPr>
              <mc:AlternateContent>
                <mc:Choice Requires="wps">
                  <w:drawing>
                    <wp:anchor distT="0" distB="0" distL="114300" distR="114300" simplePos="0" relativeHeight="251666432" behindDoc="0" locked="0" layoutInCell="1" allowOverlap="1">
                      <wp:simplePos x="0" y="0"/>
                      <wp:positionH relativeFrom="column">
                        <wp:posOffset>974090</wp:posOffset>
                      </wp:positionH>
                      <wp:positionV relativeFrom="paragraph">
                        <wp:posOffset>250190</wp:posOffset>
                      </wp:positionV>
                      <wp:extent cx="808990" cy="276225"/>
                      <wp:effectExtent l="0" t="0" r="0" b="0"/>
                      <wp:wrapNone/>
                      <wp:docPr id="30" name="文本框 1109"/>
                      <wp:cNvGraphicFramePr/>
                      <a:graphic xmlns:a="http://schemas.openxmlformats.org/drawingml/2006/main">
                        <a:graphicData uri="http://schemas.microsoft.com/office/word/2010/wordprocessingShape">
                          <wps:wsp>
                            <wps:cNvSpPr txBox="1">
                              <a:spLocks noChangeArrowheads="1"/>
                            </wps:cNvSpPr>
                            <wps:spPr bwMode="auto">
                              <a:xfrm>
                                <a:off x="2550795" y="2421255"/>
                                <a:ext cx="808990" cy="276225"/>
                              </a:xfrm>
                              <a:prstGeom prst="rect">
                                <a:avLst/>
                              </a:prstGeom>
                              <a:noFill/>
                              <a:ln w="9525">
                                <a:noFill/>
                                <a:miter lim="800000"/>
                              </a:ln>
                            </wps:spPr>
                            <wps:txbx>
                              <w:txbxContent>
                                <w:p w14:paraId="347F269B">
                                  <w:pPr>
                                    <w:jc w:val="both"/>
                                    <w:rPr>
                                      <w:rFonts w:hint="default" w:eastAsia="宋体"/>
                                      <w:sz w:val="24"/>
                                      <w:szCs w:val="24"/>
                                      <w:lang w:val="en-US" w:eastAsia="zh-CN"/>
                                    </w:rPr>
                                  </w:pPr>
                                  <w:r>
                                    <w:rPr>
                                      <w:rFonts w:hint="eastAsia"/>
                                      <w:sz w:val="24"/>
                                      <w:szCs w:val="24"/>
                                      <w:lang w:val="en-US" w:eastAsia="zh-CN"/>
                                    </w:rPr>
                                    <w:t>园区蒸汽</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76.7pt;margin-top:19.7pt;height:21.75pt;width:63.7pt;z-index:251666432;mso-width-relative:page;mso-height-relative:page;" filled="f" stroked="f" coordsize="21600,21600" o:gfxdata="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AvnQnWAAAACQEAAA8AAAAAAAAAAQAgAAAAIgAAAGRycy9kb3ducmV2Lnht&#10;bFBLAQIUABQAAAAIAIdO4kBQNcEJNAIAAEQEAAAOAAAAAAAAAAEAIAAAACUBAABkcnMvZTJvRG9j&#10;LnhtbFBLBQYAAAAABgAGAFkBAADLBQAAAAA=&#10;">
                      <v:fill on="f" focussize="0,0"/>
                      <v:stroke on="f" miterlimit="8" joinstyle="miter"/>
                      <v:imagedata o:title=""/>
                      <o:lock v:ext="edit" aspectratio="f"/>
                      <v:textbox>
                        <w:txbxContent>
                          <w:p w14:paraId="347F269B">
                            <w:pPr>
                              <w:jc w:val="both"/>
                              <w:rPr>
                                <w:rFonts w:hint="default" w:eastAsia="宋体"/>
                                <w:sz w:val="24"/>
                                <w:szCs w:val="24"/>
                                <w:lang w:val="en-US" w:eastAsia="zh-CN"/>
                              </w:rPr>
                            </w:pPr>
                            <w:r>
                              <w:rPr>
                                <w:rFonts w:hint="eastAsia"/>
                                <w:sz w:val="24"/>
                                <w:szCs w:val="24"/>
                                <w:lang w:val="en-US" w:eastAsia="zh-CN"/>
                              </w:rPr>
                              <w:t>园区蒸汽</w:t>
                            </w:r>
                          </w:p>
                        </w:txbxContent>
                      </v:textbox>
                    </v:shape>
                  </w:pict>
                </mc:Fallback>
              </mc:AlternateContent>
            </w:r>
          </w:p>
          <w:p w14:paraId="3A38DD75">
            <w:pPr>
              <w:pStyle w:val="2"/>
              <w:keepNext w:val="0"/>
              <w:keepLines w:val="0"/>
              <w:suppressLineNumbers w:val="0"/>
              <w:snapToGrid/>
              <w:spacing w:before="0" w:beforeAutospacing="0" w:after="0" w:afterAutospacing="0" w:line="360" w:lineRule="auto"/>
              <w:ind w:left="0" w:right="0" w:firstLine="420" w:firstLineChars="200"/>
              <w:rPr>
                <w:b/>
                <w:color w:val="auto"/>
                <w:sz w:val="24"/>
                <w:szCs w:val="24"/>
                <w:highlight w:val="none"/>
              </w:rPr>
            </w:pPr>
            <w:r>
              <w:rPr>
                <w:color w:val="auto"/>
                <w:sz w:val="21"/>
              </w:rPr>
              <mc:AlternateContent>
                <mc:Choice Requires="wps">
                  <w:drawing>
                    <wp:anchor distT="0" distB="0" distL="114300" distR="114300" simplePos="0" relativeHeight="251729920" behindDoc="0" locked="0" layoutInCell="1" allowOverlap="1">
                      <wp:simplePos x="0" y="0"/>
                      <wp:positionH relativeFrom="column">
                        <wp:posOffset>3325495</wp:posOffset>
                      </wp:positionH>
                      <wp:positionV relativeFrom="paragraph">
                        <wp:posOffset>109855</wp:posOffset>
                      </wp:positionV>
                      <wp:extent cx="1052830" cy="838200"/>
                      <wp:effectExtent l="0" t="0" r="0" b="0"/>
                      <wp:wrapNone/>
                      <wp:docPr id="219" name="文本框 205"/>
                      <wp:cNvGraphicFramePr/>
                      <a:graphic xmlns:a="http://schemas.openxmlformats.org/drawingml/2006/main">
                        <a:graphicData uri="http://schemas.microsoft.com/office/word/2010/wordprocessingShape">
                          <wps:wsp>
                            <wps:cNvSpPr txBox="1"/>
                            <wps:spPr>
                              <a:xfrm>
                                <a:off x="4559300" y="2791460"/>
                                <a:ext cx="1052830" cy="838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A6A09">
                                  <w:pPr>
                                    <w:rPr>
                                      <w:rFonts w:hint="eastAsia"/>
                                      <w:sz w:val="24"/>
                                      <w:szCs w:val="24"/>
                                      <w:lang w:val="en-US" w:eastAsia="zh-CN"/>
                                    </w:rPr>
                                  </w:pPr>
                                  <w:r>
                                    <w:rPr>
                                      <w:rFonts w:hint="eastAsia"/>
                                      <w:sz w:val="24"/>
                                      <w:szCs w:val="24"/>
                                      <w:lang w:val="en-US" w:eastAsia="zh-CN"/>
                                    </w:rPr>
                                    <w:t>G1-2</w:t>
                                  </w:r>
                                </w:p>
                                <w:p w14:paraId="210B0A3A">
                                  <w:pPr>
                                    <w:rPr>
                                      <w:rFonts w:hint="default"/>
                                      <w:sz w:val="24"/>
                                      <w:szCs w:val="24"/>
                                      <w:lang w:val="en-US" w:eastAsia="zh-CN"/>
                                    </w:rPr>
                                  </w:pPr>
                                  <w:r>
                                    <w:rPr>
                                      <w:rFonts w:hint="eastAsia"/>
                                      <w:sz w:val="24"/>
                                      <w:szCs w:val="24"/>
                                      <w:lang w:val="en-US" w:eastAsia="zh-CN"/>
                                    </w:rPr>
                                    <w:t>S1过滤杂质</w:t>
                                  </w:r>
                                </w:p>
                                <w:p w14:paraId="6F59B04D">
                                  <w:pPr>
                                    <w:rPr>
                                      <w:rFonts w:hint="default"/>
                                      <w:sz w:val="24"/>
                                      <w:szCs w:val="24"/>
                                      <w:lang w:val="en-US" w:eastAsia="zh-CN"/>
                                    </w:rPr>
                                  </w:pPr>
                                  <w:r>
                                    <w:rPr>
                                      <w:rFonts w:hint="eastAsia"/>
                                      <w:sz w:val="24"/>
                                      <w:szCs w:val="24"/>
                                      <w:lang w:val="en-US" w:eastAsia="zh-CN"/>
                                    </w:rPr>
                                    <w:t>S2 废过滤网</w:t>
                                  </w:r>
                                </w:p>
                                <w:p w14:paraId="5D1913AD">
                                  <w:pPr>
                                    <w:rPr>
                                      <w:rFonts w:hint="default" w:eastAsia="宋体"/>
                                      <w:sz w:val="24"/>
                                      <w:szCs w:val="24"/>
                                      <w:lang w:val="en-US" w:eastAsia="zh-CN"/>
                                    </w:rPr>
                                  </w:pPr>
                                  <w:r>
                                    <w:rPr>
                                      <w:rFonts w:hint="eastAsia"/>
                                      <w:sz w:val="24"/>
                                      <w:szCs w:val="24"/>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5" o:spid="_x0000_s1026" o:spt="202" type="#_x0000_t202" style="position:absolute;left:0pt;margin-left:261.85pt;margin-top:8.65pt;height:66pt;width:82.9pt;z-index:251729920;mso-width-relative:page;mso-height-relative:page;" filled="f" stroked="f" coordsize="21600,21600" o:gfxdata="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aN7WDtsAAAAKAQAADwAAAAAA&#10;AAABACAAAAAiAAAAZHJzL2Rvd25yZXYueG1sUEsBAhQAFAAAAAgAh07iQOCrMEtJAgAAdgQAAA4A&#10;AAAAAAAAAQAgAAAAKgEAAGRycy9lMm9Eb2MueG1sUEsFBgAAAAAGAAYAWQEAAOUFAAAAAA==&#10;">
                      <v:fill on="f" focussize="0,0"/>
                      <v:stroke on="f" weight="0.5pt"/>
                      <v:imagedata o:title=""/>
                      <o:lock v:ext="edit" aspectratio="f"/>
                      <v:textbox>
                        <w:txbxContent>
                          <w:p w14:paraId="58EA6A09">
                            <w:pPr>
                              <w:rPr>
                                <w:rFonts w:hint="eastAsia"/>
                                <w:sz w:val="24"/>
                                <w:szCs w:val="24"/>
                                <w:lang w:val="en-US" w:eastAsia="zh-CN"/>
                              </w:rPr>
                            </w:pPr>
                            <w:r>
                              <w:rPr>
                                <w:rFonts w:hint="eastAsia"/>
                                <w:sz w:val="24"/>
                                <w:szCs w:val="24"/>
                                <w:lang w:val="en-US" w:eastAsia="zh-CN"/>
                              </w:rPr>
                              <w:t>G1-2</w:t>
                            </w:r>
                          </w:p>
                          <w:p w14:paraId="210B0A3A">
                            <w:pPr>
                              <w:rPr>
                                <w:rFonts w:hint="default"/>
                                <w:sz w:val="24"/>
                                <w:szCs w:val="24"/>
                                <w:lang w:val="en-US" w:eastAsia="zh-CN"/>
                              </w:rPr>
                            </w:pPr>
                            <w:r>
                              <w:rPr>
                                <w:rFonts w:hint="eastAsia"/>
                                <w:sz w:val="24"/>
                                <w:szCs w:val="24"/>
                                <w:lang w:val="en-US" w:eastAsia="zh-CN"/>
                              </w:rPr>
                              <w:t>S1过滤杂质</w:t>
                            </w:r>
                          </w:p>
                          <w:p w14:paraId="6F59B04D">
                            <w:pPr>
                              <w:rPr>
                                <w:rFonts w:hint="default"/>
                                <w:sz w:val="24"/>
                                <w:szCs w:val="24"/>
                                <w:lang w:val="en-US" w:eastAsia="zh-CN"/>
                              </w:rPr>
                            </w:pPr>
                            <w:r>
                              <w:rPr>
                                <w:rFonts w:hint="eastAsia"/>
                                <w:sz w:val="24"/>
                                <w:szCs w:val="24"/>
                                <w:lang w:val="en-US" w:eastAsia="zh-CN"/>
                              </w:rPr>
                              <w:t>S2 废过滤网</w:t>
                            </w:r>
                          </w:p>
                          <w:p w14:paraId="5D1913AD">
                            <w:pPr>
                              <w:rPr>
                                <w:rFonts w:hint="default" w:eastAsia="宋体"/>
                                <w:sz w:val="24"/>
                                <w:szCs w:val="24"/>
                                <w:lang w:val="en-US" w:eastAsia="zh-CN"/>
                              </w:rPr>
                            </w:pPr>
                            <w:r>
                              <w:rPr>
                                <w:rFonts w:hint="eastAsia"/>
                                <w:sz w:val="24"/>
                                <w:szCs w:val="24"/>
                                <w:lang w:val="en-US" w:eastAsia="zh-CN"/>
                              </w:rPr>
                              <w:t>N</w:t>
                            </w:r>
                          </w:p>
                        </w:txbxContent>
                      </v:textbox>
                    </v:shape>
                  </w:pict>
                </mc:Fallback>
              </mc:AlternateContent>
            </w:r>
            <w:r>
              <w:rPr>
                <w:color w:val="auto"/>
                <w:sz w:val="21"/>
              </w:rPr>
              <mc:AlternateContent>
                <mc:Choice Requires="wps">
                  <w:drawing>
                    <wp:anchor distT="0" distB="0" distL="114300" distR="114300" simplePos="0" relativeHeight="251730944" behindDoc="0" locked="0" layoutInCell="1" allowOverlap="1">
                      <wp:simplePos x="0" y="0"/>
                      <wp:positionH relativeFrom="column">
                        <wp:posOffset>2760980</wp:posOffset>
                      </wp:positionH>
                      <wp:positionV relativeFrom="paragraph">
                        <wp:posOffset>60960</wp:posOffset>
                      </wp:positionV>
                      <wp:extent cx="322580" cy="0"/>
                      <wp:effectExtent l="0" t="38100" r="1270" b="38100"/>
                      <wp:wrapNone/>
                      <wp:docPr id="210" name="直接箭头连接符 204"/>
                      <wp:cNvGraphicFramePr/>
                      <a:graphic xmlns:a="http://schemas.openxmlformats.org/drawingml/2006/main">
                        <a:graphicData uri="http://schemas.microsoft.com/office/word/2010/wordprocessingShape">
                          <wps:wsp>
                            <wps:cNvCnPr/>
                            <wps:spPr>
                              <a:xfrm>
                                <a:off x="4337685" y="2494915"/>
                                <a:ext cx="322580" cy="0"/>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04" o:spid="_x0000_s1026" o:spt="32" type="#_x0000_t32" style="position:absolute;left:0pt;margin-left:217.4pt;margin-top:4.8pt;height:0pt;width:25.4pt;z-index:251730944;mso-width-relative:page;mso-height-relative:page;" filled="f" stroked="t" coordsize="21600,21600" o:gfxdata="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AWJ3N1gAAAAcBAAAPAAAAAAAAAAEAIAAA&#10;ACIAAABkcnMvZG93bnJldi54bWxQSwECFAAUAAAACACHTuJA0RQlcA4CAADcAwAADgAAAAAAAAAB&#10;ACAAAAAlAQAAZHJzL2Uyb0RvYy54bWxQSwUGAAAAAAYABgBZAQAApQUAAAAA&#10;">
                      <v:fill on="f" focussize="0,0"/>
                      <v:stroke weight="1pt" color="#000000 [3213]" joinstyle="round" dashstyle="3 1" endarrow="block"/>
                      <v:imagedata o:title=""/>
                      <o:lock v:ext="edit" aspectratio="f"/>
                    </v:shape>
                  </w:pict>
                </mc:Fallback>
              </mc:AlternateContent>
            </w:r>
            <w:r>
              <w:rPr>
                <w:color w:val="auto"/>
                <w:sz w:val="24"/>
                <w:highlight w:val="none"/>
              </w:rPr>
              <mc:AlternateContent>
                <mc:Choice Requires="wps">
                  <w:drawing>
                    <wp:anchor distT="0" distB="0" distL="114300" distR="114300" simplePos="0" relativeHeight="251664384" behindDoc="0" locked="0" layoutInCell="1" allowOverlap="1">
                      <wp:simplePos x="0" y="0"/>
                      <wp:positionH relativeFrom="column">
                        <wp:posOffset>1798955</wp:posOffset>
                      </wp:positionH>
                      <wp:positionV relativeFrom="paragraph">
                        <wp:posOffset>98425</wp:posOffset>
                      </wp:positionV>
                      <wp:extent cx="257175" cy="3175"/>
                      <wp:effectExtent l="0" t="37465" r="9525" b="35560"/>
                      <wp:wrapNone/>
                      <wp:docPr id="32" name="直线 1110"/>
                      <wp:cNvGraphicFramePr/>
                      <a:graphic xmlns:a="http://schemas.openxmlformats.org/drawingml/2006/main">
                        <a:graphicData uri="http://schemas.microsoft.com/office/word/2010/wordprocessingShape">
                          <wps:wsp>
                            <wps:cNvCnPr/>
                            <wps:spPr bwMode="auto">
                              <a:xfrm flipV="1">
                                <a:off x="4213860" y="5708650"/>
                                <a:ext cx="257175" cy="31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flip:y;margin-left:141.65pt;margin-top:7.75pt;height:0.25pt;width:20.25pt;z-index:251664384;mso-width-relative:page;mso-height-relative:page;" filled="f" stroked="t" coordsize="21600,21600" o:gfxdata="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3NVd02QAAAAkBAAAPAAAAAAAAAAEAIAAAACIAAABkcnMvZG93bnJldi54bWxQSwECFAAU&#10;AAAACACHTuJADwN53vABAAC5AwAADgAAAAAAAAABACAAAAAoAQAAZHJzL2Uyb0RvYy54bWxQSwUG&#10;AAAAAAYABgBZAQAAigUAAAAA&#10;">
                      <v:fill on="f" focussize="0,0"/>
                      <v:stroke color="#000000" joinstyle="round" endarrow="block"/>
                      <v:imagedata o:title=""/>
                      <o:lock v:ext="edit" aspectratio="f"/>
                    </v:line>
                  </w:pict>
                </mc:Fallback>
              </mc:AlternateContent>
            </w:r>
          </w:p>
          <w:p w14:paraId="5702CA94">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663360" behindDoc="0" locked="0" layoutInCell="1" allowOverlap="1">
                      <wp:simplePos x="0" y="0"/>
                      <wp:positionH relativeFrom="column">
                        <wp:posOffset>793115</wp:posOffset>
                      </wp:positionH>
                      <wp:positionV relativeFrom="paragraph">
                        <wp:posOffset>57785</wp:posOffset>
                      </wp:positionV>
                      <wp:extent cx="1187450" cy="276225"/>
                      <wp:effectExtent l="4445" t="5080" r="8255" b="4445"/>
                      <wp:wrapNone/>
                      <wp:docPr id="581" name="文本框 1109"/>
                      <wp:cNvGraphicFramePr/>
                      <a:graphic xmlns:a="http://schemas.openxmlformats.org/drawingml/2006/main">
                        <a:graphicData uri="http://schemas.microsoft.com/office/word/2010/wordprocessingShape">
                          <wps:wsp>
                            <wps:cNvSpPr txBox="1">
                              <a:spLocks noChangeArrowheads="1"/>
                            </wps:cNvSpPr>
                            <wps:spPr bwMode="auto">
                              <a:xfrm>
                                <a:off x="5541645" y="3832225"/>
                                <a:ext cx="1187450" cy="276225"/>
                              </a:xfrm>
                              <a:prstGeom prst="rect">
                                <a:avLst/>
                              </a:prstGeom>
                              <a:solidFill>
                                <a:srgbClr val="FFFFFF"/>
                              </a:solidFill>
                              <a:ln w="9525">
                                <a:solidFill>
                                  <a:srgbClr val="000000"/>
                                </a:solidFill>
                                <a:miter lim="800000"/>
                              </a:ln>
                            </wps:spPr>
                            <wps:txbx>
                              <w:txbxContent>
                                <w:p w14:paraId="5D3F41E5">
                                  <w:pPr>
                                    <w:jc w:val="center"/>
                                    <w:rPr>
                                      <w:rFonts w:hint="default" w:eastAsia="宋体"/>
                                      <w:sz w:val="24"/>
                                      <w:szCs w:val="24"/>
                                      <w:lang w:val="en-US" w:eastAsia="zh-CN"/>
                                    </w:rPr>
                                  </w:pPr>
                                  <w:r>
                                    <w:rPr>
                                      <w:rFonts w:hint="eastAsia"/>
                                      <w:sz w:val="24"/>
                                      <w:szCs w:val="24"/>
                                      <w:lang w:val="en-US" w:eastAsia="zh-CN"/>
                                    </w:rPr>
                                    <w:t>冷冻机（水冷）</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62.45pt;margin-top:4.55pt;height:21.75pt;width:93.5pt;z-index:251663360;mso-width-relative:page;mso-height-relative:page;" fillcolor="#FFFFFF" filled="t" stroked="t" coordsize="21600,21600" o:gfxdata="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4uRaTXAAAACAEAAA8AAAAA&#10;AAAAAQAgAAAAIgAAAGRycy9kb3ducmV2LnhtbFBLAQIUABQAAAAIAIdO4kD4IebJTgIAAJgEAAAO&#10;AAAAAAAAAAEAIAAAACYBAABkcnMvZTJvRG9jLnhtbFBLBQYAAAAABgAGAFkBAADmBQAAAAA=&#10;">
                      <v:fill on="t" focussize="0,0"/>
                      <v:stroke color="#000000" miterlimit="8" joinstyle="miter"/>
                      <v:imagedata o:title=""/>
                      <o:lock v:ext="edit" aspectratio="f"/>
                      <v:textbox>
                        <w:txbxContent>
                          <w:p w14:paraId="5D3F41E5">
                            <w:pPr>
                              <w:jc w:val="center"/>
                              <w:rPr>
                                <w:rFonts w:hint="default" w:eastAsia="宋体"/>
                                <w:sz w:val="24"/>
                                <w:szCs w:val="24"/>
                                <w:lang w:val="en-US" w:eastAsia="zh-CN"/>
                              </w:rPr>
                            </w:pPr>
                            <w:r>
                              <w:rPr>
                                <w:rFonts w:hint="eastAsia"/>
                                <w:sz w:val="24"/>
                                <w:szCs w:val="24"/>
                                <w:lang w:val="en-US" w:eastAsia="zh-CN"/>
                              </w:rPr>
                              <w:t>冷冻机（水冷）</w:t>
                            </w:r>
                          </w:p>
                        </w:txbxContent>
                      </v:textbox>
                    </v:shape>
                  </w:pict>
                </mc:Fallback>
              </mc:AlternateContent>
            </w:r>
          </w:p>
          <w:p w14:paraId="163BA7DB">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rPr>
              <mc:AlternateContent>
                <mc:Choice Requires="wps">
                  <w:drawing>
                    <wp:anchor distT="0" distB="0" distL="114300" distR="114300" simplePos="0" relativeHeight="251728896" behindDoc="0" locked="0" layoutInCell="1" allowOverlap="1">
                      <wp:simplePos x="0" y="0"/>
                      <wp:positionH relativeFrom="column">
                        <wp:posOffset>2732405</wp:posOffset>
                      </wp:positionH>
                      <wp:positionV relativeFrom="paragraph">
                        <wp:posOffset>70485</wp:posOffset>
                      </wp:positionV>
                      <wp:extent cx="628650" cy="8255"/>
                      <wp:effectExtent l="0" t="36830" r="0" b="31115"/>
                      <wp:wrapNone/>
                      <wp:docPr id="218" name="直接箭头连接符 204"/>
                      <wp:cNvGraphicFramePr/>
                      <a:graphic xmlns:a="http://schemas.openxmlformats.org/drawingml/2006/main">
                        <a:graphicData uri="http://schemas.microsoft.com/office/word/2010/wordprocessingShape">
                          <wps:wsp>
                            <wps:cNvCnPr/>
                            <wps:spPr>
                              <a:xfrm flipV="1">
                                <a:off x="4309110" y="3038475"/>
                                <a:ext cx="628650" cy="8255"/>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04" o:spid="_x0000_s1026" o:spt="32" type="#_x0000_t32" style="position:absolute;left:0pt;flip:y;margin-left:215.15pt;margin-top:5.55pt;height:0.65pt;width:49.5pt;z-index:251728896;mso-width-relative:page;mso-height-relative:page;" filled="f" stroked="t" coordsize="21600,21600" o:gfxdata="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XhbOXZAAAACQEAAA8A&#10;AAAAAAAAAQAgAAAAIgAAAGRycy9kb3ducmV2LnhtbFBLAQIUABQAAAAIAIdO4kCE6R70FgIAAOkD&#10;AAAOAAAAAAAAAAEAIAAAACgBAABkcnMvZTJvRG9jLnhtbFBLBQYAAAAABgAGAFkBAACwBQAAAAA=&#10;">
                      <v:fill on="f" focussize="0,0"/>
                      <v:stroke weight="1pt" color="#000000 [3213]" joinstyle="round" dashstyle="3 1" endarrow="block"/>
                      <v:imagedata o:title=""/>
                      <o:lock v:ext="edit" aspectratio="f"/>
                    </v:shape>
                  </w:pict>
                </mc:Fallback>
              </mc:AlternateContent>
            </w:r>
            <w:r>
              <w:rPr>
                <w:color w:val="auto"/>
                <w:sz w:val="24"/>
                <w:highlight w:val="none"/>
              </w:rPr>
              <mc:AlternateContent>
                <mc:Choice Requires="wps">
                  <w:drawing>
                    <wp:anchor distT="0" distB="0" distL="114300" distR="114300" simplePos="0" relativeHeight="251667456" behindDoc="0" locked="0" layoutInCell="1" allowOverlap="1">
                      <wp:simplePos x="0" y="0"/>
                      <wp:positionH relativeFrom="column">
                        <wp:posOffset>1379855</wp:posOffset>
                      </wp:positionH>
                      <wp:positionV relativeFrom="paragraph">
                        <wp:posOffset>71120</wp:posOffset>
                      </wp:positionV>
                      <wp:extent cx="6985" cy="263525"/>
                      <wp:effectExtent l="36195" t="0" r="33020" b="3175"/>
                      <wp:wrapNone/>
                      <wp:docPr id="43" name="直线 1110"/>
                      <wp:cNvGraphicFramePr/>
                      <a:graphic xmlns:a="http://schemas.openxmlformats.org/drawingml/2006/main">
                        <a:graphicData uri="http://schemas.microsoft.com/office/word/2010/wordprocessingShape">
                          <wps:wsp>
                            <wps:cNvCnPr>
                              <a:stCxn id="581" idx="2"/>
                            </wps:cNvCnPr>
                            <wps:spPr bwMode="auto">
                              <a:xfrm flipH="1">
                                <a:off x="0" y="0"/>
                                <a:ext cx="6985" cy="26352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flip:x;margin-left:108.65pt;margin-top:5.6pt;height:20.75pt;width:0.55pt;z-index:251667456;mso-width-relative:page;mso-height-relative:page;" filled="f" stroked="t" coordsize="21600,21600" o:gfxdata="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Huix2QAAAAkBAAAPAAAAAAAAAAEAIAAAACIAAABkcnMvZG93bnJldi54bWxQ&#10;SwECFAAUAAAACACHTuJAL/uMAfYBAADVAwAADgAAAAAAAAABACAAAAAoAQAAZHJzL2Uyb0RvYy54&#10;bWxQSwUGAAAAAAYABgBZAQAAkAUAAAAA&#10;">
                      <v:fill on="f" focussize="0,0"/>
                      <v:stroke color="#000000" joinstyle="round" endarrow="block"/>
                      <v:imagedata o:title=""/>
                      <o:lock v:ext="edit" aspectratio="f"/>
                    </v:line>
                  </w:pict>
                </mc:Fallback>
              </mc:AlternateContent>
            </w:r>
          </w:p>
          <w:p w14:paraId="787AF96E">
            <w:pPr>
              <w:pStyle w:val="2"/>
              <w:keepNext w:val="0"/>
              <w:keepLines w:val="0"/>
              <w:suppressLineNumbers w:val="0"/>
              <w:snapToGrid/>
              <w:spacing w:before="0" w:beforeAutospacing="0" w:after="0" w:afterAutospacing="0" w:line="360" w:lineRule="auto"/>
              <w:ind w:left="0" w:right="0"/>
              <w:rPr>
                <w:b/>
                <w:color w:val="auto"/>
                <w:sz w:val="24"/>
                <w:szCs w:val="24"/>
                <w:highlight w:val="none"/>
              </w:rPr>
            </w:pPr>
            <w:r>
              <w:rPr>
                <w:color w:val="auto"/>
                <w:sz w:val="24"/>
                <w:highlight w:val="none"/>
              </w:rPr>
              <mc:AlternateContent>
                <mc:Choice Requires="wps">
                  <w:drawing>
                    <wp:anchor distT="0" distB="0" distL="114300" distR="114300" simplePos="0" relativeHeight="251668480" behindDoc="0" locked="0" layoutInCell="1" allowOverlap="1">
                      <wp:simplePos x="0" y="0"/>
                      <wp:positionH relativeFrom="column">
                        <wp:posOffset>2065655</wp:posOffset>
                      </wp:positionH>
                      <wp:positionV relativeFrom="paragraph">
                        <wp:posOffset>120015</wp:posOffset>
                      </wp:positionV>
                      <wp:extent cx="2534285" cy="865505"/>
                      <wp:effectExtent l="12700" t="12700" r="24765" b="17145"/>
                      <wp:wrapNone/>
                      <wp:docPr id="45" name="矩形 45"/>
                      <wp:cNvGraphicFramePr/>
                      <a:graphic xmlns:a="http://schemas.openxmlformats.org/drawingml/2006/main">
                        <a:graphicData uri="http://schemas.microsoft.com/office/word/2010/wordprocessingShape">
                          <wps:wsp>
                            <wps:cNvSpPr/>
                            <wps:spPr>
                              <a:xfrm>
                                <a:off x="0" y="0"/>
                                <a:ext cx="2534285" cy="865505"/>
                              </a:xfrm>
                              <a:prstGeom prst="rect">
                                <a:avLst/>
                              </a:prstGeom>
                              <a:noFill/>
                              <a:ln w="25400"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2.65pt;margin-top:9.45pt;height:68.15pt;width:199.55pt;z-index:251668480;v-text-anchor:middle;mso-width-relative:page;mso-height-relative:page;" filled="f" stroked="t" coordsize="21600,21600" o:gfxdata="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Z&#10;KBBr2AAAAAoBAAAPAAAAAAAAAAEAIAAAACIAAABkcnMvZG93bnJldi54bWxQSwECFAAUAAAACACH&#10;TuJAGJOu5V0CAAC1BAAADgAAAAAAAAABACAAAAAnAQAAZHJzL2Uyb0RvYy54bWxQSwUGAAAAAAYA&#10;BgBZAQAA9gUAAAAA&#10;">
                      <v:fill on="f" focussize="0,0"/>
                      <v:stroke weight="2pt" color="#000000 [3213]" joinstyle="round" dashstyle="dash"/>
                      <v:imagedata o:title=""/>
                      <o:lock v:ext="edit" aspectratio="f"/>
                    </v:rect>
                  </w:pict>
                </mc:Fallback>
              </mc:AlternateContent>
            </w:r>
          </w:p>
          <w:p w14:paraId="33520E32">
            <w:pPr>
              <w:pStyle w:val="2"/>
              <w:keepNext w:val="0"/>
              <w:keepLines w:val="0"/>
              <w:suppressLineNumbers w:val="0"/>
              <w:snapToGrid/>
              <w:spacing w:before="0" w:beforeAutospacing="0" w:after="0" w:afterAutospacing="0" w:line="360" w:lineRule="auto"/>
              <w:ind w:left="0" w:right="0" w:firstLine="482" w:firstLineChars="200"/>
              <w:rPr>
                <w:b/>
                <w:color w:val="auto"/>
                <w:sz w:val="24"/>
                <w:szCs w:val="24"/>
                <w:highlight w:val="none"/>
              </w:rPr>
            </w:pPr>
          </w:p>
          <w:p w14:paraId="26F8A31B">
            <w:pPr>
              <w:pStyle w:val="2"/>
              <w:keepNext w:val="0"/>
              <w:keepLines w:val="0"/>
              <w:suppressLineNumbers w:val="0"/>
              <w:snapToGrid/>
              <w:spacing w:before="0" w:beforeAutospacing="0" w:after="0" w:afterAutospacing="0" w:line="360" w:lineRule="auto"/>
              <w:ind w:left="0" w:right="0" w:firstLine="360" w:firstLineChars="200"/>
              <w:rPr>
                <w:b/>
                <w:color w:val="auto"/>
                <w:sz w:val="24"/>
                <w:szCs w:val="24"/>
                <w:highlight w:val="none"/>
              </w:rPr>
            </w:pPr>
            <w:r>
              <w:rPr>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2649220</wp:posOffset>
                      </wp:positionH>
                      <wp:positionV relativeFrom="paragraph">
                        <wp:posOffset>139065</wp:posOffset>
                      </wp:positionV>
                      <wp:extent cx="656590" cy="276225"/>
                      <wp:effectExtent l="0" t="0" r="0" b="0"/>
                      <wp:wrapNone/>
                      <wp:docPr id="46"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656590" cy="276225"/>
                              </a:xfrm>
                              <a:prstGeom prst="rect">
                                <a:avLst/>
                              </a:prstGeom>
                              <a:noFill/>
                              <a:ln>
                                <a:noFill/>
                              </a:ln>
                            </wps:spPr>
                            <wps:txbx>
                              <w:txbxContent>
                                <w:p w14:paraId="1DE8E7A4">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208.6pt;margin-top:10.95pt;height:21.75pt;width:51.7pt;z-index:251669504;mso-width-relative:page;mso-height-relative:page;" filled="f" stroked="f" coordsize="21600,21600" o:gfxdata="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V85D9cAAAAJAQAADwAAAAAAAAABACAAAAAiAAAA&#10;ZHJzL2Rvd25yZXYueG1sUEsBAhQAFAAAAAgAh07iQMNYK9oIAgAAFgQAAA4AAAAAAAAAAQAgAAAA&#10;JgEAAGRycy9lMm9Eb2MueG1sUEsFBgAAAAAGAAYAWQEAAKAFAAAAAA==&#10;">
                      <v:fill on="f" focussize="0,0"/>
                      <v:stroke on="f"/>
                      <v:imagedata o:title=""/>
                      <o:lock v:ext="edit" aspectratio="f"/>
                      <v:textbox>
                        <w:txbxContent>
                          <w:p w14:paraId="1DE8E7A4">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v:textbox>
                    </v:shape>
                  </w:pict>
                </mc:Fallback>
              </mc:AlternateContent>
            </w:r>
          </w:p>
          <w:p w14:paraId="104A9C02">
            <w:pPr>
              <w:keepNext w:val="0"/>
              <w:keepLines w:val="0"/>
              <w:suppressLineNumbers w:val="0"/>
              <w:spacing w:before="0" w:beforeAutospacing="0" w:after="0" w:afterAutospacing="0" w:line="360" w:lineRule="auto"/>
              <w:ind w:left="0" w:right="0" w:firstLine="482" w:firstLineChars="200"/>
              <w:rPr>
                <w:b/>
                <w:bCs/>
                <w:color w:val="auto"/>
                <w:sz w:val="24"/>
                <w:highlight w:val="none"/>
              </w:rPr>
            </w:pPr>
          </w:p>
          <w:p w14:paraId="100FC905">
            <w:pPr>
              <w:keepNext w:val="0"/>
              <w:keepLines w:val="0"/>
              <w:suppressLineNumbers w:val="0"/>
              <w:spacing w:before="0" w:beforeAutospacing="0" w:after="0" w:afterAutospacing="0" w:line="360" w:lineRule="auto"/>
              <w:ind w:left="0" w:right="0" w:firstLine="420" w:firstLineChars="200"/>
              <w:rPr>
                <w:b/>
                <w:bCs/>
                <w:color w:val="auto"/>
                <w:sz w:val="24"/>
                <w:highlight w:val="none"/>
              </w:rPr>
            </w:pPr>
            <w:r>
              <w:rPr>
                <w:color w:val="auto"/>
                <w:sz w:val="21"/>
              </w:rPr>
              <mc:AlternateContent>
                <mc:Choice Requires="wps">
                  <w:drawing>
                    <wp:anchor distT="0" distB="0" distL="114300" distR="114300" simplePos="0" relativeHeight="251730944" behindDoc="0" locked="0" layoutInCell="1" allowOverlap="1">
                      <wp:simplePos x="0" y="0"/>
                      <wp:positionH relativeFrom="column">
                        <wp:posOffset>3008630</wp:posOffset>
                      </wp:positionH>
                      <wp:positionV relativeFrom="paragraph">
                        <wp:posOffset>146050</wp:posOffset>
                      </wp:positionV>
                      <wp:extent cx="1007745" cy="457200"/>
                      <wp:effectExtent l="0" t="0" r="0" b="0"/>
                      <wp:wrapNone/>
                      <wp:docPr id="222" name="文本框 205"/>
                      <wp:cNvGraphicFramePr/>
                      <a:graphic xmlns:a="http://schemas.openxmlformats.org/drawingml/2006/main">
                        <a:graphicData uri="http://schemas.microsoft.com/office/word/2010/wordprocessingShape">
                          <wps:wsp>
                            <wps:cNvSpPr txBox="1"/>
                            <wps:spPr>
                              <a:xfrm>
                                <a:off x="4585335" y="4420235"/>
                                <a:ext cx="100774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BC2A4">
                                  <w:pPr>
                                    <w:rPr>
                                      <w:rFonts w:hint="default"/>
                                      <w:sz w:val="24"/>
                                      <w:szCs w:val="24"/>
                                      <w:lang w:val="en-US" w:eastAsia="zh-CN"/>
                                    </w:rPr>
                                  </w:pPr>
                                  <w:r>
                                    <w:rPr>
                                      <w:rFonts w:hint="eastAsia"/>
                                      <w:sz w:val="24"/>
                                      <w:szCs w:val="24"/>
                                      <w:lang w:val="en-US" w:eastAsia="zh-CN"/>
                                    </w:rPr>
                                    <w:t>S3落地石蜡</w:t>
                                  </w:r>
                                </w:p>
                                <w:p w14:paraId="4E8F36C5">
                                  <w:pPr>
                                    <w:rPr>
                                      <w:rFonts w:hint="default" w:eastAsia="宋体"/>
                                      <w:sz w:val="24"/>
                                      <w:szCs w:val="24"/>
                                      <w:lang w:val="en-US" w:eastAsia="zh-CN"/>
                                    </w:rPr>
                                  </w:pPr>
                                  <w:r>
                                    <w:rPr>
                                      <w:rFonts w:hint="eastAsia"/>
                                      <w:sz w:val="24"/>
                                      <w:szCs w:val="24"/>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5" o:spid="_x0000_s1026" o:spt="202" type="#_x0000_t202" style="position:absolute;left:0pt;margin-left:236.9pt;margin-top:11.5pt;height:36pt;width:79.35pt;z-index:251730944;mso-width-relative:page;mso-height-relative:page;" filled="f" stroked="f" coordsize="21600,21600" o:gfxdata="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PMlQrzbAAAACQEAAA8AAAAAAAAA&#10;AQAgAAAAIgAAAGRycy9kb3ducmV2LnhtbFBLAQIUABQAAAAIAIdO4kDdaccnRwIAAHYEAAAOAAAA&#10;AAAAAAEAIAAAACoBAABkcnMvZTJvRG9jLnhtbFBLBQYAAAAABgAGAFkBAADjBQAAAAA=&#10;">
                      <v:fill on="f" focussize="0,0"/>
                      <v:stroke on="f" weight="0.5pt"/>
                      <v:imagedata o:title=""/>
                      <o:lock v:ext="edit" aspectratio="f"/>
                      <v:textbox>
                        <w:txbxContent>
                          <w:p w14:paraId="253BC2A4">
                            <w:pPr>
                              <w:rPr>
                                <w:rFonts w:hint="default"/>
                                <w:sz w:val="24"/>
                                <w:szCs w:val="24"/>
                                <w:lang w:val="en-US" w:eastAsia="zh-CN"/>
                              </w:rPr>
                            </w:pPr>
                            <w:r>
                              <w:rPr>
                                <w:rFonts w:hint="eastAsia"/>
                                <w:sz w:val="24"/>
                                <w:szCs w:val="24"/>
                                <w:lang w:val="en-US" w:eastAsia="zh-CN"/>
                              </w:rPr>
                              <w:t>S3落地石蜡</w:t>
                            </w:r>
                          </w:p>
                          <w:p w14:paraId="4E8F36C5">
                            <w:pPr>
                              <w:rPr>
                                <w:rFonts w:hint="default" w:eastAsia="宋体"/>
                                <w:sz w:val="24"/>
                                <w:szCs w:val="24"/>
                                <w:lang w:val="en-US" w:eastAsia="zh-CN"/>
                              </w:rPr>
                            </w:pPr>
                            <w:r>
                              <w:rPr>
                                <w:rFonts w:hint="eastAsia"/>
                                <w:sz w:val="24"/>
                                <w:szCs w:val="24"/>
                                <w:lang w:val="en-US" w:eastAsia="zh-CN"/>
                              </w:rPr>
                              <w:t>N</w:t>
                            </w:r>
                          </w:p>
                        </w:txbxContent>
                      </v:textbox>
                    </v:shape>
                  </w:pict>
                </mc:Fallback>
              </mc:AlternateContent>
            </w:r>
            <w:r>
              <w:rPr>
                <w:color w:val="auto"/>
                <w:sz w:val="21"/>
              </w:rPr>
              <mc:AlternateContent>
                <mc:Choice Requires="wps">
                  <w:drawing>
                    <wp:anchor distT="0" distB="0" distL="114300" distR="114300" simplePos="0" relativeHeight="251732992" behindDoc="0" locked="0" layoutInCell="1" allowOverlap="1">
                      <wp:simplePos x="0" y="0"/>
                      <wp:positionH relativeFrom="column">
                        <wp:posOffset>4192270</wp:posOffset>
                      </wp:positionH>
                      <wp:positionV relativeFrom="paragraph">
                        <wp:posOffset>3175</wp:posOffset>
                      </wp:positionV>
                      <wp:extent cx="0" cy="348615"/>
                      <wp:effectExtent l="38100" t="0" r="38100" b="13335"/>
                      <wp:wrapNone/>
                      <wp:docPr id="213" name="直接箭头连接符 204"/>
                      <wp:cNvGraphicFramePr/>
                      <a:graphic xmlns:a="http://schemas.openxmlformats.org/drawingml/2006/main">
                        <a:graphicData uri="http://schemas.microsoft.com/office/word/2010/wordprocessingShape">
                          <wps:wsp>
                            <wps:cNvCnPr/>
                            <wps:spPr>
                              <a:xfrm>
                                <a:off x="5768975" y="4277360"/>
                                <a:ext cx="0" cy="348615"/>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04" o:spid="_x0000_s1026" o:spt="32" type="#_x0000_t32" style="position:absolute;left:0pt;margin-left:330.1pt;margin-top:0.25pt;height:27.45pt;width:0pt;z-index:251732992;mso-width-relative:page;mso-height-relative:page;" filled="f" stroked="t" coordsize="21600,21600" o:gfxdata="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JJgE3TAAAABwEAAA8AAAAAAAAAAQAgAAAAIgAA&#10;AGRycy9kb3ducmV2LnhtbFBLAQIUABQAAAAIAIdO4kDPwh7PDQIAANwDAAAOAAAAAAAAAAEAIAAA&#10;ACIBAABkcnMvZTJvRG9jLnhtbFBLBQYAAAAABgAGAFkBAAChBQAAAAA=&#10;">
                      <v:fill on="f" focussize="0,0"/>
                      <v:stroke weight="1pt" color="#000000 [3213]" joinstyle="round" dashstyle="3 1" endarrow="block"/>
                      <v:imagedata o:title=""/>
                      <o:lock v:ext="edit" aspectratio="f"/>
                    </v:shape>
                  </w:pict>
                </mc:Fallback>
              </mc:AlternateContent>
            </w:r>
          </w:p>
          <w:p w14:paraId="7507CC05">
            <w:pPr>
              <w:keepNext w:val="0"/>
              <w:keepLines w:val="0"/>
              <w:suppressLineNumbers w:val="0"/>
              <w:spacing w:before="0" w:beforeAutospacing="0" w:after="0" w:afterAutospacing="0" w:line="360" w:lineRule="auto"/>
              <w:ind w:left="0" w:right="0" w:firstLine="480" w:firstLineChars="200"/>
              <w:rPr>
                <w:b/>
                <w:bCs/>
                <w:color w:val="auto"/>
                <w:sz w:val="24"/>
                <w:highlight w:val="none"/>
              </w:rPr>
            </w:pPr>
            <w:r>
              <w:rPr>
                <w:color w:val="auto"/>
                <w:sz w:val="24"/>
              </w:rPr>
              <mc:AlternateContent>
                <mc:Choice Requires="wps">
                  <w:drawing>
                    <wp:anchor distT="0" distB="0" distL="114300" distR="114300" simplePos="0" relativeHeight="251729920" behindDoc="0" locked="0" layoutInCell="1" allowOverlap="1">
                      <wp:simplePos x="0" y="0"/>
                      <wp:positionH relativeFrom="column">
                        <wp:posOffset>2780030</wp:posOffset>
                      </wp:positionH>
                      <wp:positionV relativeFrom="paragraph">
                        <wp:posOffset>16510</wp:posOffset>
                      </wp:positionV>
                      <wp:extent cx="295275" cy="0"/>
                      <wp:effectExtent l="0" t="38100" r="9525" b="38100"/>
                      <wp:wrapNone/>
                      <wp:docPr id="221" name="直接箭头连接符 204"/>
                      <wp:cNvGraphicFramePr/>
                      <a:graphic xmlns:a="http://schemas.openxmlformats.org/drawingml/2006/main">
                        <a:graphicData uri="http://schemas.microsoft.com/office/word/2010/wordprocessingShape">
                          <wps:wsp>
                            <wps:cNvCnPr/>
                            <wps:spPr>
                              <a:xfrm>
                                <a:off x="4356735" y="4553585"/>
                                <a:ext cx="295275" cy="0"/>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04" o:spid="_x0000_s1026" o:spt="32" type="#_x0000_t32" style="position:absolute;left:0pt;margin-left:218.9pt;margin-top:1.3pt;height:0pt;width:23.25pt;z-index:251729920;mso-width-relative:page;mso-height-relative:page;" filled="f" stroked="t" coordsize="21600,21600" o:gfxdata="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OZ6B1gAAAAcBAAAPAAAAAAAAAAEAIAAA&#10;ACIAAABkcnMvZG93bnJldi54bWxQSwECFAAUAAAACACHTuJAkO762A4CAADcAwAADgAAAAAAAAAB&#10;ACAAAAAlAQAAZHJzL2Uyb0RvYy54bWxQSwUGAAAAAAYABgBZAQAApQUAAAAA&#10;">
                      <v:fill on="f" focussize="0,0"/>
                      <v:stroke weight="1pt" color="#000000 [3213]" joinstyle="round" dashstyle="3 1" endarrow="block"/>
                      <v:imagedata o:title=""/>
                      <o:lock v:ext="edit" aspectratio="f"/>
                    </v:shape>
                  </w:pict>
                </mc:Fallback>
              </mc:AlternateContent>
            </w:r>
            <w:r>
              <w:rPr>
                <w:color w:val="auto"/>
                <w:sz w:val="24"/>
              </w:rPr>
              <mc:AlternateContent>
                <mc:Choice Requires="wps">
                  <w:drawing>
                    <wp:anchor distT="0" distB="0" distL="114300" distR="114300" simplePos="0" relativeHeight="251735040" behindDoc="0" locked="0" layoutInCell="1" allowOverlap="1">
                      <wp:simplePos x="0" y="0"/>
                      <wp:positionH relativeFrom="column">
                        <wp:posOffset>3865880</wp:posOffset>
                      </wp:positionH>
                      <wp:positionV relativeFrom="paragraph">
                        <wp:posOffset>31115</wp:posOffset>
                      </wp:positionV>
                      <wp:extent cx="685800" cy="469900"/>
                      <wp:effectExtent l="0" t="0" r="0" b="0"/>
                      <wp:wrapNone/>
                      <wp:docPr id="214" name="文本框 205"/>
                      <wp:cNvGraphicFramePr/>
                      <a:graphic xmlns:a="http://schemas.openxmlformats.org/drawingml/2006/main">
                        <a:graphicData uri="http://schemas.microsoft.com/office/word/2010/wordprocessingShape">
                          <wps:wsp>
                            <wps:cNvSpPr txBox="1"/>
                            <wps:spPr>
                              <a:xfrm>
                                <a:off x="5442585" y="4568190"/>
                                <a:ext cx="685800" cy="469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14A83">
                                  <w:pPr>
                                    <w:rPr>
                                      <w:rFonts w:hint="default" w:eastAsia="宋体"/>
                                      <w:sz w:val="24"/>
                                      <w:szCs w:val="24"/>
                                      <w:lang w:val="en-US" w:eastAsia="zh-CN"/>
                                    </w:rPr>
                                  </w:pPr>
                                  <w:r>
                                    <w:rPr>
                                      <w:rFonts w:hint="eastAsia"/>
                                      <w:sz w:val="24"/>
                                      <w:szCs w:val="24"/>
                                      <w:lang w:val="en-US" w:eastAsia="zh-CN"/>
                                    </w:rPr>
                                    <w:t>G1-2、N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5" o:spid="_x0000_s1026" o:spt="202" type="#_x0000_t202" style="position:absolute;left:0pt;margin-left:304.4pt;margin-top:2.45pt;height:37pt;width:54pt;z-index:251735040;mso-width-relative:page;mso-height-relative:page;" filled="f" stroked="f" coordsize="21600,21600" o:gfxdata="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QbRpjZAAAACAEAAA8AAAAAAAAA&#10;AQAgAAAAIgAAAGRycy9kb3ducmV2LnhtbFBLAQIUABQAAAAIAIdO4kAriLxVSQIAAHUEAAAOAAAA&#10;AAAAAAEAIAAAACgBAABkcnMvZTJvRG9jLnhtbFBLBQYAAAAABgAGAFkBAADjBQAAAAA=&#10;">
                      <v:fill on="f" focussize="0,0"/>
                      <v:stroke on="f" weight="0.5pt"/>
                      <v:imagedata o:title=""/>
                      <o:lock v:ext="edit" aspectratio="f"/>
                      <v:textbox>
                        <w:txbxContent>
                          <w:p w14:paraId="38E14A83">
                            <w:pPr>
                              <w:rPr>
                                <w:rFonts w:hint="default" w:eastAsia="宋体"/>
                                <w:sz w:val="24"/>
                                <w:szCs w:val="24"/>
                                <w:lang w:val="en-US" w:eastAsia="zh-CN"/>
                              </w:rPr>
                            </w:pPr>
                            <w:r>
                              <w:rPr>
                                <w:rFonts w:hint="eastAsia"/>
                                <w:sz w:val="24"/>
                                <w:szCs w:val="24"/>
                                <w:lang w:val="en-US" w:eastAsia="zh-CN"/>
                              </w:rPr>
                              <w:t>G1-2、N</w:t>
                            </w:r>
                          </w:p>
                        </w:txbxContent>
                      </v:textbox>
                    </v:shape>
                  </w:pict>
                </mc:Fallback>
              </mc:AlternateContent>
            </w:r>
          </w:p>
          <w:p w14:paraId="6651C5D0">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6EFCEA91">
            <w:pPr>
              <w:pStyle w:val="2"/>
              <w:keepNext w:val="0"/>
              <w:keepLines w:val="0"/>
              <w:suppressLineNumbers w:val="0"/>
              <w:spacing w:before="0" w:beforeAutospacing="0" w:after="0" w:afterAutospacing="0" w:line="360" w:lineRule="auto"/>
              <w:ind w:left="0" w:right="0"/>
              <w:jc w:val="center"/>
              <w:rPr>
                <w:rFonts w:hint="eastAsia" w:eastAsia="宋体"/>
                <w:b/>
                <w:color w:val="auto"/>
                <w:sz w:val="24"/>
                <w:szCs w:val="24"/>
                <w:highlight w:val="none"/>
                <w:lang w:val="en-US" w:eastAsia="zh-CN"/>
              </w:rPr>
            </w:pPr>
            <w:r>
              <w:rPr>
                <w:color w:val="auto"/>
                <w:sz w:val="24"/>
              </w:rPr>
              <mc:AlternateContent>
                <mc:Choice Requires="wpg">
                  <w:drawing>
                    <wp:anchor distT="0" distB="0" distL="114300" distR="114300" simplePos="0" relativeHeight="251859968" behindDoc="0" locked="0" layoutInCell="1" allowOverlap="1">
                      <wp:simplePos x="0" y="0"/>
                      <wp:positionH relativeFrom="column">
                        <wp:posOffset>3780155</wp:posOffset>
                      </wp:positionH>
                      <wp:positionV relativeFrom="paragraph">
                        <wp:posOffset>36195</wp:posOffset>
                      </wp:positionV>
                      <wp:extent cx="1143000" cy="675640"/>
                      <wp:effectExtent l="4445" t="4445" r="14605" b="5715"/>
                      <wp:wrapNone/>
                      <wp:docPr id="278" name="组合 278"/>
                      <wp:cNvGraphicFramePr/>
                      <a:graphic xmlns:a="http://schemas.openxmlformats.org/drawingml/2006/main">
                        <a:graphicData uri="http://schemas.microsoft.com/office/word/2010/wordprocessingGroup">
                          <wpg:wgp>
                            <wpg:cNvGrpSpPr/>
                            <wpg:grpSpPr>
                              <a:xfrm>
                                <a:off x="0" y="0"/>
                                <a:ext cx="1143000" cy="675640"/>
                                <a:chOff x="14190" y="572314"/>
                                <a:chExt cx="1800" cy="1064"/>
                              </a:xfrm>
                            </wpg:grpSpPr>
                            <wps:wsp>
                              <wps:cNvPr id="282" name="文本框 145"/>
                              <wps:cNvSpPr txBox="1"/>
                              <wps:spPr>
                                <a:xfrm>
                                  <a:off x="14190" y="572314"/>
                                  <a:ext cx="1800" cy="10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8FB752">
                                    <w:pPr>
                                      <w:keepNext w:val="0"/>
                                      <w:keepLines w:val="0"/>
                                      <w:pageBreakBefore w:val="0"/>
                                      <w:widowControl w:val="0"/>
                                      <w:kinsoku/>
                                      <w:wordWrap/>
                                      <w:overflowPunct/>
                                      <w:topLinePunct w:val="0"/>
                                      <w:bidi w:val="0"/>
                                      <w:adjustRightInd/>
                                      <w:spacing w:line="360" w:lineRule="auto"/>
                                      <w:jc w:val="center"/>
                                      <w:textAlignment w:val="auto"/>
                                      <w:rPr>
                                        <w:rFonts w:hint="eastAsia"/>
                                        <w:sz w:val="21"/>
                                        <w:szCs w:val="21"/>
                                        <w:lang w:val="en-US" w:eastAsia="zh-CN"/>
                                      </w:rPr>
                                    </w:pPr>
                                    <w:r>
                                      <w:rPr>
                                        <w:rFonts w:hint="eastAsia"/>
                                        <w:sz w:val="21"/>
                                        <w:szCs w:val="21"/>
                                        <w:lang w:val="en-US" w:eastAsia="zh-CN"/>
                                      </w:rPr>
                                      <w:t>图例</w:t>
                                    </w:r>
                                  </w:p>
                                  <w:p w14:paraId="1F1EC34C">
                                    <w:pPr>
                                      <w:pStyle w:val="2"/>
                                      <w:keepNext w:val="0"/>
                                      <w:keepLines w:val="0"/>
                                      <w:pageBreakBefore w:val="0"/>
                                      <w:widowControl w:val="0"/>
                                      <w:kinsoku/>
                                      <w:wordWrap/>
                                      <w:overflowPunct/>
                                      <w:topLinePunct w:val="0"/>
                                      <w:bidi w:val="0"/>
                                      <w:adjustRightInd/>
                                      <w:spacing w:line="360" w:lineRule="auto"/>
                                      <w:ind w:firstLine="840" w:firstLineChars="400"/>
                                      <w:textAlignment w:val="auto"/>
                                      <w:rPr>
                                        <w:rFonts w:hint="eastAsia"/>
                                        <w:lang w:val="en-US" w:eastAsia="zh-CN"/>
                                      </w:rPr>
                                    </w:pPr>
                                    <w:r>
                                      <w:rPr>
                                        <w:rFonts w:hint="eastAsia"/>
                                        <w:sz w:val="21"/>
                                        <w:szCs w:val="21"/>
                                        <w:lang w:val="en-US" w:eastAsia="zh-CN"/>
                                      </w:rPr>
                                      <w:t>本项目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3" name="矩形 276"/>
                              <wps:cNvSpPr/>
                              <wps:spPr>
                                <a:xfrm>
                                  <a:off x="14564" y="572861"/>
                                  <a:ext cx="422" cy="223"/>
                                </a:xfrm>
                                <a:prstGeom prst="rect">
                                  <a:avLst/>
                                </a:prstGeom>
                                <a:noFill/>
                                <a:ln w="9525"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7.65pt;margin-top:2.85pt;height:53.2pt;width:90pt;z-index:251859968;mso-width-relative:page;mso-height-relative:page;" coordorigin="14190,572314" coordsize="1800,1064" o:gfxdata="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IYDjjzYAAAACQEAAA8AAAAAAAAAAQAgAAAAIgAA&#10;AGRycy9kb3ducmV2LnhtbFBLAQIUABQAAAAIAIdO4kARntiYXgMAANAIAAAOAAAAAAAAAAEAIAAA&#10;ACcBAABkcnMvZTJvRG9jLnhtbFBLBQYAAAAABgAGAFkBAAD3BgAAAAA=&#10;">
                      <o:lock v:ext="edit" aspectratio="f"/>
                      <v:shape id="文本框 145" o:spid="_x0000_s1026" o:spt="202" type="#_x0000_t202" style="position:absolute;left:14190;top:572314;height:1065;width:1800;" fillcolor="#FFFFFF [3201]" filled="t" stroked="t" coordsize="21600,21600" o:gfxdata="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ZzE/8twAAANw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14:paraId="508FB752">
                              <w:pPr>
                                <w:keepNext w:val="0"/>
                                <w:keepLines w:val="0"/>
                                <w:pageBreakBefore w:val="0"/>
                                <w:widowControl w:val="0"/>
                                <w:kinsoku/>
                                <w:wordWrap/>
                                <w:overflowPunct/>
                                <w:topLinePunct w:val="0"/>
                                <w:bidi w:val="0"/>
                                <w:adjustRightInd/>
                                <w:spacing w:line="360" w:lineRule="auto"/>
                                <w:jc w:val="center"/>
                                <w:textAlignment w:val="auto"/>
                                <w:rPr>
                                  <w:rFonts w:hint="eastAsia"/>
                                  <w:sz w:val="21"/>
                                  <w:szCs w:val="21"/>
                                  <w:lang w:val="en-US" w:eastAsia="zh-CN"/>
                                </w:rPr>
                              </w:pPr>
                              <w:r>
                                <w:rPr>
                                  <w:rFonts w:hint="eastAsia"/>
                                  <w:sz w:val="21"/>
                                  <w:szCs w:val="21"/>
                                  <w:lang w:val="en-US" w:eastAsia="zh-CN"/>
                                </w:rPr>
                                <w:t>图例</w:t>
                              </w:r>
                            </w:p>
                            <w:p w14:paraId="1F1EC34C">
                              <w:pPr>
                                <w:pStyle w:val="2"/>
                                <w:keepNext w:val="0"/>
                                <w:keepLines w:val="0"/>
                                <w:pageBreakBefore w:val="0"/>
                                <w:widowControl w:val="0"/>
                                <w:kinsoku/>
                                <w:wordWrap/>
                                <w:overflowPunct/>
                                <w:topLinePunct w:val="0"/>
                                <w:bidi w:val="0"/>
                                <w:adjustRightInd/>
                                <w:spacing w:line="360" w:lineRule="auto"/>
                                <w:ind w:firstLine="840" w:firstLineChars="400"/>
                                <w:textAlignment w:val="auto"/>
                                <w:rPr>
                                  <w:rFonts w:hint="eastAsia"/>
                                  <w:lang w:val="en-US" w:eastAsia="zh-CN"/>
                                </w:rPr>
                              </w:pPr>
                              <w:r>
                                <w:rPr>
                                  <w:rFonts w:hint="eastAsia"/>
                                  <w:sz w:val="21"/>
                                  <w:szCs w:val="21"/>
                                  <w:lang w:val="en-US" w:eastAsia="zh-CN"/>
                                </w:rPr>
                                <w:t>本项目</w:t>
                              </w:r>
                            </w:p>
                          </w:txbxContent>
                        </v:textbox>
                      </v:shape>
                      <v:rect id="矩形 276" o:spid="_x0000_s1026" o:spt="1" style="position:absolute;left:14564;top:572861;height:223;width:422;v-text-anchor:middle;" filled="f" stroked="t" coordsize="21600,21600" o:gfxdata="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uGwoLsAAADc&#10;AAAADwAAAAAAAAABACAAAAAiAAAAZHJzL2Rvd25yZXYueG1sUEsBAhQAFAAAAAgAh07iQDMvBZ47&#10;AAAAOQAAABAAAAAAAAAAAQAgAAAACgEAAGRycy9zaGFwZXhtbC54bWxQSwUGAAAAAAYABgBbAQAA&#10;tAMAAAAA&#10;">
                        <v:fill on="f" focussize="0,0"/>
                        <v:stroke color="#000000 [3213]" joinstyle="round" dashstyle="dash"/>
                        <v:imagedata o:title=""/>
                        <o:lock v:ext="edit" aspectratio="f"/>
                      </v:rect>
                    </v:group>
                  </w:pict>
                </mc:Fallback>
              </mc:AlternateContent>
            </w:r>
            <w:r>
              <w:rPr>
                <w:rFonts w:hint="eastAsia"/>
                <w:b/>
                <w:color w:val="auto"/>
                <w:sz w:val="24"/>
                <w:szCs w:val="24"/>
                <w:highlight w:val="none"/>
                <w:lang w:val="en-US" w:eastAsia="zh-CN"/>
              </w:rPr>
              <w:t xml:space="preserve"> </w:t>
            </w:r>
          </w:p>
          <w:p w14:paraId="331DCB3F">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542E4C48">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7827A609">
            <w:pPr>
              <w:pStyle w:val="2"/>
              <w:keepNext w:val="0"/>
              <w:keepLines w:val="0"/>
              <w:suppressLineNumbers w:val="0"/>
              <w:spacing w:before="0" w:beforeAutospacing="0" w:after="0" w:afterAutospacing="0" w:line="360" w:lineRule="auto"/>
              <w:ind w:left="0" w:right="0"/>
              <w:jc w:val="center"/>
              <w:rPr>
                <w:rFonts w:hint="eastAsia" w:eastAsia="宋体"/>
                <w:b/>
                <w:color w:val="auto"/>
                <w:sz w:val="24"/>
                <w:szCs w:val="24"/>
                <w:highlight w:val="none"/>
                <w:lang w:val="en-US" w:eastAsia="zh-CN"/>
              </w:rPr>
            </w:pPr>
            <w:r>
              <w:rPr>
                <w:rFonts w:hint="eastAsia"/>
                <w:b/>
                <w:color w:val="auto"/>
                <w:sz w:val="24"/>
                <w:szCs w:val="24"/>
                <w:highlight w:val="none"/>
              </w:rPr>
              <w:t>图</w:t>
            </w:r>
            <w:r>
              <w:rPr>
                <w:rFonts w:hint="eastAsia"/>
                <w:b/>
                <w:color w:val="auto"/>
                <w:sz w:val="24"/>
                <w:szCs w:val="24"/>
                <w:highlight w:val="none"/>
                <w:lang w:val="en-US" w:eastAsia="zh-CN"/>
              </w:rPr>
              <w:t>8</w:t>
            </w:r>
            <w:r>
              <w:rPr>
                <w:rFonts w:hint="eastAsia"/>
                <w:b/>
                <w:color w:val="auto"/>
                <w:sz w:val="24"/>
                <w:szCs w:val="24"/>
                <w:highlight w:val="none"/>
              </w:rPr>
              <w:t xml:space="preserve">  </w:t>
            </w:r>
            <w:r>
              <w:rPr>
                <w:rFonts w:hint="eastAsia"/>
                <w:b/>
                <w:color w:val="auto"/>
                <w:sz w:val="24"/>
                <w:szCs w:val="24"/>
                <w:highlight w:val="none"/>
                <w:lang w:val="en-US" w:eastAsia="zh-CN"/>
              </w:rPr>
              <w:t>橡胶防护蜡生产</w:t>
            </w:r>
            <w:r>
              <w:rPr>
                <w:rFonts w:hint="eastAsia"/>
                <w:b/>
                <w:color w:val="auto"/>
                <w:sz w:val="24"/>
                <w:szCs w:val="24"/>
                <w:highlight w:val="none"/>
              </w:rPr>
              <w:t>工艺流程</w:t>
            </w:r>
          </w:p>
          <w:p w14:paraId="2AC92D84">
            <w:pPr>
              <w:keepNext w:val="0"/>
              <w:keepLines w:val="0"/>
              <w:suppressLineNumbers w:val="0"/>
              <w:spacing w:before="0" w:beforeAutospacing="0" w:after="0" w:afterAutospacing="0" w:line="360" w:lineRule="auto"/>
              <w:ind w:left="0" w:right="0" w:firstLine="480" w:firstLineChars="200"/>
              <w:rPr>
                <w:b/>
                <w:bCs/>
                <w:color w:val="auto"/>
                <w:sz w:val="24"/>
                <w:highlight w:val="none"/>
              </w:rPr>
            </w:pPr>
            <w:r>
              <w:rPr>
                <w:rFonts w:hint="eastAsia"/>
                <w:b w:val="0"/>
                <w:bCs w:val="0"/>
                <w:color w:val="auto"/>
                <w:sz w:val="24"/>
                <w:szCs w:val="24"/>
                <w:highlight w:val="none"/>
              </w:rPr>
              <w:t>工艺流程简述：</w:t>
            </w:r>
          </w:p>
          <w:p w14:paraId="45F2205A">
            <w:pPr>
              <w:keepNext w:val="0"/>
              <w:keepLines w:val="0"/>
              <w:suppressLineNumbers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①配料：液体</w:t>
            </w:r>
            <w:r>
              <w:rPr>
                <w:rFonts w:hint="eastAsia"/>
                <w:color w:val="auto"/>
                <w:sz w:val="24"/>
                <w:highlight w:val="none"/>
                <w:lang w:val="en-US" w:eastAsia="zh-CN"/>
              </w:rPr>
              <w:t>原料（石蜡、微晶蜡）</w:t>
            </w:r>
            <w:r>
              <w:rPr>
                <w:rFonts w:hint="eastAsia"/>
                <w:color w:val="auto"/>
                <w:sz w:val="24"/>
                <w:highlight w:val="none"/>
              </w:rPr>
              <w:t>从储罐区经管道泵入调和釜。</w:t>
            </w:r>
          </w:p>
          <w:p w14:paraId="682C2335">
            <w:pPr>
              <w:keepNext w:val="0"/>
              <w:keepLines w:val="0"/>
              <w:suppressLineNumbers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②</w:t>
            </w:r>
            <w:r>
              <w:rPr>
                <w:rFonts w:hint="eastAsia"/>
                <w:color w:val="auto"/>
                <w:sz w:val="24"/>
                <w:highlight w:val="none"/>
                <w:lang w:val="en-US" w:eastAsia="zh-CN"/>
              </w:rPr>
              <w:t>调和罐</w:t>
            </w:r>
            <w:r>
              <w:rPr>
                <w:rFonts w:hint="eastAsia"/>
                <w:color w:val="auto"/>
                <w:sz w:val="24"/>
                <w:highlight w:val="none"/>
              </w:rPr>
              <w:t>熔化调和搅拌：将投料口密封，此时调和釜为密闭状态，用蒸汽对调合釜进行间接加热，边加热边用立式搅拌器进行搅拌。加热温度为100℃，搅拌速率为25r/min，调和时间约为2小时。在此温度及搅拌作用下，随着时间的推移各原辅材料都融化成液体并融合均匀。该过程由蒸汽冷凝得到的冷凝水</w:t>
            </w:r>
            <w:r>
              <w:rPr>
                <w:rFonts w:hint="eastAsia"/>
                <w:color w:val="auto"/>
                <w:sz w:val="24"/>
                <w:highlight w:val="none"/>
                <w:lang w:val="en-US" w:eastAsia="zh-CN"/>
              </w:rPr>
              <w:t>回用</w:t>
            </w:r>
            <w:r>
              <w:rPr>
                <w:rFonts w:hint="eastAsia"/>
                <w:color w:val="auto"/>
                <w:sz w:val="24"/>
                <w:highlight w:val="none"/>
              </w:rPr>
              <w:t>。</w:t>
            </w:r>
          </w:p>
          <w:p w14:paraId="45090FC2">
            <w:pPr>
              <w:keepNext w:val="0"/>
              <w:keepLines w:val="0"/>
              <w:suppressLineNumbers w:val="0"/>
              <w:snapToGrid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lang w:val="en-US" w:eastAsia="zh-CN"/>
              </w:rPr>
              <w:t>③</w:t>
            </w:r>
            <w:r>
              <w:rPr>
                <w:rFonts w:hint="eastAsia"/>
                <w:color w:val="auto"/>
                <w:sz w:val="24"/>
                <w:highlight w:val="none"/>
              </w:rPr>
              <w:t>过滤：</w:t>
            </w:r>
            <w:r>
              <w:rPr>
                <w:rFonts w:hint="eastAsia"/>
                <w:color w:val="auto"/>
                <w:sz w:val="24"/>
                <w:highlight w:val="none"/>
                <w:lang w:val="en-US" w:eastAsia="zh-CN"/>
              </w:rPr>
              <w:t>原料</w:t>
            </w:r>
            <w:r>
              <w:rPr>
                <w:rFonts w:hint="eastAsia"/>
                <w:color w:val="auto"/>
                <w:sz w:val="24"/>
                <w:highlight w:val="none"/>
              </w:rPr>
              <w:t>检验</w:t>
            </w:r>
            <w:r>
              <w:rPr>
                <w:rFonts w:hint="eastAsia"/>
                <w:color w:val="auto"/>
                <w:sz w:val="24"/>
                <w:highlight w:val="none"/>
                <w:lang w:eastAsia="zh-CN"/>
              </w:rPr>
              <w:t>（</w:t>
            </w:r>
            <w:r>
              <w:rPr>
                <w:rFonts w:hint="eastAsia"/>
                <w:color w:val="auto"/>
                <w:sz w:val="24"/>
                <w:highlight w:val="none"/>
                <w:lang w:val="en-US" w:eastAsia="zh-CN"/>
              </w:rPr>
              <w:t>物理性质检验，不涉及化学反应</w:t>
            </w:r>
            <w:r>
              <w:rPr>
                <w:rFonts w:hint="eastAsia"/>
                <w:color w:val="auto"/>
                <w:sz w:val="24"/>
                <w:highlight w:val="none"/>
                <w:lang w:eastAsia="zh-CN"/>
              </w:rPr>
              <w:t>）</w:t>
            </w:r>
            <w:r>
              <w:rPr>
                <w:rFonts w:hint="eastAsia"/>
                <w:color w:val="auto"/>
                <w:sz w:val="24"/>
                <w:highlight w:val="none"/>
              </w:rPr>
              <w:t>合格后蜡溶液由密闭管道送入石蜡造粒生产线，密闭管道局部设有过滤网，对蜡溶液进行机械除杂过滤处理，过滤网定期清理更换。</w:t>
            </w:r>
          </w:p>
          <w:p w14:paraId="09A571B3">
            <w:pPr>
              <w:keepNext w:val="0"/>
              <w:keepLines w:val="0"/>
              <w:suppressLineNumbers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lang w:val="en-US" w:eastAsia="zh-CN"/>
              </w:rPr>
              <w:t>④</w:t>
            </w:r>
            <w:r>
              <w:rPr>
                <w:rFonts w:hint="eastAsia"/>
                <w:color w:val="auto"/>
                <w:sz w:val="24"/>
                <w:highlight w:val="none"/>
              </w:rPr>
              <w:t>造粒：石蜡制品在成型时由液态变成固态是一个快速冷却的过程，因此在成型机上需要配套提供冷源，使石蜡液体从液态冷凝成固态石蜡。在生产车间内单独设置石蜡造粒间，石蜡造粒间为密闭空间。</w:t>
            </w:r>
          </w:p>
          <w:p w14:paraId="2B078EDC">
            <w:pPr>
              <w:keepNext w:val="0"/>
              <w:keepLines w:val="0"/>
              <w:suppressLineNumbers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石蜡造粒生产线使用循环水冷却成型，此循环水进入液蜡造粒机冷却喷淋区，水以雾状经喷嘴喷向钢带下，与钢带上的蜡滴换热后，落入集水槽（集水槽宽度小于钢带，蜡滴不会落入集水槽中与水接触）自流回循环水池，经循环水泵加压后送入晾水塔循环使用。</w:t>
            </w:r>
          </w:p>
          <w:p w14:paraId="5C0063EE">
            <w:pPr>
              <w:keepNext w:val="0"/>
              <w:keepLines w:val="0"/>
              <w:suppressLineNumbers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造粒机利用定子、外转筒及分布器等将石蜡溶液均布在其下方匀速移动的钢带上，钢带下方设置有连续喷淋、冷却装置，促使钢带上的物料在移动过程得以快速冷却、固化，从而达到造粒成型的目的。</w:t>
            </w:r>
          </w:p>
          <w:p w14:paraId="126E7245">
            <w:pPr>
              <w:keepNext w:val="0"/>
              <w:keepLines w:val="0"/>
              <w:suppressLineNumbers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lang w:val="en-US" w:eastAsia="zh-CN"/>
              </w:rPr>
              <w:t>⑤</w:t>
            </w:r>
            <w:r>
              <w:rPr>
                <w:rFonts w:hint="eastAsia"/>
                <w:color w:val="auto"/>
                <w:sz w:val="24"/>
                <w:highlight w:val="none"/>
              </w:rPr>
              <w:t>包装入库：成品橡胶防护蜡由传送带送入包装生产线进行称量、打包、封装后即成产品。在包装的过程中会有少量成品石蜡散落在地上形成固废。</w:t>
            </w:r>
          </w:p>
          <w:p w14:paraId="32227358">
            <w:pPr>
              <w:keepNext w:val="0"/>
              <w:keepLines w:val="0"/>
              <w:suppressLineNumbers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橡胶防护蜡的制备采用间歇操作，年生产天数为250天，生产平均周期为30小时，每批次产量为60t，年生产167批次，年产量为10000t/a。</w:t>
            </w:r>
          </w:p>
          <w:p w14:paraId="6EAFC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4"/>
                <w:highlight w:val="none"/>
                <w:lang w:eastAsia="zh-CN"/>
              </w:rPr>
            </w:pPr>
            <w:r>
              <w:rPr>
                <w:color w:val="auto"/>
                <w:sz w:val="24"/>
                <w:highlight w:val="none"/>
                <w:lang w:eastAsia="zh-CN"/>
              </w:rPr>
              <w:t>表2-</w:t>
            </w:r>
            <w:r>
              <w:rPr>
                <w:rFonts w:hint="eastAsia"/>
                <w:color w:val="auto"/>
                <w:sz w:val="24"/>
                <w:highlight w:val="none"/>
                <w:lang w:val="en-US" w:eastAsia="zh-CN"/>
              </w:rPr>
              <w:t xml:space="preserve">11  </w:t>
            </w:r>
            <w:r>
              <w:rPr>
                <w:color w:val="auto"/>
                <w:sz w:val="24"/>
                <w:highlight w:val="none"/>
                <w:lang w:eastAsia="zh-CN"/>
              </w:rPr>
              <w:t>橡胶防护蜡物料平衡表</w:t>
            </w:r>
            <w:r>
              <w:rPr>
                <w:rFonts w:hint="eastAsia"/>
                <w:color w:val="auto"/>
                <w:sz w:val="24"/>
                <w:highlight w:val="none"/>
                <w:lang w:val="en-US" w:eastAsia="zh-CN"/>
              </w:rPr>
              <w:t xml:space="preserve">  </w:t>
            </w:r>
            <w:r>
              <w:rPr>
                <w:color w:val="auto"/>
                <w:sz w:val="24"/>
                <w:highlight w:val="none"/>
                <w:lang w:eastAsia="zh-CN"/>
              </w:rPr>
              <w:t>单位t/a</w:t>
            </w:r>
          </w:p>
          <w:tbl>
            <w:tblPr>
              <w:tblStyle w:val="28"/>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5"/>
              <w:gridCol w:w="1472"/>
              <w:gridCol w:w="2048"/>
              <w:gridCol w:w="1105"/>
            </w:tblGrid>
            <w:tr w14:paraId="602E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9" w:type="pct"/>
                  <w:gridSpan w:val="2"/>
                  <w:tcBorders>
                    <w:tl2br w:val="nil"/>
                    <w:tr2bl w:val="nil"/>
                  </w:tcBorders>
                  <w:vAlign w:val="center"/>
                </w:tcPr>
                <w:p w14:paraId="693B0EC2">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投入</w:t>
                  </w:r>
                </w:p>
              </w:tc>
              <w:tc>
                <w:tcPr>
                  <w:tcW w:w="2000" w:type="pct"/>
                  <w:gridSpan w:val="2"/>
                  <w:tcBorders>
                    <w:tl2br w:val="nil"/>
                    <w:tr2bl w:val="nil"/>
                  </w:tcBorders>
                  <w:vAlign w:val="center"/>
                </w:tcPr>
                <w:p w14:paraId="19B21726">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产出</w:t>
                  </w:r>
                </w:p>
              </w:tc>
            </w:tr>
            <w:tr w14:paraId="1541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5" w:type="pct"/>
                  <w:tcBorders>
                    <w:tl2br w:val="nil"/>
                    <w:tr2bl w:val="nil"/>
                  </w:tcBorders>
                  <w:vAlign w:val="center"/>
                </w:tcPr>
                <w:p w14:paraId="7E34291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项目</w:t>
                  </w:r>
                </w:p>
              </w:tc>
              <w:tc>
                <w:tcPr>
                  <w:tcW w:w="934" w:type="pct"/>
                  <w:tcBorders>
                    <w:tl2br w:val="nil"/>
                    <w:tr2bl w:val="nil"/>
                  </w:tcBorders>
                  <w:vAlign w:val="center"/>
                </w:tcPr>
                <w:p w14:paraId="3218A78D">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数量</w:t>
                  </w:r>
                </w:p>
              </w:tc>
              <w:tc>
                <w:tcPr>
                  <w:tcW w:w="1299" w:type="pct"/>
                  <w:tcBorders>
                    <w:tl2br w:val="nil"/>
                    <w:tr2bl w:val="nil"/>
                  </w:tcBorders>
                  <w:vAlign w:val="center"/>
                </w:tcPr>
                <w:p w14:paraId="76E0AA8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项目</w:t>
                  </w:r>
                </w:p>
              </w:tc>
              <w:tc>
                <w:tcPr>
                  <w:tcW w:w="701" w:type="pct"/>
                  <w:tcBorders>
                    <w:tl2br w:val="nil"/>
                    <w:tr2bl w:val="nil"/>
                  </w:tcBorders>
                  <w:vAlign w:val="center"/>
                </w:tcPr>
                <w:p w14:paraId="23FBFDBA">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数量</w:t>
                  </w:r>
                </w:p>
              </w:tc>
            </w:tr>
            <w:tr w14:paraId="2E15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5" w:type="pct"/>
                  <w:tcBorders>
                    <w:tl2br w:val="nil"/>
                    <w:tr2bl w:val="nil"/>
                  </w:tcBorders>
                  <w:vAlign w:val="center"/>
                </w:tcPr>
                <w:p w14:paraId="0F6585D3">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rPr>
                    <w:t>石蜡</w:t>
                  </w:r>
                  <w:r>
                    <w:rPr>
                      <w:rFonts w:hint="eastAsia"/>
                      <w:color w:val="auto"/>
                      <w:szCs w:val="21"/>
                      <w:highlight w:val="none"/>
                      <w:lang w:eastAsia="zh-CN"/>
                    </w:rPr>
                    <w:t>（</w:t>
                  </w:r>
                  <w:r>
                    <w:rPr>
                      <w:rFonts w:hint="eastAsia"/>
                      <w:color w:val="auto"/>
                      <w:szCs w:val="21"/>
                      <w:highlight w:val="none"/>
                      <w:lang w:val="en-US" w:eastAsia="zh-CN"/>
                    </w:rPr>
                    <w:t>液态</w:t>
                  </w:r>
                  <w:r>
                    <w:rPr>
                      <w:rFonts w:hint="eastAsia"/>
                      <w:color w:val="auto"/>
                      <w:szCs w:val="21"/>
                      <w:highlight w:val="none"/>
                      <w:lang w:eastAsia="zh-CN"/>
                    </w:rPr>
                    <w:t>）</w:t>
                  </w:r>
                </w:p>
              </w:tc>
              <w:tc>
                <w:tcPr>
                  <w:tcW w:w="934" w:type="pct"/>
                  <w:tcBorders>
                    <w:tl2br w:val="nil"/>
                    <w:tr2bl w:val="nil"/>
                  </w:tcBorders>
                  <w:vAlign w:val="center"/>
                </w:tcPr>
                <w:p w14:paraId="44CB9FAE">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8000</w:t>
                  </w:r>
                </w:p>
              </w:tc>
              <w:tc>
                <w:tcPr>
                  <w:tcW w:w="1299" w:type="pct"/>
                  <w:tcBorders>
                    <w:tl2br w:val="nil"/>
                    <w:tr2bl w:val="nil"/>
                  </w:tcBorders>
                  <w:vAlign w:val="center"/>
                </w:tcPr>
                <w:p w14:paraId="52B9C09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橡胶防护蜡</w:t>
                  </w:r>
                </w:p>
              </w:tc>
              <w:tc>
                <w:tcPr>
                  <w:tcW w:w="701" w:type="pct"/>
                  <w:tcBorders>
                    <w:tl2br w:val="nil"/>
                    <w:tr2bl w:val="nil"/>
                  </w:tcBorders>
                  <w:vAlign w:val="center"/>
                </w:tcPr>
                <w:p w14:paraId="3B1EF7D0">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9999</w:t>
                  </w:r>
                </w:p>
              </w:tc>
            </w:tr>
            <w:tr w14:paraId="7114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5" w:type="pct"/>
                  <w:tcBorders>
                    <w:tl2br w:val="nil"/>
                    <w:tr2bl w:val="nil"/>
                  </w:tcBorders>
                  <w:vAlign w:val="center"/>
                </w:tcPr>
                <w:p w14:paraId="58BC30D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微晶蜡</w:t>
                  </w:r>
                </w:p>
              </w:tc>
              <w:tc>
                <w:tcPr>
                  <w:tcW w:w="934" w:type="pct"/>
                  <w:tcBorders>
                    <w:tl2br w:val="nil"/>
                    <w:tr2bl w:val="nil"/>
                  </w:tcBorders>
                  <w:vAlign w:val="center"/>
                </w:tcPr>
                <w:p w14:paraId="46AB3F5D">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2000</w:t>
                  </w:r>
                </w:p>
              </w:tc>
              <w:tc>
                <w:tcPr>
                  <w:tcW w:w="1299" w:type="pct"/>
                  <w:tcBorders>
                    <w:tl2br w:val="nil"/>
                    <w:tr2bl w:val="nil"/>
                  </w:tcBorders>
                  <w:shd w:val="clear" w:color="auto" w:fill="auto"/>
                  <w:vAlign w:val="center"/>
                </w:tcPr>
                <w:p w14:paraId="32AAAB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过滤杂质</w:t>
                  </w:r>
                </w:p>
              </w:tc>
              <w:tc>
                <w:tcPr>
                  <w:tcW w:w="701" w:type="pct"/>
                  <w:tcBorders>
                    <w:tl2br w:val="nil"/>
                    <w:tr2bl w:val="nil"/>
                  </w:tcBorders>
                  <w:shd w:val="clear" w:color="auto" w:fill="auto"/>
                  <w:vAlign w:val="center"/>
                </w:tcPr>
                <w:p w14:paraId="5887E9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0.1</w:t>
                  </w:r>
                </w:p>
              </w:tc>
            </w:tr>
            <w:tr w14:paraId="5602D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5" w:type="pct"/>
                  <w:tcBorders>
                    <w:tl2br w:val="nil"/>
                    <w:tr2bl w:val="nil"/>
                  </w:tcBorders>
                  <w:vAlign w:val="center"/>
                </w:tcPr>
                <w:p w14:paraId="20347BBD">
                  <w:pPr>
                    <w:keepNext w:val="0"/>
                    <w:keepLines w:val="0"/>
                    <w:suppressLineNumbers w:val="0"/>
                    <w:spacing w:before="0" w:beforeAutospacing="0" w:after="0" w:afterAutospacing="0"/>
                    <w:ind w:left="0" w:right="0"/>
                    <w:jc w:val="center"/>
                    <w:rPr>
                      <w:rFonts w:hint="eastAsia"/>
                      <w:color w:val="auto"/>
                      <w:szCs w:val="21"/>
                      <w:highlight w:val="none"/>
                    </w:rPr>
                  </w:pPr>
                </w:p>
              </w:tc>
              <w:tc>
                <w:tcPr>
                  <w:tcW w:w="934" w:type="pct"/>
                  <w:tcBorders>
                    <w:tl2br w:val="nil"/>
                    <w:tr2bl w:val="nil"/>
                  </w:tcBorders>
                  <w:vAlign w:val="center"/>
                </w:tcPr>
                <w:p w14:paraId="20FDC69F">
                  <w:pPr>
                    <w:keepNext w:val="0"/>
                    <w:keepLines w:val="0"/>
                    <w:suppressLineNumbers w:val="0"/>
                    <w:spacing w:before="0" w:beforeAutospacing="0" w:after="0" w:afterAutospacing="0"/>
                    <w:ind w:left="0" w:right="0"/>
                    <w:jc w:val="center"/>
                    <w:rPr>
                      <w:rFonts w:hint="eastAsia"/>
                      <w:color w:val="auto"/>
                      <w:szCs w:val="21"/>
                      <w:highlight w:val="none"/>
                      <w:lang w:val="en-US" w:eastAsia="zh-CN"/>
                    </w:rPr>
                  </w:pPr>
                </w:p>
              </w:tc>
              <w:tc>
                <w:tcPr>
                  <w:tcW w:w="1299" w:type="pct"/>
                  <w:tcBorders>
                    <w:tl2br w:val="nil"/>
                    <w:tr2bl w:val="nil"/>
                  </w:tcBorders>
                  <w:shd w:val="clear" w:color="auto" w:fill="auto"/>
                  <w:vAlign w:val="center"/>
                </w:tcPr>
                <w:p w14:paraId="670CA3FC">
                  <w:pPr>
                    <w:keepNext w:val="0"/>
                    <w:keepLines w:val="0"/>
                    <w:suppressLineNumbers w:val="0"/>
                    <w:spacing w:before="0" w:beforeAutospacing="0" w:after="0" w:afterAutospacing="0"/>
                    <w:ind w:left="0" w:leftChars="0" w:right="0" w:rightChars="0"/>
                    <w:jc w:val="center"/>
                    <w:rPr>
                      <w:rFonts w:hint="eastAsia" w:eastAsia="宋体"/>
                      <w:color w:val="auto"/>
                      <w:szCs w:val="21"/>
                      <w:highlight w:val="none"/>
                      <w:lang w:val="en-US" w:eastAsia="zh-CN"/>
                    </w:rPr>
                  </w:pPr>
                  <w:r>
                    <w:rPr>
                      <w:rFonts w:hint="eastAsia"/>
                      <w:color w:val="auto"/>
                      <w:szCs w:val="21"/>
                      <w:highlight w:val="none"/>
                      <w:lang w:val="en-US" w:eastAsia="zh-CN"/>
                    </w:rPr>
                    <w:t>落地石蜡</w:t>
                  </w:r>
                </w:p>
              </w:tc>
              <w:tc>
                <w:tcPr>
                  <w:tcW w:w="701" w:type="pct"/>
                  <w:tcBorders>
                    <w:tl2br w:val="nil"/>
                    <w:tr2bl w:val="nil"/>
                  </w:tcBorders>
                  <w:shd w:val="clear" w:color="auto" w:fill="auto"/>
                  <w:vAlign w:val="center"/>
                </w:tcPr>
                <w:p w14:paraId="3CAE47A4">
                  <w:pPr>
                    <w:keepNext w:val="0"/>
                    <w:keepLines w:val="0"/>
                    <w:suppressLineNumbers w:val="0"/>
                    <w:spacing w:before="0" w:beforeAutospacing="0" w:after="0" w:afterAutospacing="0"/>
                    <w:ind w:left="0" w:leftChars="0" w:right="0" w:rightChars="0"/>
                    <w:jc w:val="center"/>
                    <w:rPr>
                      <w:rFonts w:hint="default"/>
                      <w:color w:val="auto"/>
                      <w:szCs w:val="21"/>
                      <w:highlight w:val="none"/>
                      <w:lang w:val="en-US" w:eastAsia="zh-CN"/>
                    </w:rPr>
                  </w:pPr>
                  <w:r>
                    <w:rPr>
                      <w:rFonts w:hint="eastAsia"/>
                      <w:color w:val="auto"/>
                      <w:szCs w:val="21"/>
                      <w:highlight w:val="none"/>
                      <w:lang w:val="en-US" w:eastAsia="zh-CN"/>
                    </w:rPr>
                    <w:t>0.9</w:t>
                  </w:r>
                </w:p>
              </w:tc>
            </w:tr>
            <w:tr w14:paraId="0841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5" w:type="pct"/>
                  <w:tcBorders>
                    <w:tl2br w:val="nil"/>
                    <w:tr2bl w:val="nil"/>
                  </w:tcBorders>
                  <w:shd w:val="clear" w:color="auto" w:fill="auto"/>
                  <w:vAlign w:val="center"/>
                </w:tcPr>
                <w:p w14:paraId="1D186D95">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合计</w:t>
                  </w:r>
                </w:p>
              </w:tc>
              <w:tc>
                <w:tcPr>
                  <w:tcW w:w="934" w:type="pct"/>
                  <w:tcBorders>
                    <w:tl2br w:val="nil"/>
                    <w:tr2bl w:val="nil"/>
                  </w:tcBorders>
                  <w:shd w:val="clear" w:color="auto" w:fill="auto"/>
                  <w:vAlign w:val="center"/>
                </w:tcPr>
                <w:p w14:paraId="4D30B835">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rPr>
                    <w:t>1000</w:t>
                  </w:r>
                  <w:r>
                    <w:rPr>
                      <w:rFonts w:hint="eastAsia"/>
                      <w:color w:val="auto"/>
                      <w:szCs w:val="21"/>
                      <w:highlight w:val="none"/>
                      <w:lang w:val="en-US" w:eastAsia="zh-CN"/>
                    </w:rPr>
                    <w:t>0</w:t>
                  </w:r>
                </w:p>
              </w:tc>
              <w:tc>
                <w:tcPr>
                  <w:tcW w:w="1299" w:type="pct"/>
                  <w:tcBorders>
                    <w:tl2br w:val="nil"/>
                    <w:tr2bl w:val="nil"/>
                  </w:tcBorders>
                  <w:shd w:val="clear" w:color="auto" w:fill="auto"/>
                  <w:vAlign w:val="center"/>
                </w:tcPr>
                <w:p w14:paraId="6117A33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合计</w:t>
                  </w:r>
                </w:p>
              </w:tc>
              <w:tc>
                <w:tcPr>
                  <w:tcW w:w="701" w:type="pct"/>
                  <w:tcBorders>
                    <w:tl2br w:val="nil"/>
                    <w:tr2bl w:val="nil"/>
                  </w:tcBorders>
                  <w:shd w:val="clear" w:color="auto" w:fill="auto"/>
                  <w:vAlign w:val="center"/>
                </w:tcPr>
                <w:p w14:paraId="62DE6121">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10000</w:t>
                  </w:r>
                </w:p>
              </w:tc>
            </w:tr>
          </w:tbl>
          <w:p w14:paraId="6B723DE3">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p>
          <w:p w14:paraId="31FA87C5">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p>
          <w:p w14:paraId="0B795F90">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p>
          <w:p w14:paraId="0FB8F708">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p>
          <w:p w14:paraId="58C1B5DA">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p>
          <w:p w14:paraId="736EB27C">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p>
          <w:p w14:paraId="416BA5CB">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p>
          <w:p w14:paraId="46A85B15">
            <w:pPr>
              <w:pStyle w:val="9"/>
              <w:keepNext w:val="0"/>
              <w:keepLines w:val="0"/>
              <w:suppressLineNumbers w:val="0"/>
              <w:spacing w:before="0" w:beforeAutospacing="0" w:afterAutospacing="0"/>
              <w:ind w:right="0"/>
              <w:rPr>
                <w:rFonts w:hint="eastAsia"/>
                <w:color w:val="auto"/>
                <w:lang w:eastAsia="zh-CN"/>
              </w:rPr>
            </w:pPr>
          </w:p>
          <w:p w14:paraId="66D7796D">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p>
          <w:p w14:paraId="764BF789">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color w:val="auto"/>
                <w:sz w:val="24"/>
                <w:highlight w:val="none"/>
                <w:lang w:eastAsia="zh-CN"/>
              </w:rPr>
            </w:pPr>
            <w:r>
              <w:rPr>
                <w:rFonts w:hint="eastAsia" w:ascii="Times New Roman" w:hAnsi="Times New Roman" w:cs="Times New Roman"/>
                <w:b/>
                <w:bCs w:val="0"/>
                <w:color w:val="auto"/>
                <w:sz w:val="24"/>
                <w:highlight w:val="none"/>
                <w:lang w:eastAsia="zh-CN"/>
              </w:rPr>
              <w:t>（</w:t>
            </w:r>
            <w:r>
              <w:rPr>
                <w:rFonts w:hint="eastAsia" w:cs="Times New Roman"/>
                <w:b/>
                <w:bCs w:val="0"/>
                <w:color w:val="auto"/>
                <w:sz w:val="24"/>
                <w:highlight w:val="none"/>
                <w:lang w:val="en-US" w:eastAsia="zh-CN"/>
              </w:rPr>
              <w:t>3</w:t>
            </w:r>
            <w:r>
              <w:rPr>
                <w:rFonts w:hint="eastAsia" w:ascii="Times New Roman" w:hAnsi="Times New Roman" w:cs="Times New Roman"/>
                <w:b/>
                <w:bCs w:val="0"/>
                <w:color w:val="auto"/>
                <w:sz w:val="24"/>
                <w:highlight w:val="none"/>
                <w:lang w:eastAsia="zh-CN"/>
              </w:rPr>
              <w:t>）包装蜡</w:t>
            </w:r>
          </w:p>
          <w:p w14:paraId="679FCDA5">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cs="Times New Roman"/>
                <w:bCs/>
                <w:color w:val="auto"/>
                <w:sz w:val="24"/>
                <w:highlight w:val="none"/>
                <w:lang w:val="en-US" w:eastAsia="zh-CN"/>
              </w:rPr>
            </w:pPr>
            <w:r>
              <w:rPr>
                <w:rFonts w:hint="eastAsia" w:cs="Times New Roman"/>
                <w:bCs/>
                <w:color w:val="auto"/>
                <w:sz w:val="24"/>
                <w:highlight w:val="none"/>
                <w:lang w:val="en-US" w:eastAsia="zh-CN"/>
              </w:rPr>
              <w:t>本项目包装蜡原料全精炼石蜡固体用量10000t/a、液体用量7990t/a，</w:t>
            </w:r>
            <w:r>
              <w:rPr>
                <w:rFonts w:hint="eastAsia" w:ascii="Times New Roman" w:hAnsi="Times New Roman" w:cs="Times New Roman"/>
                <w:bCs/>
                <w:color w:val="auto"/>
                <w:sz w:val="24"/>
                <w:highlight w:val="none"/>
                <w:lang w:eastAsia="zh-CN"/>
              </w:rPr>
              <w:t>EVA蜡和抗氧剂</w:t>
            </w:r>
            <w:r>
              <w:rPr>
                <w:rFonts w:hint="eastAsia" w:cs="Times New Roman"/>
                <w:bCs/>
                <w:color w:val="auto"/>
                <w:sz w:val="24"/>
                <w:highlight w:val="none"/>
                <w:lang w:val="en-US" w:eastAsia="zh-CN"/>
              </w:rPr>
              <w:t>理化性质不变。</w:t>
            </w:r>
          </w:p>
          <w:p w14:paraId="0FA354FF">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760640" behindDoc="0" locked="0" layoutInCell="1" allowOverlap="1">
                      <wp:simplePos x="0" y="0"/>
                      <wp:positionH relativeFrom="column">
                        <wp:posOffset>274955</wp:posOffset>
                      </wp:positionH>
                      <wp:positionV relativeFrom="paragraph">
                        <wp:posOffset>147955</wp:posOffset>
                      </wp:positionV>
                      <wp:extent cx="2781935" cy="1703070"/>
                      <wp:effectExtent l="12700" t="12700" r="24765" b="17780"/>
                      <wp:wrapNone/>
                      <wp:docPr id="404" name="矩形 404"/>
                      <wp:cNvGraphicFramePr/>
                      <a:graphic xmlns:a="http://schemas.openxmlformats.org/drawingml/2006/main">
                        <a:graphicData uri="http://schemas.microsoft.com/office/word/2010/wordprocessingShape">
                          <wps:wsp>
                            <wps:cNvSpPr/>
                            <wps:spPr>
                              <a:xfrm>
                                <a:off x="0" y="0"/>
                                <a:ext cx="2781935" cy="1703070"/>
                              </a:xfrm>
                              <a:prstGeom prst="rect">
                                <a:avLst/>
                              </a:prstGeom>
                              <a:noFill/>
                              <a:ln w="25400"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5pt;margin-top:11.65pt;height:134.1pt;width:219.05pt;z-index:251760640;v-text-anchor:middle;mso-width-relative:page;mso-height-relative:page;" filled="f" stroked="t" coordsize="21600,21600" o:gfxdata="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JwnQ+dgAAAAJAQAADwAAAAAAAAABACAAAAAiAAAAZHJzL2Rvd25yZXYueG1sUEsBAhQAFAAA&#10;AAgAh07iQNn7/m5hAgAAuAQAAA4AAAAAAAAAAQAgAAAAJwEAAGRycy9lMm9Eb2MueG1sUEsFBgAA&#10;AAAGAAYAWQEAAPoFAAAAAA==&#10;">
                      <v:fill on="f" focussize="0,0"/>
                      <v:stroke weight="2pt" color="#000000 [3213]" joinstyle="round" dashstyle="dash"/>
                      <v:imagedata o:title=""/>
                      <o:lock v:ext="edit" aspectratio="f"/>
                    </v:rect>
                  </w:pict>
                </mc:Fallback>
              </mc:AlternateContent>
            </w:r>
          </w:p>
          <w:p w14:paraId="4C769A00">
            <w:pPr>
              <w:pStyle w:val="2"/>
              <w:keepNext w:val="0"/>
              <w:keepLines w:val="0"/>
              <w:suppressLineNumbers w:val="0"/>
              <w:snapToGrid/>
              <w:spacing w:before="0" w:beforeAutospacing="0" w:after="0" w:afterAutospacing="0" w:line="360" w:lineRule="auto"/>
              <w:ind w:left="0" w:right="0" w:firstLine="420" w:firstLineChars="200"/>
              <w:rPr>
                <w:rFonts w:hint="eastAsia"/>
                <w:b w:val="0"/>
                <w:bCs w:val="0"/>
                <w:color w:val="auto"/>
                <w:sz w:val="24"/>
                <w:szCs w:val="24"/>
                <w:highlight w:val="none"/>
                <w:lang w:val="en-US" w:eastAsia="zh-CN"/>
              </w:rPr>
            </w:pPr>
            <w:r>
              <w:rPr>
                <w:color w:val="auto"/>
                <w:sz w:val="21"/>
                <w:highlight w:val="none"/>
              </w:rPr>
              <mc:AlternateContent>
                <mc:Choice Requires="wps">
                  <w:drawing>
                    <wp:anchor distT="0" distB="0" distL="114300" distR="114300" simplePos="0" relativeHeight="251755520" behindDoc="0" locked="0" layoutInCell="1" allowOverlap="1">
                      <wp:simplePos x="0" y="0"/>
                      <wp:positionH relativeFrom="column">
                        <wp:posOffset>3134995</wp:posOffset>
                      </wp:positionH>
                      <wp:positionV relativeFrom="paragraph">
                        <wp:posOffset>100965</wp:posOffset>
                      </wp:positionV>
                      <wp:extent cx="1092835" cy="295275"/>
                      <wp:effectExtent l="0" t="0" r="0" b="0"/>
                      <wp:wrapNone/>
                      <wp:docPr id="390"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1092835" cy="295275"/>
                              </a:xfrm>
                              <a:prstGeom prst="rect">
                                <a:avLst/>
                              </a:prstGeom>
                              <a:noFill/>
                              <a:ln>
                                <a:noFill/>
                              </a:ln>
                            </wps:spPr>
                            <wps:txbx>
                              <w:txbxContent>
                                <w:p w14:paraId="7C61B5C3">
                                  <w:pPr>
                                    <w:jc w:val="center"/>
                                    <w:rPr>
                                      <w:rFonts w:hint="default" w:eastAsia="宋体"/>
                                      <w:sz w:val="24"/>
                                      <w:szCs w:val="24"/>
                                      <w:lang w:val="en-US" w:eastAsia="zh-CN"/>
                                    </w:rPr>
                                  </w:pPr>
                                  <w:r>
                                    <w:rPr>
                                      <w:rFonts w:hint="eastAsia"/>
                                      <w:sz w:val="24"/>
                                      <w:szCs w:val="24"/>
                                      <w:lang w:val="en-US" w:eastAsia="zh-CN"/>
                                    </w:rPr>
                                    <w:t>石油蜡（液）</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246.85pt;margin-top:7.95pt;height:23.25pt;width:86.05pt;z-index:251755520;mso-width-relative:page;mso-height-relative:page;" filled="f" stroked="f" coordsize="21600,21600" o:gfxdata="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EyF2O1wAAAAkBAAAPAAAAAAAAAAEAIAAAACIA&#10;AABkcnMvZG93bnJldi54bWxQSwECFAAUAAAACACHTuJAFb/TZQoCAAAYBAAADgAAAAAAAAABACAA&#10;AAAmAQAAZHJzL2Uyb0RvYy54bWxQSwUGAAAAAAYABgBZAQAAogUAAAAA&#10;">
                      <v:fill on="f" focussize="0,0"/>
                      <v:stroke on="f"/>
                      <v:imagedata o:title=""/>
                      <o:lock v:ext="edit" aspectratio="f"/>
                      <v:textbox>
                        <w:txbxContent>
                          <w:p w14:paraId="7C61B5C3">
                            <w:pPr>
                              <w:jc w:val="center"/>
                              <w:rPr>
                                <w:rFonts w:hint="default" w:eastAsia="宋体"/>
                                <w:sz w:val="24"/>
                                <w:szCs w:val="24"/>
                                <w:lang w:val="en-US" w:eastAsia="zh-CN"/>
                              </w:rPr>
                            </w:pPr>
                            <w:r>
                              <w:rPr>
                                <w:rFonts w:hint="eastAsia"/>
                                <w:sz w:val="24"/>
                                <w:szCs w:val="24"/>
                                <w:lang w:val="en-US" w:eastAsia="zh-CN"/>
                              </w:rPr>
                              <w:t>石油蜡（液）</w:t>
                            </w:r>
                          </w:p>
                        </w:txbxContent>
                      </v:textbox>
                    </v:shape>
                  </w:pict>
                </mc:Fallback>
              </mc:AlternateContent>
            </w:r>
            <w:r>
              <w:rPr>
                <w:color w:val="auto"/>
                <w:sz w:val="21"/>
                <w:highlight w:val="none"/>
              </w:rPr>
              <mc:AlternateContent>
                <mc:Choice Requires="wps">
                  <w:drawing>
                    <wp:anchor distT="0" distB="0" distL="114300" distR="114300" simplePos="0" relativeHeight="251742208" behindDoc="0" locked="0" layoutInCell="1" allowOverlap="1">
                      <wp:simplePos x="0" y="0"/>
                      <wp:positionH relativeFrom="column">
                        <wp:posOffset>410845</wp:posOffset>
                      </wp:positionH>
                      <wp:positionV relativeFrom="paragraph">
                        <wp:posOffset>43815</wp:posOffset>
                      </wp:positionV>
                      <wp:extent cx="2359660" cy="295275"/>
                      <wp:effectExtent l="0" t="0" r="0" b="0"/>
                      <wp:wrapNone/>
                      <wp:docPr id="225" name="Text Box 107"/>
                      <wp:cNvGraphicFramePr/>
                      <a:graphic xmlns:a="http://schemas.openxmlformats.org/drawingml/2006/main">
                        <a:graphicData uri="http://schemas.microsoft.com/office/word/2010/wordprocessingShape">
                          <wps:wsp>
                            <wps:cNvSpPr txBox="1">
                              <a:spLocks noChangeArrowheads="1"/>
                            </wps:cNvSpPr>
                            <wps:spPr bwMode="auto">
                              <a:xfrm>
                                <a:off x="3216275" y="2280285"/>
                                <a:ext cx="2359660" cy="295275"/>
                              </a:xfrm>
                              <a:prstGeom prst="rect">
                                <a:avLst/>
                              </a:prstGeom>
                              <a:noFill/>
                              <a:ln>
                                <a:noFill/>
                              </a:ln>
                            </wps:spPr>
                            <wps:txbx>
                              <w:txbxContent>
                                <w:p w14:paraId="419E0151">
                                  <w:pPr>
                                    <w:jc w:val="center"/>
                                    <w:rPr>
                                      <w:rFonts w:hint="default" w:eastAsia="宋体"/>
                                      <w:sz w:val="24"/>
                                      <w:szCs w:val="24"/>
                                      <w:lang w:val="en-US" w:eastAsia="zh-CN"/>
                                    </w:rPr>
                                  </w:pPr>
                                  <w:r>
                                    <w:rPr>
                                      <w:rFonts w:hint="eastAsia"/>
                                      <w:sz w:val="24"/>
                                      <w:szCs w:val="24"/>
                                      <w:lang w:val="en-US" w:eastAsia="zh-CN"/>
                                    </w:rPr>
                                    <w:t>石油蜡（固）、抗氧剂、EVA蜡</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32.35pt;margin-top:3.45pt;height:23.25pt;width:185.8pt;z-index:251742208;mso-width-relative:page;mso-height-relative:page;" filled="f" stroked="f" coordsize="21600,21600" o:gfxdata="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4IcL1QAAAAcBAAAPAAAAAAAAAAEA&#10;IAAAACIAAABkcnMvZG93bnJldi54bWxQSwECFAAUAAAACACHTuJA4aCqBRICAAAkBAAADgAAAAAA&#10;AAABACAAAAAkAQAAZHJzL2Uyb0RvYy54bWxQSwUGAAAAAAYABgBZAQAAqAUAAAAA&#10;">
                      <v:fill on="f" focussize="0,0"/>
                      <v:stroke on="f"/>
                      <v:imagedata o:title=""/>
                      <o:lock v:ext="edit" aspectratio="f"/>
                      <v:textbox>
                        <w:txbxContent>
                          <w:p w14:paraId="419E0151">
                            <w:pPr>
                              <w:jc w:val="center"/>
                              <w:rPr>
                                <w:rFonts w:hint="default" w:eastAsia="宋体"/>
                                <w:sz w:val="24"/>
                                <w:szCs w:val="24"/>
                                <w:lang w:val="en-US" w:eastAsia="zh-CN"/>
                              </w:rPr>
                            </w:pPr>
                            <w:r>
                              <w:rPr>
                                <w:rFonts w:hint="eastAsia"/>
                                <w:sz w:val="24"/>
                                <w:szCs w:val="24"/>
                                <w:lang w:val="en-US" w:eastAsia="zh-CN"/>
                              </w:rPr>
                              <w:t>石油蜡（固）、抗氧剂、EVA蜡</w:t>
                            </w:r>
                          </w:p>
                        </w:txbxContent>
                      </v:textbox>
                    </v:shape>
                  </w:pict>
                </mc:Fallback>
              </mc:AlternateContent>
            </w:r>
          </w:p>
          <w:p w14:paraId="5692C934">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756544" behindDoc="0" locked="0" layoutInCell="1" allowOverlap="1">
                      <wp:simplePos x="0" y="0"/>
                      <wp:positionH relativeFrom="column">
                        <wp:posOffset>3591560</wp:posOffset>
                      </wp:positionH>
                      <wp:positionV relativeFrom="paragraph">
                        <wp:posOffset>48260</wp:posOffset>
                      </wp:positionV>
                      <wp:extent cx="635" cy="219075"/>
                      <wp:effectExtent l="37465" t="0" r="38100" b="9525"/>
                      <wp:wrapNone/>
                      <wp:docPr id="391"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82.8pt;margin-top:3.8pt;height:17.25pt;width:0.05pt;z-index:251756544;mso-width-relative:page;mso-height-relative:page;" filled="f" stroked="t" coordsize="21600,21600" o:gfxdata="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daxm2QAAAAgBAAAPAAAA&#10;AAAAAAEAIAAAACIAAABkcnMvZG93bnJldi54bWxQSwECFAAUAAAACACHTuJA54CJyNsBAACjAwAA&#10;DgAAAAAAAAABACAAAAAoAQAAZHJzL2Uyb0RvYy54bWxQSwUGAAAAAAYABgBZAQAAdQUAAAAA&#10;">
                      <v:fill on="f" focussize="0,0"/>
                      <v:stroke color="#000000" joinstyle="round" endarrow="block"/>
                      <v:imagedata o:title=""/>
                      <o:lock v:ext="edit" aspectratio="f"/>
                    </v:line>
                  </w:pict>
                </mc:Fallback>
              </mc:AlternateContent>
            </w:r>
            <w:r>
              <w:rPr>
                <w:color w:val="auto"/>
                <w:sz w:val="24"/>
                <w:highlight w:val="none"/>
              </w:rPr>
              <mc:AlternateContent>
                <mc:Choice Requires="wps">
                  <w:drawing>
                    <wp:anchor distT="0" distB="0" distL="114300" distR="114300" simplePos="0" relativeHeight="251754496" behindDoc="0" locked="0" layoutInCell="1" allowOverlap="1">
                      <wp:simplePos x="0" y="0"/>
                      <wp:positionH relativeFrom="column">
                        <wp:posOffset>1116965</wp:posOffset>
                      </wp:positionH>
                      <wp:positionV relativeFrom="paragraph">
                        <wp:posOffset>257810</wp:posOffset>
                      </wp:positionV>
                      <wp:extent cx="864870" cy="276225"/>
                      <wp:effectExtent l="4445" t="4445" r="6985" b="5080"/>
                      <wp:wrapNone/>
                      <wp:docPr id="389" name="文本框 1109"/>
                      <wp:cNvGraphicFramePr/>
                      <a:graphic xmlns:a="http://schemas.openxmlformats.org/drawingml/2006/main">
                        <a:graphicData uri="http://schemas.microsoft.com/office/word/2010/wordprocessingShape">
                          <wps:wsp>
                            <wps:cNvSpPr txBox="1">
                              <a:spLocks noChangeArrowheads="1"/>
                            </wps:cNvSpPr>
                            <wps:spPr bwMode="auto">
                              <a:xfrm>
                                <a:off x="0" y="0"/>
                                <a:ext cx="864870" cy="276225"/>
                              </a:xfrm>
                              <a:prstGeom prst="rect">
                                <a:avLst/>
                              </a:prstGeom>
                              <a:solidFill>
                                <a:srgbClr val="FFFFFF"/>
                              </a:solidFill>
                              <a:ln w="9525">
                                <a:solidFill>
                                  <a:srgbClr val="000000"/>
                                </a:solidFill>
                                <a:miter lim="800000"/>
                              </a:ln>
                            </wps:spPr>
                            <wps:txbx>
                              <w:txbxContent>
                                <w:p w14:paraId="3C783DB7">
                                  <w:pPr>
                                    <w:jc w:val="both"/>
                                    <w:rPr>
                                      <w:rFonts w:hint="default" w:eastAsia="宋体"/>
                                      <w:sz w:val="24"/>
                                      <w:szCs w:val="24"/>
                                      <w:lang w:val="en-US" w:eastAsia="zh-CN"/>
                                    </w:rPr>
                                  </w:pPr>
                                  <w:r>
                                    <w:rPr>
                                      <w:rFonts w:hint="eastAsia"/>
                                      <w:sz w:val="24"/>
                                      <w:szCs w:val="24"/>
                                      <w:lang w:val="en-US" w:eastAsia="zh-CN"/>
                                    </w:rPr>
                                    <w:t>人工投加</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87.95pt;margin-top:20.3pt;height:21.75pt;width:68.1pt;z-index:251754496;mso-width-relative:page;mso-height-relative:page;" fillcolor="#FFFFFF" filled="t" stroked="t" coordsize="21600,21600" o:gfxdata="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6PtZj2AAAAAkBAAAPAAAAAAAAAAEAIAAAACIA&#10;AABkcnMvZG93bnJldi54bWxQSwECFAAUAAAACACHTuJAGhK/qUICAACLBAAADgAAAAAAAAABACAA&#10;AAAnAQAAZHJzL2Uyb0RvYy54bWxQSwUGAAAAAAYABgBZAQAA2wUAAAAA&#10;">
                      <v:fill on="t" focussize="0,0"/>
                      <v:stroke color="#000000" miterlimit="8" joinstyle="miter"/>
                      <v:imagedata o:title=""/>
                      <o:lock v:ext="edit" aspectratio="f"/>
                      <v:textbox>
                        <w:txbxContent>
                          <w:p w14:paraId="3C783DB7">
                            <w:pPr>
                              <w:jc w:val="both"/>
                              <w:rPr>
                                <w:rFonts w:hint="default" w:eastAsia="宋体"/>
                                <w:sz w:val="24"/>
                                <w:szCs w:val="24"/>
                                <w:lang w:val="en-US" w:eastAsia="zh-CN"/>
                              </w:rPr>
                            </w:pPr>
                            <w:r>
                              <w:rPr>
                                <w:rFonts w:hint="eastAsia"/>
                                <w:sz w:val="24"/>
                                <w:szCs w:val="24"/>
                                <w:lang w:val="en-US" w:eastAsia="zh-CN"/>
                              </w:rPr>
                              <w:t>人工投加</w:t>
                            </w:r>
                          </w:p>
                        </w:txbxContent>
                      </v:textbox>
                    </v:shape>
                  </w:pict>
                </mc:Fallback>
              </mc:AlternateContent>
            </w:r>
            <w:r>
              <w:rPr>
                <w:color w:val="auto"/>
                <w:sz w:val="24"/>
                <w:highlight w:val="none"/>
              </w:rPr>
              <mc:AlternateContent>
                <mc:Choice Requires="wps">
                  <w:drawing>
                    <wp:anchor distT="0" distB="0" distL="114300" distR="114300" simplePos="0" relativeHeight="251741184" behindDoc="0" locked="0" layoutInCell="1" allowOverlap="1">
                      <wp:simplePos x="0" y="0"/>
                      <wp:positionH relativeFrom="column">
                        <wp:posOffset>1591310</wp:posOffset>
                      </wp:positionH>
                      <wp:positionV relativeFrom="paragraph">
                        <wp:posOffset>29210</wp:posOffset>
                      </wp:positionV>
                      <wp:extent cx="635" cy="219075"/>
                      <wp:effectExtent l="37465" t="0" r="38100" b="9525"/>
                      <wp:wrapNone/>
                      <wp:docPr id="224" name="直线 1110"/>
                      <wp:cNvGraphicFramePr/>
                      <a:graphic xmlns:a="http://schemas.openxmlformats.org/drawingml/2006/main">
                        <a:graphicData uri="http://schemas.microsoft.com/office/word/2010/wordprocessingShape">
                          <wps:wsp>
                            <wps:cNvCnPr/>
                            <wps:spPr bwMode="auto">
                              <a:xfrm>
                                <a:off x="3996690" y="3261995"/>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125.3pt;margin-top:2.3pt;height:17.25pt;width:0.05pt;z-index:251741184;mso-width-relative:page;mso-height-relative:page;" filled="f" stroked="t" coordsize="21600,21600" o:gfxdata="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P/&#10;XmnZAAAACAEAAA8AAAAAAAAAAQAgAAAAIgAAAGRycy9kb3ducmV2LnhtbFBLAQIUABQAAAAIAIdO&#10;4kAR0fRW6QEAAK8DAAAOAAAAAAAAAAEAIAAAACgBAABkcnMvZTJvRG9jLnhtbFBLBQYAAAAABgAG&#10;AFkBAACDBQAAAAA=&#10;">
                      <v:fill on="f" focussize="0,0"/>
                      <v:stroke color="#000000" joinstyle="round" endarrow="block"/>
                      <v:imagedata o:title=""/>
                      <o:lock v:ext="edit" aspectratio="f"/>
                    </v:line>
                  </w:pict>
                </mc:Fallback>
              </mc:AlternateContent>
            </w:r>
          </w:p>
          <w:p w14:paraId="384E6679">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757568" behindDoc="0" locked="0" layoutInCell="1" allowOverlap="1">
                      <wp:simplePos x="0" y="0"/>
                      <wp:positionH relativeFrom="column">
                        <wp:posOffset>3269615</wp:posOffset>
                      </wp:positionH>
                      <wp:positionV relativeFrom="paragraph">
                        <wp:posOffset>13970</wp:posOffset>
                      </wp:positionV>
                      <wp:extent cx="662940" cy="276225"/>
                      <wp:effectExtent l="4445" t="4445" r="18415" b="5080"/>
                      <wp:wrapNone/>
                      <wp:docPr id="392" name="文本框 1109"/>
                      <wp:cNvGraphicFramePr/>
                      <a:graphic xmlns:a="http://schemas.openxmlformats.org/drawingml/2006/main">
                        <a:graphicData uri="http://schemas.microsoft.com/office/word/2010/wordprocessingShape">
                          <wps:wsp>
                            <wps:cNvSpPr txBox="1">
                              <a:spLocks noChangeArrowheads="1"/>
                            </wps:cNvSpPr>
                            <wps:spPr bwMode="auto">
                              <a:xfrm>
                                <a:off x="0" y="0"/>
                                <a:ext cx="662940" cy="276225"/>
                              </a:xfrm>
                              <a:prstGeom prst="rect">
                                <a:avLst/>
                              </a:prstGeom>
                              <a:solidFill>
                                <a:srgbClr val="FFFFFF"/>
                              </a:solidFill>
                              <a:ln w="9525">
                                <a:solidFill>
                                  <a:srgbClr val="000000"/>
                                </a:solidFill>
                                <a:miter lim="800000"/>
                              </a:ln>
                            </wps:spPr>
                            <wps:txbx>
                              <w:txbxContent>
                                <w:p w14:paraId="7B5B2E8F">
                                  <w:pPr>
                                    <w:jc w:val="center"/>
                                    <w:rPr>
                                      <w:rFonts w:hint="default" w:eastAsia="宋体"/>
                                      <w:sz w:val="24"/>
                                      <w:szCs w:val="24"/>
                                      <w:lang w:val="en-US" w:eastAsia="zh-CN"/>
                                    </w:rPr>
                                  </w:pPr>
                                  <w:r>
                                    <w:rPr>
                                      <w:rFonts w:hint="eastAsia"/>
                                      <w:sz w:val="24"/>
                                      <w:szCs w:val="24"/>
                                      <w:lang w:val="en-US" w:eastAsia="zh-CN"/>
                                    </w:rPr>
                                    <w:t>齿轮泵</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257.45pt;margin-top:1.1pt;height:21.75pt;width:52.2pt;z-index:251757568;mso-width-relative:page;mso-height-relative:page;" fillcolor="#FFFFFF" filled="t" stroked="t" coordsize="21600,21600" o:gfxdata="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6xNUK9kAAAAIAQAADwAAAAAAAAABACAAAAAi&#10;AAAAZHJzL2Rvd25yZXYueG1sUEsBAhQAFAAAAAgAh07iQDnXygpCAgAAiwQAAA4AAAAAAAAAAQAg&#10;AAAAKAEAAGRycy9lMm9Eb2MueG1sUEsFBgAAAAAGAAYAWQEAANwFAAAAAA==&#10;">
                      <v:fill on="t" focussize="0,0"/>
                      <v:stroke color="#000000" miterlimit="8" joinstyle="miter"/>
                      <v:imagedata o:title=""/>
                      <o:lock v:ext="edit" aspectratio="f"/>
                      <v:textbox>
                        <w:txbxContent>
                          <w:p w14:paraId="7B5B2E8F">
                            <w:pPr>
                              <w:jc w:val="center"/>
                              <w:rPr>
                                <w:rFonts w:hint="default" w:eastAsia="宋体"/>
                                <w:sz w:val="24"/>
                                <w:szCs w:val="24"/>
                                <w:lang w:val="en-US" w:eastAsia="zh-CN"/>
                              </w:rPr>
                            </w:pPr>
                            <w:r>
                              <w:rPr>
                                <w:rFonts w:hint="eastAsia"/>
                                <w:sz w:val="24"/>
                                <w:szCs w:val="24"/>
                                <w:lang w:val="en-US" w:eastAsia="zh-CN"/>
                              </w:rPr>
                              <w:t>齿轮泵</w:t>
                            </w:r>
                          </w:p>
                        </w:txbxContent>
                      </v:textbox>
                    </v:shape>
                  </w:pict>
                </mc:Fallback>
              </mc:AlternateContent>
            </w:r>
          </w:p>
          <w:p w14:paraId="0FA546E9">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g">
                  <w:drawing>
                    <wp:anchor distT="0" distB="0" distL="114300" distR="114300" simplePos="0" relativeHeight="251746304" behindDoc="0" locked="0" layoutInCell="1" allowOverlap="1">
                      <wp:simplePos x="0" y="0"/>
                      <wp:positionH relativeFrom="column">
                        <wp:posOffset>1563370</wp:posOffset>
                      </wp:positionH>
                      <wp:positionV relativeFrom="paragraph">
                        <wp:posOffset>29210</wp:posOffset>
                      </wp:positionV>
                      <wp:extent cx="2019935" cy="447040"/>
                      <wp:effectExtent l="4445" t="0" r="13970" b="10160"/>
                      <wp:wrapNone/>
                      <wp:docPr id="394" name="组合 394"/>
                      <wp:cNvGraphicFramePr/>
                      <a:graphic xmlns:a="http://schemas.openxmlformats.org/drawingml/2006/main">
                        <a:graphicData uri="http://schemas.microsoft.com/office/word/2010/wordprocessingGroup">
                          <wpg:wgp>
                            <wpg:cNvGrpSpPr/>
                            <wpg:grpSpPr>
                              <a:xfrm>
                                <a:off x="0" y="0"/>
                                <a:ext cx="2019935" cy="447040"/>
                                <a:chOff x="9544" y="567241"/>
                                <a:chExt cx="2146" cy="704"/>
                              </a:xfrm>
                            </wpg:grpSpPr>
                            <wps:wsp>
                              <wps:cNvPr id="250" name="直线 1110"/>
                              <wps:cNvCnPr/>
                              <wps:spPr bwMode="auto">
                                <a:xfrm>
                                  <a:off x="10635" y="567589"/>
                                  <a:ext cx="6" cy="357"/>
                                </a:xfrm>
                                <a:prstGeom prst="line">
                                  <a:avLst/>
                                </a:prstGeom>
                                <a:noFill/>
                                <a:ln w="9525">
                                  <a:solidFill>
                                    <a:srgbClr val="000000"/>
                                  </a:solidFill>
                                  <a:round/>
                                  <a:tailEnd type="triangle" w="med" len="med"/>
                                </a:ln>
                              </wps:spPr>
                              <wps:bodyPr/>
                            </wps:wsp>
                            <wpg:grpSp>
                              <wpg:cNvPr id="393" name="组合 393"/>
                              <wpg:cNvGrpSpPr/>
                              <wpg:grpSpPr>
                                <a:xfrm>
                                  <a:off x="9544" y="567241"/>
                                  <a:ext cx="2147" cy="359"/>
                                  <a:chOff x="9544" y="567241"/>
                                  <a:chExt cx="2147" cy="359"/>
                                </a:xfrm>
                              </wpg:grpSpPr>
                              <wps:wsp>
                                <wps:cNvPr id="254" name="直线 1108"/>
                                <wps:cNvCnPr/>
                                <wps:spPr bwMode="auto">
                                  <a:xfrm>
                                    <a:off x="11689" y="567256"/>
                                    <a:ext cx="2" cy="345"/>
                                  </a:xfrm>
                                  <a:prstGeom prst="line">
                                    <a:avLst/>
                                  </a:prstGeom>
                                  <a:noFill/>
                                  <a:ln w="9525">
                                    <a:solidFill>
                                      <a:srgbClr val="000000"/>
                                    </a:solidFill>
                                    <a:round/>
                                    <a:tailEnd type="none" w="med" len="med"/>
                                  </a:ln>
                                </wps:spPr>
                                <wps:bodyPr/>
                              </wps:wsp>
                              <wps:wsp>
                                <wps:cNvPr id="256" name="直线 1112"/>
                                <wps:cNvCnPr/>
                                <wps:spPr bwMode="auto">
                                  <a:xfrm>
                                    <a:off x="9544" y="567596"/>
                                    <a:ext cx="2139" cy="0"/>
                                  </a:xfrm>
                                  <a:prstGeom prst="line">
                                    <a:avLst/>
                                  </a:prstGeom>
                                  <a:noFill/>
                                  <a:ln w="9525">
                                    <a:solidFill>
                                      <a:srgbClr val="000000"/>
                                    </a:solidFill>
                                    <a:round/>
                                    <a:tailEnd type="none" w="med" len="med"/>
                                  </a:ln>
                                </wps:spPr>
                                <wps:bodyPr/>
                              </wps:wsp>
                              <wps:wsp>
                                <wps:cNvPr id="257" name="直线 1108"/>
                                <wps:cNvCnPr/>
                                <wps:spPr bwMode="auto">
                                  <a:xfrm>
                                    <a:off x="9544" y="567241"/>
                                    <a:ext cx="2" cy="345"/>
                                  </a:xfrm>
                                  <a:prstGeom prst="line">
                                    <a:avLst/>
                                  </a:prstGeom>
                                  <a:noFill/>
                                  <a:ln w="9525">
                                    <a:solidFill>
                                      <a:srgbClr val="000000"/>
                                    </a:solidFill>
                                    <a:round/>
                                    <a:tailEnd type="none" w="med" len="med"/>
                                  </a:ln>
                                </wps:spPr>
                                <wps:bodyPr/>
                              </wps:wsp>
                            </wpg:grpSp>
                          </wpg:wgp>
                        </a:graphicData>
                      </a:graphic>
                    </wp:anchor>
                  </w:drawing>
                </mc:Choice>
                <mc:Fallback>
                  <w:pict>
                    <v:group id="_x0000_s1026" o:spid="_x0000_s1026" o:spt="203" style="position:absolute;left:0pt;margin-left:123.1pt;margin-top:2.3pt;height:35.2pt;width:159.05pt;z-index:251746304;mso-width-relative:page;mso-height-relative:page;" coordorigin="9544,567241" coordsize="2146,704" o:gfxdata="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AAAAAGRycy9QSwECFAAUAAAACACHTuJAInVKiNkAAAAIAQAADwAAAAAAAAABACAAAAAiAAAA&#10;ZHJzL2Rvd25yZXYueG1sUEsBAhQAFAAAAAgAh07iQKLkL2/qAgAAZQsAAA4AAAAAAAAAAQAgAAAA&#10;KAEAAGRycy9lMm9Eb2MueG1sUEsFBgAAAAAGAAYAWQEAAIQGAAAAAA==&#10;">
                      <o:lock v:ext="edit" aspectratio="f"/>
                      <v:line id="直线 1110" o:spid="_x0000_s1026" o:spt="20" style="position:absolute;left:10635;top:567589;height:357;width:6;" filled="f" stroked="t" coordsize="21600,21600" o:gfxdata="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4rsNe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group id="_x0000_s1026" o:spid="_x0000_s1026" o:spt="203" style="position:absolute;left:9544;top:567241;height:359;width:2147;" coordorigin="9544,567241" coordsize="2147,359" o:gfxdata="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iG+MC+AAAA3AAAAA8AAAAAAAAAAQAgAAAAIgAAAGRycy9kb3ducmV2Lnht&#10;bFBLAQIUABQAAAAIAIdO4kAzLwWeOwAAADkAAAAVAAAAAAAAAAEAIAAAAA0BAABkcnMvZ3JvdXBz&#10;aGFwZXhtbC54bWxQSwUGAAAAAAYABgBgAQAAygMAAAAA&#10;">
                        <o:lock v:ext="edit" aspectratio="f"/>
                        <v:line id="直线 1108" o:spid="_x0000_s1026" o:spt="20" style="position:absolute;left:11689;top:567256;height:345;width:2;" filled="f" stroked="t" coordsize="21600,21600" o:gfxdata="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Q0U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1112" o:spid="_x0000_s1026" o:spt="20" style="position:absolute;left:9544;top:567596;height:0;width:2139;" filled="f" stroked="t" coordsize="21600,21600" o:gfxdata="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M7qq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1108" o:spid="_x0000_s1026" o:spt="20" style="position:absolute;left:9544;top:567241;height:345;width:2;" filled="f" stroked="t" coordsize="21600,21600" o:gfxdata="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CTz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w:pict>
                </mc:Fallback>
              </mc:AlternateContent>
            </w:r>
          </w:p>
          <w:p w14:paraId="77B2B8CC">
            <w:pPr>
              <w:pStyle w:val="2"/>
              <w:keepNext w:val="0"/>
              <w:keepLines w:val="0"/>
              <w:suppressLineNumbers w:val="0"/>
              <w:snapToGrid/>
              <w:spacing w:before="0" w:beforeAutospacing="0" w:after="0" w:afterAutospacing="0" w:line="360" w:lineRule="auto"/>
              <w:ind w:left="0" w:right="0" w:firstLine="420" w:firstLineChars="200"/>
              <w:rPr>
                <w:b/>
                <w:color w:val="auto"/>
                <w:sz w:val="24"/>
                <w:szCs w:val="24"/>
                <w:highlight w:val="none"/>
              </w:rPr>
            </w:pPr>
            <w:r>
              <w:rPr>
                <w:color w:val="auto"/>
                <w:sz w:val="21"/>
              </w:rPr>
              <mc:AlternateContent>
                <mc:Choice Requires="wps">
                  <w:drawing>
                    <wp:anchor distT="0" distB="0" distL="114300" distR="114300" simplePos="0" relativeHeight="251789312" behindDoc="0" locked="0" layoutInCell="1" allowOverlap="1">
                      <wp:simplePos x="0" y="0"/>
                      <wp:positionH relativeFrom="column">
                        <wp:posOffset>3182620</wp:posOffset>
                      </wp:positionH>
                      <wp:positionV relativeFrom="paragraph">
                        <wp:posOffset>34925</wp:posOffset>
                      </wp:positionV>
                      <wp:extent cx="815975" cy="610235"/>
                      <wp:effectExtent l="0" t="0" r="0" b="0"/>
                      <wp:wrapNone/>
                      <wp:docPr id="455" name="文本框 205"/>
                      <wp:cNvGraphicFramePr/>
                      <a:graphic xmlns:a="http://schemas.openxmlformats.org/drawingml/2006/main">
                        <a:graphicData uri="http://schemas.microsoft.com/office/word/2010/wordprocessingShape">
                          <wps:wsp>
                            <wps:cNvSpPr txBox="1"/>
                            <wps:spPr>
                              <a:xfrm>
                                <a:off x="4759325" y="3410585"/>
                                <a:ext cx="815975" cy="610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484BE">
                                  <w:pPr>
                                    <w:rPr>
                                      <w:rFonts w:hint="eastAsia"/>
                                      <w:lang w:val="en-US" w:eastAsia="zh-CN"/>
                                    </w:rPr>
                                  </w:pPr>
                                </w:p>
                                <w:p w14:paraId="07755440">
                                  <w:pPr>
                                    <w:rPr>
                                      <w:rFonts w:hint="eastAsia"/>
                                      <w:sz w:val="24"/>
                                      <w:szCs w:val="24"/>
                                      <w:lang w:val="en-US" w:eastAsia="zh-CN"/>
                                    </w:rPr>
                                  </w:pPr>
                                  <w:r>
                                    <w:rPr>
                                      <w:rFonts w:hint="eastAsia"/>
                                      <w:sz w:val="24"/>
                                      <w:szCs w:val="24"/>
                                      <w:lang w:val="en-US" w:eastAsia="zh-CN"/>
                                    </w:rPr>
                                    <w:t>G2-1</w:t>
                                  </w:r>
                                </w:p>
                                <w:p w14:paraId="10C3CCD6">
                                  <w:pPr>
                                    <w:rPr>
                                      <w:rFonts w:hint="default" w:eastAsia="宋体"/>
                                      <w:sz w:val="24"/>
                                      <w:szCs w:val="24"/>
                                      <w:lang w:val="en-US" w:eastAsia="zh-CN"/>
                                    </w:rPr>
                                  </w:pPr>
                                  <w:r>
                                    <w:rPr>
                                      <w:rFonts w:hint="eastAsia"/>
                                      <w:sz w:val="24"/>
                                      <w:szCs w:val="24"/>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5" o:spid="_x0000_s1026" o:spt="202" type="#_x0000_t202" style="position:absolute;left:0pt;margin-left:250.6pt;margin-top:2.75pt;height:48.05pt;width:64.25pt;z-index:251789312;mso-width-relative:page;mso-height-relative:page;" filled="f" stroked="f" coordsize="21600,21600" o:gfxdata="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ATfInZAAAACQEAAA8AAAAA&#10;AAAAAQAgAAAAIgAAAGRycy9kb3ducmV2LnhtbFBLAQIUABQAAAAIAIdO4kDA7SI8TAIAAHUEAAAO&#10;AAAAAAAAAAEAIAAAACgBAABkcnMvZTJvRG9jLnhtbFBLBQYAAAAABgAGAFkBAADmBQAAAAA=&#10;">
                      <v:fill on="f" focussize="0,0"/>
                      <v:stroke on="f" weight="0.5pt"/>
                      <v:imagedata o:title=""/>
                      <o:lock v:ext="edit" aspectratio="f"/>
                      <v:textbox>
                        <w:txbxContent>
                          <w:p w14:paraId="291484BE">
                            <w:pPr>
                              <w:rPr>
                                <w:rFonts w:hint="eastAsia"/>
                                <w:lang w:val="en-US" w:eastAsia="zh-CN"/>
                              </w:rPr>
                            </w:pPr>
                          </w:p>
                          <w:p w14:paraId="07755440">
                            <w:pPr>
                              <w:rPr>
                                <w:rFonts w:hint="eastAsia"/>
                                <w:sz w:val="24"/>
                                <w:szCs w:val="24"/>
                                <w:lang w:val="en-US" w:eastAsia="zh-CN"/>
                              </w:rPr>
                            </w:pPr>
                            <w:r>
                              <w:rPr>
                                <w:rFonts w:hint="eastAsia"/>
                                <w:sz w:val="24"/>
                                <w:szCs w:val="24"/>
                                <w:lang w:val="en-US" w:eastAsia="zh-CN"/>
                              </w:rPr>
                              <w:t>G2-1</w:t>
                            </w:r>
                          </w:p>
                          <w:p w14:paraId="10C3CCD6">
                            <w:pPr>
                              <w:rPr>
                                <w:rFonts w:hint="default" w:eastAsia="宋体"/>
                                <w:sz w:val="24"/>
                                <w:szCs w:val="24"/>
                                <w:lang w:val="en-US" w:eastAsia="zh-CN"/>
                              </w:rPr>
                            </w:pPr>
                            <w:r>
                              <w:rPr>
                                <w:rFonts w:hint="eastAsia"/>
                                <w:sz w:val="24"/>
                                <w:szCs w:val="24"/>
                                <w:lang w:val="en-US" w:eastAsia="zh-CN"/>
                              </w:rPr>
                              <w:t>N</w:t>
                            </w:r>
                          </w:p>
                        </w:txbxContent>
                      </v:textbox>
                    </v:shape>
                  </w:pict>
                </mc:Fallback>
              </mc:AlternateContent>
            </w:r>
            <w:r>
              <w:rPr>
                <w:color w:val="auto"/>
                <w:sz w:val="24"/>
                <w:highlight w:val="none"/>
              </w:rPr>
              <mc:AlternateContent>
                <mc:Choice Requires="wpg">
                  <w:drawing>
                    <wp:anchor distT="0" distB="0" distL="114300" distR="114300" simplePos="0" relativeHeight="251744256" behindDoc="0" locked="0" layoutInCell="1" allowOverlap="1">
                      <wp:simplePos x="0" y="0"/>
                      <wp:positionH relativeFrom="column">
                        <wp:posOffset>1269365</wp:posOffset>
                      </wp:positionH>
                      <wp:positionV relativeFrom="paragraph">
                        <wp:posOffset>204470</wp:posOffset>
                      </wp:positionV>
                      <wp:extent cx="967105" cy="275590"/>
                      <wp:effectExtent l="0" t="0" r="0" b="0"/>
                      <wp:wrapNone/>
                      <wp:docPr id="380" name="组合 380"/>
                      <wp:cNvGraphicFramePr/>
                      <a:graphic xmlns:a="http://schemas.openxmlformats.org/drawingml/2006/main">
                        <a:graphicData uri="http://schemas.microsoft.com/office/word/2010/wordprocessingGroup">
                          <wpg:wgp>
                            <wpg:cNvGrpSpPr/>
                            <wpg:grpSpPr>
                              <a:xfrm>
                                <a:off x="0" y="0"/>
                                <a:ext cx="967105" cy="275590"/>
                                <a:chOff x="8541" y="565078"/>
                                <a:chExt cx="1523" cy="434"/>
                              </a:xfrm>
                            </wpg:grpSpPr>
                            <wps:wsp>
                              <wps:cNvPr id="357" name="直线 1110"/>
                              <wps:cNvCnPr/>
                              <wps:spPr bwMode="auto">
                                <a:xfrm flipV="1">
                                  <a:off x="9660" y="565283"/>
                                  <a:ext cx="405" cy="5"/>
                                </a:xfrm>
                                <a:prstGeom prst="line">
                                  <a:avLst/>
                                </a:prstGeom>
                                <a:noFill/>
                                <a:ln w="9525">
                                  <a:solidFill>
                                    <a:srgbClr val="000000"/>
                                  </a:solidFill>
                                  <a:round/>
                                  <a:tailEnd type="triangle" w="med" len="med"/>
                                </a:ln>
                              </wps:spPr>
                              <wps:bodyPr/>
                            </wps:wsp>
                            <wps:wsp>
                              <wps:cNvPr id="338" name="文本框 1109"/>
                              <wps:cNvSpPr txBox="1">
                                <a:spLocks noChangeArrowheads="1"/>
                              </wps:cNvSpPr>
                              <wps:spPr bwMode="auto">
                                <a:xfrm>
                                  <a:off x="8541" y="565078"/>
                                  <a:ext cx="1274" cy="435"/>
                                </a:xfrm>
                                <a:prstGeom prst="rect">
                                  <a:avLst/>
                                </a:prstGeom>
                                <a:noFill/>
                                <a:ln w="9525">
                                  <a:noFill/>
                                  <a:miter lim="800000"/>
                                </a:ln>
                              </wps:spPr>
                              <wps:txbx>
                                <w:txbxContent>
                                  <w:p w14:paraId="1A94B200">
                                    <w:pPr>
                                      <w:jc w:val="both"/>
                                      <w:rPr>
                                        <w:rFonts w:hint="default" w:eastAsia="宋体"/>
                                        <w:sz w:val="24"/>
                                        <w:szCs w:val="24"/>
                                        <w:lang w:val="en-US" w:eastAsia="zh-CN"/>
                                      </w:rPr>
                                    </w:pPr>
                                    <w:r>
                                      <w:rPr>
                                        <w:rFonts w:hint="eastAsia"/>
                                        <w:sz w:val="24"/>
                                        <w:szCs w:val="24"/>
                                        <w:lang w:val="en-US" w:eastAsia="zh-CN"/>
                                      </w:rPr>
                                      <w:t>园区蒸汽</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9.95pt;margin-top:16.1pt;height:21.7pt;width:76.15pt;z-index:251744256;mso-width-relative:page;mso-height-relative:page;" coordorigin="8541,565078" coordsize="1523,434" o:gfxdata="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DsfzB52QAAAAkBAAAPAAAAAAAA&#10;AAEAIAAAACIAAABkcnMvZG93bnJldi54bWxQSwECFAAUAAAACACHTuJAAjvaQi4DAABCBwAADgAA&#10;AAAAAAABACAAAAAoAQAAZHJzL2Uyb0RvYy54bWxQSwUGAAAAAAYABgBZAQAAyAYAAAAA&#10;">
                      <o:lock v:ext="edit" aspectratio="f"/>
                      <v:line id="直线 1110" o:spid="_x0000_s1026" o:spt="20" style="position:absolute;left:9660;top:565283;flip:y;height:5;width:405;" filled="f" stroked="t" coordsize="21600,21600" o:gfxdata="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nSuO&#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109" o:spid="_x0000_s1026" o:spt="202" type="#_x0000_t202" style="position:absolute;left:8541;top:565078;height:435;width:1274;" filled="f" stroked="f" coordsize="21600,21600" o:gfxdata="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0LA3ugAAANw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w:txbxContent>
                            <w:p w14:paraId="1A94B200">
                              <w:pPr>
                                <w:jc w:val="both"/>
                                <w:rPr>
                                  <w:rFonts w:hint="default" w:eastAsia="宋体"/>
                                  <w:sz w:val="24"/>
                                  <w:szCs w:val="24"/>
                                  <w:lang w:val="en-US" w:eastAsia="zh-CN"/>
                                </w:rPr>
                              </w:pPr>
                              <w:r>
                                <w:rPr>
                                  <w:rFonts w:hint="eastAsia"/>
                                  <w:sz w:val="24"/>
                                  <w:szCs w:val="24"/>
                                  <w:lang w:val="en-US" w:eastAsia="zh-CN"/>
                                </w:rPr>
                                <w:t>园区蒸汽</w:t>
                              </w:r>
                            </w:p>
                          </w:txbxContent>
                        </v:textbox>
                      </v:shape>
                    </v:group>
                  </w:pict>
                </mc:Fallback>
              </mc:AlternateContent>
            </w:r>
            <w:r>
              <w:rPr>
                <w:color w:val="auto"/>
                <w:sz w:val="24"/>
                <w:highlight w:val="none"/>
              </w:rPr>
              <mc:AlternateContent>
                <mc:Choice Requires="wps">
                  <w:drawing>
                    <wp:anchor distT="0" distB="0" distL="114300" distR="114300" simplePos="0" relativeHeight="251743232" behindDoc="0" locked="0" layoutInCell="1" allowOverlap="1">
                      <wp:simplePos x="0" y="0"/>
                      <wp:positionH relativeFrom="column">
                        <wp:posOffset>2250440</wp:posOffset>
                      </wp:positionH>
                      <wp:positionV relativeFrom="paragraph">
                        <wp:posOffset>213995</wp:posOffset>
                      </wp:positionV>
                      <wp:extent cx="674370" cy="276225"/>
                      <wp:effectExtent l="4445" t="4445" r="6985" b="5080"/>
                      <wp:wrapNone/>
                      <wp:docPr id="233" name="文本框 1109"/>
                      <wp:cNvGraphicFramePr/>
                      <a:graphic xmlns:a="http://schemas.openxmlformats.org/drawingml/2006/main">
                        <a:graphicData uri="http://schemas.microsoft.com/office/word/2010/wordprocessingShape">
                          <wps:wsp>
                            <wps:cNvSpPr txBox="1">
                              <a:spLocks noChangeArrowheads="1"/>
                            </wps:cNvSpPr>
                            <wps:spPr bwMode="auto">
                              <a:xfrm>
                                <a:off x="3646170" y="2985770"/>
                                <a:ext cx="674370" cy="276225"/>
                              </a:xfrm>
                              <a:prstGeom prst="rect">
                                <a:avLst/>
                              </a:prstGeom>
                              <a:solidFill>
                                <a:srgbClr val="FFFFFF"/>
                              </a:solidFill>
                              <a:ln w="9525">
                                <a:solidFill>
                                  <a:srgbClr val="000000"/>
                                </a:solidFill>
                                <a:miter lim="800000"/>
                              </a:ln>
                            </wps:spPr>
                            <wps:txbx>
                              <w:txbxContent>
                                <w:p w14:paraId="387F40E4">
                                  <w:pPr>
                                    <w:jc w:val="both"/>
                                    <w:rPr>
                                      <w:rFonts w:hint="default" w:eastAsia="宋体"/>
                                      <w:sz w:val="24"/>
                                      <w:szCs w:val="24"/>
                                      <w:lang w:val="en-US" w:eastAsia="zh-CN"/>
                                    </w:rPr>
                                  </w:pPr>
                                  <w:r>
                                    <w:rPr>
                                      <w:rFonts w:hint="eastAsia"/>
                                      <w:sz w:val="24"/>
                                      <w:szCs w:val="24"/>
                                      <w:lang w:val="en-US" w:eastAsia="zh-CN"/>
                                    </w:rPr>
                                    <w:t>调和罐</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7.2pt;margin-top:16.85pt;height:21.75pt;width:53.1pt;z-index:251743232;mso-width-relative:page;mso-height-relative:page;" fillcolor="#FFFFFF" filled="t" stroked="t" coordsize="21600,21600" o:gfxdata="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xlwOrZAAAACQEAAA8AAAAA&#10;AAAAAQAgAAAAIgAAAGRycy9kb3ducmV2LnhtbFBLAQIUABQAAAAIAIdO4kDyXOVwTAIAAJcEAAAO&#10;AAAAAAAAAAEAIAAAACgBAABkcnMvZTJvRG9jLnhtbFBLBQYAAAAABgAGAFkBAADmBQAAAAA=&#10;">
                      <v:fill on="t" focussize="0,0"/>
                      <v:stroke color="#000000" miterlimit="8" joinstyle="miter"/>
                      <v:imagedata o:title=""/>
                      <o:lock v:ext="edit" aspectratio="f"/>
                      <v:textbox>
                        <w:txbxContent>
                          <w:p w14:paraId="387F40E4">
                            <w:pPr>
                              <w:jc w:val="both"/>
                              <w:rPr>
                                <w:rFonts w:hint="default" w:eastAsia="宋体"/>
                                <w:sz w:val="24"/>
                                <w:szCs w:val="24"/>
                                <w:lang w:val="en-US" w:eastAsia="zh-CN"/>
                              </w:rPr>
                            </w:pPr>
                            <w:r>
                              <w:rPr>
                                <w:rFonts w:hint="eastAsia"/>
                                <w:sz w:val="24"/>
                                <w:szCs w:val="24"/>
                                <w:lang w:val="en-US" w:eastAsia="zh-CN"/>
                              </w:rPr>
                              <w:t>调和罐</w:t>
                            </w:r>
                          </w:p>
                        </w:txbxContent>
                      </v:textbox>
                    </v:shape>
                  </w:pict>
                </mc:Fallback>
              </mc:AlternateContent>
            </w:r>
          </w:p>
          <w:p w14:paraId="741092EA">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rPr>
              <mc:AlternateContent>
                <mc:Choice Requires="wps">
                  <w:drawing>
                    <wp:anchor distT="0" distB="0" distL="114300" distR="114300" simplePos="0" relativeHeight="251788288" behindDoc="0" locked="0" layoutInCell="1" allowOverlap="1">
                      <wp:simplePos x="0" y="0"/>
                      <wp:positionH relativeFrom="column">
                        <wp:posOffset>2932430</wp:posOffset>
                      </wp:positionH>
                      <wp:positionV relativeFrom="paragraph">
                        <wp:posOffset>104775</wp:posOffset>
                      </wp:positionV>
                      <wp:extent cx="381635" cy="0"/>
                      <wp:effectExtent l="0" t="38100" r="18415" b="38100"/>
                      <wp:wrapNone/>
                      <wp:docPr id="454" name="直接箭头连接符 204"/>
                      <wp:cNvGraphicFramePr/>
                      <a:graphic xmlns:a="http://schemas.openxmlformats.org/drawingml/2006/main">
                        <a:graphicData uri="http://schemas.microsoft.com/office/word/2010/wordprocessingShape">
                          <wps:wsp>
                            <wps:cNvCnPr/>
                            <wps:spPr>
                              <a:xfrm>
                                <a:off x="4509135" y="3657600"/>
                                <a:ext cx="381635" cy="0"/>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04" o:spid="_x0000_s1026" o:spt="32" type="#_x0000_t32" style="position:absolute;left:0pt;margin-left:230.9pt;margin-top:8.25pt;height:0pt;width:30.05pt;z-index:251788288;mso-width-relative:page;mso-height-relative:page;" filled="f" stroked="t" coordsize="21600,21600" o:gfxdata="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5N9fNcAAAAJAQAADwAAAAAAAAABACAAAAAi&#10;AAAAZHJzL2Rvd25yZXYueG1sUEsBAhQAFAAAAAgAh07iQO5bqiILAgAA3AMAAA4AAAAAAAAAAQAg&#10;AAAAJgEAAGRycy9lMm9Eb2MueG1sUEsFBgAAAAAGAAYAWQEAAKMFAAAAAA==&#10;">
                      <v:fill on="f" focussize="0,0"/>
                      <v:stroke weight="1pt" color="#000000 [3213]" joinstyle="round" dashstyle="3 1" endarrow="block"/>
                      <v:imagedata o:title=""/>
                      <o:lock v:ext="edit" aspectratio="f"/>
                    </v:shape>
                  </w:pict>
                </mc:Fallback>
              </mc:AlternateContent>
            </w:r>
            <w:r>
              <w:rPr>
                <w:color w:val="auto"/>
                <w:sz w:val="24"/>
                <w:highlight w:val="none"/>
              </w:rPr>
              <mc:AlternateContent>
                <mc:Choice Requires="wpg">
                  <w:drawing>
                    <wp:anchor distT="0" distB="0" distL="114300" distR="114300" simplePos="0" relativeHeight="251748352" behindDoc="0" locked="0" layoutInCell="1" allowOverlap="1">
                      <wp:simplePos x="0" y="0"/>
                      <wp:positionH relativeFrom="column">
                        <wp:posOffset>1477645</wp:posOffset>
                      </wp:positionH>
                      <wp:positionV relativeFrom="paragraph">
                        <wp:posOffset>158750</wp:posOffset>
                      </wp:positionV>
                      <wp:extent cx="435610" cy="372110"/>
                      <wp:effectExtent l="0" t="0" r="0" b="0"/>
                      <wp:wrapNone/>
                      <wp:docPr id="398" name="组合 398"/>
                      <wp:cNvGraphicFramePr/>
                      <a:graphic xmlns:a="http://schemas.openxmlformats.org/drawingml/2006/main">
                        <a:graphicData uri="http://schemas.microsoft.com/office/word/2010/wordprocessingGroup">
                          <wpg:wgp>
                            <wpg:cNvGrpSpPr/>
                            <wpg:grpSpPr>
                              <a:xfrm>
                                <a:off x="0" y="0"/>
                                <a:ext cx="435610" cy="371917"/>
                                <a:chOff x="12019" y="566641"/>
                                <a:chExt cx="686" cy="841"/>
                              </a:xfrm>
                            </wpg:grpSpPr>
                            <wps:wsp>
                              <wps:cNvPr id="359" name="直接箭头连接符 204"/>
                              <wps:cNvCnPr/>
                              <wps:spPr>
                                <a:xfrm>
                                  <a:off x="12360" y="566641"/>
                                  <a:ext cx="0" cy="365"/>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wps:wsp>
                              <wps:cNvPr id="360" name="文本框 205"/>
                              <wps:cNvSpPr txBox="1"/>
                              <wps:spPr>
                                <a:xfrm>
                                  <a:off x="12019" y="566888"/>
                                  <a:ext cx="686" cy="5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10F7A7">
                                    <w:pPr>
                                      <w:rPr>
                                        <w:rFonts w:hint="default" w:eastAsia="宋体"/>
                                        <w:b/>
                                        <w:bCs/>
                                        <w:color w:val="auto"/>
                                        <w:lang w:val="en-US" w:eastAsia="zh-CN"/>
                                      </w:rPr>
                                    </w:pPr>
                                    <w:r>
                                      <w:rPr>
                                        <w:rFonts w:hint="eastAsia"/>
                                        <w:b/>
                                        <w:bCs/>
                                        <w:color w:val="auto"/>
                                        <w:lang w:val="en-US" w:eastAsia="zh-CN"/>
                                      </w:rPr>
                                      <w:t>W</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16.35pt;margin-top:12.5pt;height:29.3pt;width:34.3pt;z-index:251748352;mso-width-relative:page;mso-height-relative:page;" coordorigin="12019,566641" coordsize="686,841" o:gfxdata="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">
                      <o:lock v:ext="edit" aspectratio="f"/>
                      <v:shape id="直接箭头连接符 204" o:spid="_x0000_s1026" o:spt="32" type="#_x0000_t32" style="position:absolute;left:12360;top:566641;height:365;width:0;" filled="f" stroked="t" coordsize="21600,21600" o:gfxdata="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TfqWi/&#10;AAAA3AAAAA8AAAAAAAAAAQAgAAAAIgAAAGRycy9kb3ducmV2LnhtbFBLAQIUABQAAAAIAIdO4kAz&#10;LwWeOwAAADkAAAAQAAAAAAAAAAEAIAAAAA4BAABkcnMvc2hhcGV4bWwueG1sUEsFBgAAAAAGAAYA&#10;WwEAALgDAAAAAA==&#10;">
                        <v:fill on="f" focussize="0,0"/>
                        <v:stroke weight="1pt" color="#000000 [3213]" joinstyle="round" dashstyle="3 1" endarrow="block"/>
                        <v:imagedata o:title=""/>
                        <o:lock v:ext="edit" aspectratio="f"/>
                      </v:shape>
                      <v:shape id="文本框 205" o:spid="_x0000_s1026" o:spt="202" type="#_x0000_t202" style="position:absolute;left:12019;top:566888;height:594;width:686;" filled="f" stroked="f" coordsize="21600,21600" o:gfxdata="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0YbP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7410F7A7">
                              <w:pPr>
                                <w:rPr>
                                  <w:rFonts w:hint="default" w:eastAsia="宋体"/>
                                  <w:b/>
                                  <w:bCs/>
                                  <w:color w:val="auto"/>
                                  <w:lang w:val="en-US" w:eastAsia="zh-CN"/>
                                </w:rPr>
                              </w:pPr>
                              <w:r>
                                <w:rPr>
                                  <w:rFonts w:hint="eastAsia"/>
                                  <w:b/>
                                  <w:bCs/>
                                  <w:color w:val="auto"/>
                                  <w:lang w:val="en-US" w:eastAsia="zh-CN"/>
                                </w:rPr>
                                <w:t>W</w:t>
                              </w:r>
                            </w:p>
                          </w:txbxContent>
                        </v:textbox>
                      </v:shape>
                    </v:group>
                  </w:pict>
                </mc:Fallback>
              </mc:AlternateContent>
            </w:r>
            <w:r>
              <w:rPr>
                <w:color w:val="auto"/>
                <w:highlight w:val="none"/>
              </w:rPr>
              <mc:AlternateContent>
                <mc:Choice Requires="wps">
                  <w:drawing>
                    <wp:anchor distT="0" distB="0" distL="114300" distR="114300" simplePos="0" relativeHeight="251759616" behindDoc="0" locked="0" layoutInCell="1" allowOverlap="1">
                      <wp:simplePos x="0" y="0"/>
                      <wp:positionH relativeFrom="column">
                        <wp:posOffset>439420</wp:posOffset>
                      </wp:positionH>
                      <wp:positionV relativeFrom="paragraph">
                        <wp:posOffset>1270</wp:posOffset>
                      </wp:positionV>
                      <wp:extent cx="656590" cy="276225"/>
                      <wp:effectExtent l="0" t="0" r="0" b="0"/>
                      <wp:wrapNone/>
                      <wp:docPr id="397"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656590" cy="276225"/>
                              </a:xfrm>
                              <a:prstGeom prst="rect">
                                <a:avLst/>
                              </a:prstGeom>
                              <a:noFill/>
                              <a:ln>
                                <a:noFill/>
                              </a:ln>
                            </wps:spPr>
                            <wps:txbx>
                              <w:txbxContent>
                                <w:p w14:paraId="6034CA48">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34.6pt;margin-top:0.1pt;height:21.75pt;width:51.7pt;z-index:251759616;mso-width-relative:page;mso-height-relative:page;" filled="f" stroked="f" coordsize="21600,21600" o:gfxdata="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&#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1HPzC1AAAAAYBAAAPAAAAAAAAAAEAIAAAACIAAABk&#10;cnMvZG93bnJldi54bWxQSwECFAAUAAAACACHTuJAnt/BYAoCAAAXBAAADgAAAAAAAAABACAAAAAj&#10;AQAAZHJzL2Uyb0RvYy54bWxQSwUGAAAAAAYABgBZAQAAnwUAAAAA&#10;">
                      <v:fill on="f" focussize="0,0"/>
                      <v:stroke on="f"/>
                      <v:imagedata o:title=""/>
                      <o:lock v:ext="edit" aspectratio="f"/>
                      <v:textbox>
                        <w:txbxContent>
                          <w:p w14:paraId="6034CA48">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v:textbox>
                    </v:shape>
                  </w:pict>
                </mc:Fallback>
              </mc:AlternateContent>
            </w:r>
            <w:r>
              <w:rPr>
                <w:color w:val="auto"/>
                <w:sz w:val="24"/>
                <w:highlight w:val="none"/>
              </w:rPr>
              <mc:AlternateContent>
                <mc:Choice Requires="wps">
                  <w:drawing>
                    <wp:anchor distT="0" distB="0" distL="114300" distR="114300" simplePos="0" relativeHeight="251758592" behindDoc="0" locked="0" layoutInCell="1" allowOverlap="1">
                      <wp:simplePos x="0" y="0"/>
                      <wp:positionH relativeFrom="column">
                        <wp:posOffset>2581910</wp:posOffset>
                      </wp:positionH>
                      <wp:positionV relativeFrom="paragraph">
                        <wp:posOffset>236855</wp:posOffset>
                      </wp:positionV>
                      <wp:extent cx="635" cy="219075"/>
                      <wp:effectExtent l="37465" t="0" r="38100" b="9525"/>
                      <wp:wrapNone/>
                      <wp:docPr id="395"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03.3pt;margin-top:18.65pt;height:17.25pt;width:0.05pt;z-index:251758592;mso-width-relative:page;mso-height-relative:page;" filled="f" stroked="t" coordsize="21600,21600" o:gfxdata="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EvtPw2QAAAAkBAAAPAAAA&#10;AAAAAAEAIAAAACIAAABkcnMvZG93bnJldi54bWxQSwECFAAUAAAACACHTuJAtjc6AtsBAACjAwAA&#10;DgAAAAAAAAABACAAAAAoAQAAZHJzL2Uyb0RvYy54bWxQSwUGAAAAAAYABgBZAQAAdQUAAAAA&#10;">
                      <v:fill on="f" focussize="0,0"/>
                      <v:stroke color="#000000" joinstyle="round" endarrow="block"/>
                      <v:imagedata o:title=""/>
                      <o:lock v:ext="edit" aspectratio="f"/>
                    </v:line>
                  </w:pict>
                </mc:Fallback>
              </mc:AlternateContent>
            </w:r>
          </w:p>
          <w:p w14:paraId="0303030C">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761664" behindDoc="0" locked="0" layoutInCell="1" allowOverlap="1">
                      <wp:simplePos x="0" y="0"/>
                      <wp:positionH relativeFrom="column">
                        <wp:posOffset>1075055</wp:posOffset>
                      </wp:positionH>
                      <wp:positionV relativeFrom="paragraph">
                        <wp:posOffset>184785</wp:posOffset>
                      </wp:positionV>
                      <wp:extent cx="2115820" cy="1445895"/>
                      <wp:effectExtent l="12700" t="12700" r="24130" b="27305"/>
                      <wp:wrapNone/>
                      <wp:docPr id="405" name="矩形 405"/>
                      <wp:cNvGraphicFramePr/>
                      <a:graphic xmlns:a="http://schemas.openxmlformats.org/drawingml/2006/main">
                        <a:graphicData uri="http://schemas.microsoft.com/office/word/2010/wordprocessingShape">
                          <wps:wsp>
                            <wps:cNvSpPr/>
                            <wps:spPr>
                              <a:xfrm>
                                <a:off x="0" y="0"/>
                                <a:ext cx="2115820" cy="1445895"/>
                              </a:xfrm>
                              <a:prstGeom prst="rect">
                                <a:avLst/>
                              </a:prstGeom>
                              <a:noFill/>
                              <a:ln w="254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4.65pt;margin-top:14.55pt;height:113.85pt;width:166.6pt;z-index:251761664;v-text-anchor:middle;mso-width-relative:page;mso-height-relative:page;" filled="f" stroked="t" coordsize="21600,21600" o:gfxdata="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bczVqdkAAAAKAQAADwAAAAAAAAABACAAAAAiAAAAZHJzL2Rvd25yZXYueG1sUEsBAhQAFAAAAAgA&#10;h07iQBdknm1dAgAAuQQAAA4AAAAAAAAAAQAgAAAAKAEAAGRycy9lMm9Eb2MueG1sUEsFBgAAAAAG&#10;AAYAWQEAAPcFAAAAAA==&#10;">
                      <v:fill on="f" focussize="0,0"/>
                      <v:stroke weight="2pt" color="#000000 [3213]" joinstyle="round"/>
                      <v:imagedata o:title=""/>
                      <o:lock v:ext="edit" aspectratio="f"/>
                    </v:rect>
                  </w:pict>
                </mc:Fallback>
              </mc:AlternateContent>
            </w:r>
            <w:r>
              <w:rPr>
                <w:color w:val="auto"/>
                <w:sz w:val="24"/>
                <w:highlight w:val="none"/>
              </w:rPr>
              <mc:AlternateContent>
                <mc:Choice Requires="wpg">
                  <w:drawing>
                    <wp:anchor distT="0" distB="0" distL="114300" distR="114300" simplePos="0" relativeHeight="251752448" behindDoc="0" locked="0" layoutInCell="1" allowOverlap="1">
                      <wp:simplePos x="0" y="0"/>
                      <wp:positionH relativeFrom="column">
                        <wp:posOffset>1080135</wp:posOffset>
                      </wp:positionH>
                      <wp:positionV relativeFrom="paragraph">
                        <wp:posOffset>259715</wp:posOffset>
                      </wp:positionV>
                      <wp:extent cx="1156970" cy="276225"/>
                      <wp:effectExtent l="0" t="0" r="1270" b="0"/>
                      <wp:wrapNone/>
                      <wp:docPr id="381" name="组合 381"/>
                      <wp:cNvGraphicFramePr/>
                      <a:graphic xmlns:a="http://schemas.openxmlformats.org/drawingml/2006/main">
                        <a:graphicData uri="http://schemas.microsoft.com/office/word/2010/wordprocessingGroup">
                          <wpg:wgp>
                            <wpg:cNvGrpSpPr/>
                            <wpg:grpSpPr>
                              <a:xfrm>
                                <a:off x="0" y="0"/>
                                <a:ext cx="1156970" cy="276225"/>
                                <a:chOff x="8243" y="565078"/>
                                <a:chExt cx="1822" cy="435"/>
                              </a:xfrm>
                            </wpg:grpSpPr>
                            <wps:wsp>
                              <wps:cNvPr id="382" name="直线 1110"/>
                              <wps:cNvCnPr/>
                              <wps:spPr bwMode="auto">
                                <a:xfrm flipV="1">
                                  <a:off x="9660" y="565283"/>
                                  <a:ext cx="405" cy="5"/>
                                </a:xfrm>
                                <a:prstGeom prst="line">
                                  <a:avLst/>
                                </a:prstGeom>
                                <a:noFill/>
                                <a:ln w="9525">
                                  <a:solidFill>
                                    <a:srgbClr val="000000"/>
                                  </a:solidFill>
                                  <a:round/>
                                  <a:tailEnd type="triangle" w="med" len="med"/>
                                </a:ln>
                              </wps:spPr>
                              <wps:bodyPr/>
                            </wps:wsp>
                            <wps:wsp>
                              <wps:cNvPr id="383" name="文本框 1109"/>
                              <wps:cNvSpPr txBox="1">
                                <a:spLocks noChangeArrowheads="1"/>
                              </wps:cNvSpPr>
                              <wps:spPr bwMode="auto">
                                <a:xfrm>
                                  <a:off x="8243" y="565078"/>
                                  <a:ext cx="1572" cy="435"/>
                                </a:xfrm>
                                <a:prstGeom prst="rect">
                                  <a:avLst/>
                                </a:prstGeom>
                                <a:noFill/>
                                <a:ln w="9525">
                                  <a:noFill/>
                                  <a:miter lim="800000"/>
                                </a:ln>
                              </wps:spPr>
                              <wps:txbx>
                                <w:txbxContent>
                                  <w:p w14:paraId="002E7B8F">
                                    <w:pPr>
                                      <w:jc w:val="both"/>
                                      <w:rPr>
                                        <w:rFonts w:hint="default" w:eastAsia="宋体"/>
                                        <w:sz w:val="24"/>
                                        <w:szCs w:val="24"/>
                                        <w:lang w:val="en-US" w:eastAsia="zh-CN"/>
                                      </w:rPr>
                                    </w:pPr>
                                    <w:r>
                                      <w:rPr>
                                        <w:rFonts w:hint="eastAsia"/>
                                        <w:sz w:val="24"/>
                                        <w:szCs w:val="24"/>
                                        <w:lang w:val="en-US" w:eastAsia="zh-CN"/>
                                      </w:rPr>
                                      <w:t>循环水系统</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85.05pt;margin-top:20.45pt;height:21.75pt;width:91.1pt;z-index:251752448;mso-width-relative:page;mso-height-relative:page;" coordorigin="8243,565078" coordsize="1822,435" o:gfxdata="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Dz62TTZAAAACQEAAA8A&#10;AAAAAAAAAQAgAAAAIgAAAGRycy9kb3ducmV2LnhtbFBLAQIUABQAAAAIAIdO4kBwN2zXMwMAAEMH&#10;AAAOAAAAAAAAAAEAIAAAACgBAABkcnMvZTJvRG9jLnhtbFBLBQYAAAAABgAGAFkBAADNBgAAAAA=&#10;">
                      <o:lock v:ext="edit" aspectratio="f"/>
                      <v:line id="直线 1110" o:spid="_x0000_s1026" o:spt="20" style="position:absolute;left:9660;top:565283;flip:y;height:5;width:405;" filled="f" stroked="t" coordsize="21600,21600" o:gfxdata="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iqRR&#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109" o:spid="_x0000_s1026" o:spt="202" type="#_x0000_t202" style="position:absolute;left:8243;top:565078;height:435;width:1572;" filled="f" stroked="f" coordsize="21600,21600" o:gfxdata="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vrob4A&#10;AADc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w:txbxContent>
                            <w:p w14:paraId="002E7B8F">
                              <w:pPr>
                                <w:jc w:val="both"/>
                                <w:rPr>
                                  <w:rFonts w:hint="default" w:eastAsia="宋体"/>
                                  <w:sz w:val="24"/>
                                  <w:szCs w:val="24"/>
                                  <w:lang w:val="en-US" w:eastAsia="zh-CN"/>
                                </w:rPr>
                              </w:pPr>
                              <w:r>
                                <w:rPr>
                                  <w:rFonts w:hint="eastAsia"/>
                                  <w:sz w:val="24"/>
                                  <w:szCs w:val="24"/>
                                  <w:lang w:val="en-US" w:eastAsia="zh-CN"/>
                                </w:rPr>
                                <w:t>循环水系统</w:t>
                              </w:r>
                            </w:p>
                          </w:txbxContent>
                        </v:textbox>
                      </v:shape>
                    </v:group>
                  </w:pict>
                </mc:Fallback>
              </mc:AlternateContent>
            </w:r>
            <w:r>
              <w:rPr>
                <w:color w:val="auto"/>
                <w:sz w:val="21"/>
                <w:highlight w:val="none"/>
              </w:rPr>
              <mc:AlternateContent>
                <mc:Choice Requires="wps">
                  <w:drawing>
                    <wp:anchor distT="0" distB="0" distL="114300" distR="114300" simplePos="0" relativeHeight="251745280" behindDoc="0" locked="0" layoutInCell="1" allowOverlap="1">
                      <wp:simplePos x="0" y="0"/>
                      <wp:positionH relativeFrom="column">
                        <wp:posOffset>2231390</wp:posOffset>
                      </wp:positionH>
                      <wp:positionV relativeFrom="paragraph">
                        <wp:posOffset>193040</wp:posOffset>
                      </wp:positionV>
                      <wp:extent cx="674370" cy="294640"/>
                      <wp:effectExtent l="5080" t="4445" r="6350" b="5715"/>
                      <wp:wrapNone/>
                      <wp:docPr id="262" name="文本框 1109"/>
                      <wp:cNvGraphicFramePr/>
                      <a:graphic xmlns:a="http://schemas.openxmlformats.org/drawingml/2006/main">
                        <a:graphicData uri="http://schemas.microsoft.com/office/word/2010/wordprocessingShape">
                          <wps:wsp>
                            <wps:cNvSpPr txBox="1">
                              <a:spLocks noChangeArrowheads="1"/>
                            </wps:cNvSpPr>
                            <wps:spPr bwMode="auto">
                              <a:xfrm>
                                <a:off x="3636645" y="3490595"/>
                                <a:ext cx="674370" cy="294640"/>
                              </a:xfrm>
                              <a:prstGeom prst="rect">
                                <a:avLst/>
                              </a:prstGeom>
                              <a:solidFill>
                                <a:srgbClr val="FFFFFF"/>
                              </a:solidFill>
                              <a:ln w="9525">
                                <a:solidFill>
                                  <a:srgbClr val="000000"/>
                                </a:solidFill>
                                <a:miter lim="800000"/>
                              </a:ln>
                            </wps:spPr>
                            <wps:txbx>
                              <w:txbxContent>
                                <w:p w14:paraId="66E969F8">
                                  <w:pPr>
                                    <w:jc w:val="both"/>
                                    <w:rPr>
                                      <w:rFonts w:hint="default" w:eastAsia="宋体"/>
                                      <w:sz w:val="24"/>
                                      <w:szCs w:val="24"/>
                                      <w:lang w:val="en-US" w:eastAsia="zh-CN"/>
                                    </w:rPr>
                                  </w:pPr>
                                  <w:r>
                                    <w:rPr>
                                      <w:rFonts w:hint="eastAsia"/>
                                      <w:sz w:val="24"/>
                                      <w:szCs w:val="24"/>
                                      <w:lang w:val="en-US" w:eastAsia="zh-CN"/>
                                    </w:rPr>
                                    <w:t>预冷器</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5.7pt;margin-top:15.2pt;height:23.2pt;width:53.1pt;z-index:251745280;mso-width-relative:page;mso-height-relative:page;" fillcolor="#FFFFFF" filled="t" stroked="t" coordsize="21600,21600" o:gfxdata="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gGm8t2AAAAAkBAAAP&#10;AAAAAAAAAAEAIAAAACIAAABkcnMvZG93bnJldi54bWxQSwECFAAUAAAACACHTuJAh7JiR1ECAACX&#10;BAAADgAAAAAAAAABACAAAAAnAQAAZHJzL2Uyb0RvYy54bWxQSwUGAAAAAAYABgBZAQAA6gUAAAAA&#10;">
                      <v:fill on="t" focussize="0,0"/>
                      <v:stroke color="#000000" miterlimit="8" joinstyle="miter"/>
                      <v:imagedata o:title=""/>
                      <o:lock v:ext="edit" aspectratio="f"/>
                      <v:textbox>
                        <w:txbxContent>
                          <w:p w14:paraId="66E969F8">
                            <w:pPr>
                              <w:jc w:val="both"/>
                              <w:rPr>
                                <w:rFonts w:hint="default" w:eastAsia="宋体"/>
                                <w:sz w:val="24"/>
                                <w:szCs w:val="24"/>
                                <w:lang w:val="en-US" w:eastAsia="zh-CN"/>
                              </w:rPr>
                            </w:pPr>
                            <w:r>
                              <w:rPr>
                                <w:rFonts w:hint="eastAsia"/>
                                <w:sz w:val="24"/>
                                <w:szCs w:val="24"/>
                                <w:lang w:val="en-US" w:eastAsia="zh-CN"/>
                              </w:rPr>
                              <w:t>预冷器</w:t>
                            </w:r>
                          </w:p>
                        </w:txbxContent>
                      </v:textbox>
                    </v:shape>
                  </w:pict>
                </mc:Fallback>
              </mc:AlternateContent>
            </w:r>
          </w:p>
          <w:p w14:paraId="16662DB0">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747328" behindDoc="0" locked="0" layoutInCell="1" allowOverlap="1">
                      <wp:simplePos x="0" y="0"/>
                      <wp:positionH relativeFrom="column">
                        <wp:posOffset>2581910</wp:posOffset>
                      </wp:positionH>
                      <wp:positionV relativeFrom="paragraph">
                        <wp:posOffset>244475</wp:posOffset>
                      </wp:positionV>
                      <wp:extent cx="635" cy="219075"/>
                      <wp:effectExtent l="37465" t="0" r="38100" b="9525"/>
                      <wp:wrapNone/>
                      <wp:docPr id="375"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03.3pt;margin-top:19.25pt;height:17.25pt;width:0.05pt;z-index:251747328;mso-width-relative:page;mso-height-relative:page;" filled="f" stroked="t" coordsize="21600,21600" o:gfxdata="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Dm6BLZAAAACQEAAA8AAAAA&#10;AAAAAQAgAAAAIgAAAGRycy9kb3ducmV2LnhtbFBLAQIUABQAAAAIAIdO4kCDqjrE2gEAAKMDAAAO&#10;AAAAAAAAAAEAIAAAACgBAABkcnMvZTJvRG9jLnhtbFBLBQYAAAAABgAGAFkBAAB0BQAAAAA=&#10;">
                      <v:fill on="f" focussize="0,0"/>
                      <v:stroke color="#000000" joinstyle="round" endarrow="block"/>
                      <v:imagedata o:title=""/>
                      <o:lock v:ext="edit" aspectratio="f"/>
                    </v:line>
                  </w:pict>
                </mc:Fallback>
              </mc:AlternateContent>
            </w:r>
          </w:p>
          <w:p w14:paraId="2CFFCE43">
            <w:pPr>
              <w:pStyle w:val="2"/>
              <w:keepNext w:val="0"/>
              <w:keepLines w:val="0"/>
              <w:suppressLineNumbers w:val="0"/>
              <w:snapToGrid/>
              <w:spacing w:before="0" w:beforeAutospacing="0" w:after="0" w:afterAutospacing="0" w:line="360" w:lineRule="auto"/>
              <w:ind w:left="0" w:right="0" w:firstLine="420" w:firstLineChars="200"/>
              <w:rPr>
                <w:b/>
                <w:color w:val="auto"/>
                <w:sz w:val="24"/>
                <w:szCs w:val="24"/>
                <w:highlight w:val="none"/>
              </w:rPr>
            </w:pPr>
            <w:r>
              <w:rPr>
                <w:color w:val="auto"/>
                <w:sz w:val="21"/>
              </w:rPr>
              <mc:AlternateContent>
                <mc:Choice Requires="wps">
                  <w:drawing>
                    <wp:anchor distT="0" distB="0" distL="114300" distR="114300" simplePos="0" relativeHeight="251763712" behindDoc="0" locked="0" layoutInCell="1" allowOverlap="1">
                      <wp:simplePos x="0" y="0"/>
                      <wp:positionH relativeFrom="column">
                        <wp:posOffset>3468370</wp:posOffset>
                      </wp:positionH>
                      <wp:positionV relativeFrom="paragraph">
                        <wp:posOffset>12065</wp:posOffset>
                      </wp:positionV>
                      <wp:extent cx="1005205" cy="981075"/>
                      <wp:effectExtent l="0" t="0" r="0" b="0"/>
                      <wp:wrapNone/>
                      <wp:docPr id="408" name="文本框 205"/>
                      <wp:cNvGraphicFramePr/>
                      <a:graphic xmlns:a="http://schemas.openxmlformats.org/drawingml/2006/main">
                        <a:graphicData uri="http://schemas.microsoft.com/office/word/2010/wordprocessingShape">
                          <wps:wsp>
                            <wps:cNvSpPr txBox="1"/>
                            <wps:spPr>
                              <a:xfrm>
                                <a:off x="5045075" y="4467860"/>
                                <a:ext cx="1005205" cy="981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C4461">
                                  <w:pPr>
                                    <w:rPr>
                                      <w:rFonts w:hint="eastAsia"/>
                                      <w:lang w:val="en-US" w:eastAsia="zh-CN"/>
                                    </w:rPr>
                                  </w:pPr>
                                </w:p>
                                <w:p w14:paraId="770C47BA">
                                  <w:pPr>
                                    <w:rPr>
                                      <w:rFonts w:hint="eastAsia"/>
                                      <w:sz w:val="24"/>
                                      <w:szCs w:val="24"/>
                                      <w:lang w:val="en-US" w:eastAsia="zh-CN"/>
                                    </w:rPr>
                                  </w:pPr>
                                  <w:r>
                                    <w:rPr>
                                      <w:rFonts w:hint="eastAsia"/>
                                      <w:sz w:val="24"/>
                                      <w:szCs w:val="24"/>
                                      <w:lang w:val="en-US" w:eastAsia="zh-CN"/>
                                    </w:rPr>
                                    <w:t>G2-1</w:t>
                                  </w:r>
                                </w:p>
                                <w:p w14:paraId="3F7461F3">
                                  <w:pPr>
                                    <w:rPr>
                                      <w:rFonts w:hint="eastAsia"/>
                                      <w:sz w:val="24"/>
                                      <w:szCs w:val="24"/>
                                      <w:lang w:val="en-US" w:eastAsia="zh-CN"/>
                                    </w:rPr>
                                  </w:pPr>
                                  <w:r>
                                    <w:rPr>
                                      <w:rFonts w:hint="eastAsia"/>
                                      <w:sz w:val="24"/>
                                      <w:szCs w:val="24"/>
                                      <w:lang w:val="en-US" w:eastAsia="zh-CN"/>
                                    </w:rPr>
                                    <w:t>N</w:t>
                                  </w:r>
                                </w:p>
                                <w:p w14:paraId="0132CF83">
                                  <w:pPr>
                                    <w:rPr>
                                      <w:rFonts w:hint="default"/>
                                      <w:sz w:val="24"/>
                                      <w:szCs w:val="24"/>
                                      <w:lang w:val="en-US" w:eastAsia="zh-CN"/>
                                    </w:rPr>
                                  </w:pPr>
                                  <w:r>
                                    <w:rPr>
                                      <w:rFonts w:hint="eastAsia"/>
                                      <w:sz w:val="24"/>
                                      <w:szCs w:val="24"/>
                                      <w:lang w:val="en-US" w:eastAsia="zh-CN"/>
                                    </w:rPr>
                                    <w:t>S1过滤杂质</w:t>
                                  </w:r>
                                </w:p>
                                <w:p w14:paraId="2402B546">
                                  <w:pPr>
                                    <w:rPr>
                                      <w:rFonts w:hint="default" w:eastAsia="宋体"/>
                                      <w:sz w:val="24"/>
                                      <w:szCs w:val="24"/>
                                      <w:lang w:val="en-US" w:eastAsia="zh-CN"/>
                                    </w:rPr>
                                  </w:pPr>
                                  <w:r>
                                    <w:rPr>
                                      <w:rFonts w:hint="eastAsia"/>
                                      <w:sz w:val="24"/>
                                      <w:szCs w:val="24"/>
                                      <w:lang w:val="en-US" w:eastAsia="zh-CN"/>
                                    </w:rPr>
                                    <w:t>S2废过滤网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5" o:spid="_x0000_s1026" o:spt="202" type="#_x0000_t202" style="position:absolute;left:0pt;margin-left:273.1pt;margin-top:0.95pt;height:77.25pt;width:79.15pt;z-index:251763712;mso-width-relative:page;mso-height-relative:page;" filled="f" stroked="f" coordsize="21600,21600" o:gfxdata="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olRW/aAAAACQEAAA8AAAAAAAAA&#10;AQAgAAAAIgAAAGRycy9kb3ducmV2LnhtbFBLAQIUABQAAAAIAIdO4kC91bShSAIAAHYEAAAOAAAA&#10;AAAAAAEAIAAAACkBAABkcnMvZTJvRG9jLnhtbFBLBQYAAAAABgAGAFkBAADjBQAAAAA=&#10;">
                      <v:fill on="f" focussize="0,0"/>
                      <v:stroke on="f" weight="0.5pt"/>
                      <v:imagedata o:title=""/>
                      <o:lock v:ext="edit" aspectratio="f"/>
                      <v:textbox>
                        <w:txbxContent>
                          <w:p w14:paraId="5FFC4461">
                            <w:pPr>
                              <w:rPr>
                                <w:rFonts w:hint="eastAsia"/>
                                <w:lang w:val="en-US" w:eastAsia="zh-CN"/>
                              </w:rPr>
                            </w:pPr>
                          </w:p>
                          <w:p w14:paraId="770C47BA">
                            <w:pPr>
                              <w:rPr>
                                <w:rFonts w:hint="eastAsia"/>
                                <w:sz w:val="24"/>
                                <w:szCs w:val="24"/>
                                <w:lang w:val="en-US" w:eastAsia="zh-CN"/>
                              </w:rPr>
                            </w:pPr>
                            <w:r>
                              <w:rPr>
                                <w:rFonts w:hint="eastAsia"/>
                                <w:sz w:val="24"/>
                                <w:szCs w:val="24"/>
                                <w:lang w:val="en-US" w:eastAsia="zh-CN"/>
                              </w:rPr>
                              <w:t>G2-1</w:t>
                            </w:r>
                          </w:p>
                          <w:p w14:paraId="3F7461F3">
                            <w:pPr>
                              <w:rPr>
                                <w:rFonts w:hint="eastAsia"/>
                                <w:sz w:val="24"/>
                                <w:szCs w:val="24"/>
                                <w:lang w:val="en-US" w:eastAsia="zh-CN"/>
                              </w:rPr>
                            </w:pPr>
                            <w:r>
                              <w:rPr>
                                <w:rFonts w:hint="eastAsia"/>
                                <w:sz w:val="24"/>
                                <w:szCs w:val="24"/>
                                <w:lang w:val="en-US" w:eastAsia="zh-CN"/>
                              </w:rPr>
                              <w:t>N</w:t>
                            </w:r>
                          </w:p>
                          <w:p w14:paraId="0132CF83">
                            <w:pPr>
                              <w:rPr>
                                <w:rFonts w:hint="default"/>
                                <w:sz w:val="24"/>
                                <w:szCs w:val="24"/>
                                <w:lang w:val="en-US" w:eastAsia="zh-CN"/>
                              </w:rPr>
                            </w:pPr>
                            <w:r>
                              <w:rPr>
                                <w:rFonts w:hint="eastAsia"/>
                                <w:sz w:val="24"/>
                                <w:szCs w:val="24"/>
                                <w:lang w:val="en-US" w:eastAsia="zh-CN"/>
                              </w:rPr>
                              <w:t>S1过滤杂质</w:t>
                            </w:r>
                          </w:p>
                          <w:p w14:paraId="2402B546">
                            <w:pPr>
                              <w:rPr>
                                <w:rFonts w:hint="default" w:eastAsia="宋体"/>
                                <w:sz w:val="24"/>
                                <w:szCs w:val="24"/>
                                <w:lang w:val="en-US" w:eastAsia="zh-CN"/>
                              </w:rPr>
                            </w:pPr>
                            <w:r>
                              <w:rPr>
                                <w:rFonts w:hint="eastAsia"/>
                                <w:sz w:val="24"/>
                                <w:szCs w:val="24"/>
                                <w:lang w:val="en-US" w:eastAsia="zh-CN"/>
                              </w:rPr>
                              <w:t>S2废过滤网</w:t>
                            </w:r>
                          </w:p>
                        </w:txbxContent>
                      </v:textbox>
                    </v:shape>
                  </w:pict>
                </mc:Fallback>
              </mc:AlternateContent>
            </w:r>
            <w:r>
              <w:rPr>
                <w:color w:val="auto"/>
                <w:sz w:val="21"/>
                <w:highlight w:val="none"/>
              </w:rPr>
              <mc:AlternateContent>
                <mc:Choice Requires="wps">
                  <w:drawing>
                    <wp:anchor distT="0" distB="0" distL="114300" distR="114300" simplePos="0" relativeHeight="251745280" behindDoc="0" locked="0" layoutInCell="1" allowOverlap="1">
                      <wp:simplePos x="0" y="0"/>
                      <wp:positionH relativeFrom="column">
                        <wp:posOffset>2250440</wp:posOffset>
                      </wp:positionH>
                      <wp:positionV relativeFrom="paragraph">
                        <wp:posOffset>200660</wp:posOffset>
                      </wp:positionV>
                      <wp:extent cx="674370" cy="294640"/>
                      <wp:effectExtent l="5080" t="4445" r="6350" b="5715"/>
                      <wp:wrapNone/>
                      <wp:docPr id="376" name="文本框 1109"/>
                      <wp:cNvGraphicFramePr/>
                      <a:graphic xmlns:a="http://schemas.openxmlformats.org/drawingml/2006/main">
                        <a:graphicData uri="http://schemas.microsoft.com/office/word/2010/wordprocessingShape">
                          <wps:wsp>
                            <wps:cNvSpPr txBox="1">
                              <a:spLocks noChangeArrowheads="1"/>
                            </wps:cNvSpPr>
                            <wps:spPr bwMode="auto">
                              <a:xfrm>
                                <a:off x="0" y="0"/>
                                <a:ext cx="674370" cy="294640"/>
                              </a:xfrm>
                              <a:prstGeom prst="rect">
                                <a:avLst/>
                              </a:prstGeom>
                              <a:solidFill>
                                <a:srgbClr val="FFFFFF"/>
                              </a:solidFill>
                              <a:ln w="9525">
                                <a:solidFill>
                                  <a:srgbClr val="000000"/>
                                </a:solidFill>
                                <a:miter lim="800000"/>
                              </a:ln>
                            </wps:spPr>
                            <wps:txbx>
                              <w:txbxContent>
                                <w:p w14:paraId="0702AEFE">
                                  <w:pPr>
                                    <w:jc w:val="both"/>
                                    <w:rPr>
                                      <w:rFonts w:hint="default" w:eastAsia="宋体"/>
                                      <w:sz w:val="24"/>
                                      <w:szCs w:val="24"/>
                                      <w:lang w:val="en-US" w:eastAsia="zh-CN"/>
                                    </w:rPr>
                                  </w:pPr>
                                  <w:r>
                                    <w:rPr>
                                      <w:rFonts w:hint="eastAsia"/>
                                      <w:sz w:val="24"/>
                                      <w:szCs w:val="24"/>
                                      <w:lang w:val="en-US" w:eastAsia="zh-CN"/>
                                    </w:rPr>
                                    <w:t>过滤器</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7.2pt;margin-top:15.8pt;height:23.2pt;width:53.1pt;z-index:251745280;mso-width-relative:page;mso-height-relative:page;" fillcolor="#FFFFFF" filled="t" stroked="t" coordsize="21600,21600" o:gfxdata="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vCq3XAAAACQEAAA8AAAAAAAAAAQAgAAAA&#10;IgAAAGRycy9kb3ducmV2LnhtbFBLAQIUABQAAAAIAIdO4kBWE7q0RQIAAIsEAAAOAAAAAAAAAAEA&#10;IAAAACYBAABkcnMvZTJvRG9jLnhtbFBLBQYAAAAABgAGAFkBAADdBQAAAAA=&#10;">
                      <v:fill on="t" focussize="0,0"/>
                      <v:stroke color="#000000" miterlimit="8" joinstyle="miter"/>
                      <v:imagedata o:title=""/>
                      <o:lock v:ext="edit" aspectratio="f"/>
                      <v:textbox>
                        <w:txbxContent>
                          <w:p w14:paraId="0702AEFE">
                            <w:pPr>
                              <w:jc w:val="both"/>
                              <w:rPr>
                                <w:rFonts w:hint="default" w:eastAsia="宋体"/>
                                <w:sz w:val="24"/>
                                <w:szCs w:val="24"/>
                                <w:lang w:val="en-US" w:eastAsia="zh-CN"/>
                              </w:rPr>
                            </w:pPr>
                            <w:r>
                              <w:rPr>
                                <w:rFonts w:hint="eastAsia"/>
                                <w:sz w:val="24"/>
                                <w:szCs w:val="24"/>
                                <w:lang w:val="en-US" w:eastAsia="zh-CN"/>
                              </w:rPr>
                              <w:t>过滤器</w:t>
                            </w:r>
                          </w:p>
                        </w:txbxContent>
                      </v:textbox>
                    </v:shape>
                  </w:pict>
                </mc:Fallback>
              </mc:AlternateContent>
            </w:r>
          </w:p>
          <w:p w14:paraId="18578FA5">
            <w:pPr>
              <w:pStyle w:val="2"/>
              <w:keepNext w:val="0"/>
              <w:keepLines w:val="0"/>
              <w:suppressLineNumbers w:val="0"/>
              <w:snapToGrid/>
              <w:spacing w:before="0" w:beforeAutospacing="0" w:after="0" w:afterAutospacing="0" w:line="360" w:lineRule="auto"/>
              <w:ind w:left="0" w:right="0" w:firstLine="360" w:firstLineChars="200"/>
              <w:rPr>
                <w:b/>
                <w:color w:val="auto"/>
                <w:sz w:val="24"/>
                <w:szCs w:val="24"/>
                <w:highlight w:val="none"/>
              </w:rPr>
            </w:pPr>
            <w:r>
              <w:rPr>
                <w:color w:val="auto"/>
                <w:sz w:val="18"/>
              </w:rPr>
              <mc:AlternateContent>
                <mc:Choice Requires="wps">
                  <w:drawing>
                    <wp:anchor distT="0" distB="0" distL="114300" distR="114300" simplePos="0" relativeHeight="251762688" behindDoc="0" locked="0" layoutInCell="1" allowOverlap="1">
                      <wp:simplePos x="0" y="0"/>
                      <wp:positionH relativeFrom="column">
                        <wp:posOffset>3218180</wp:posOffset>
                      </wp:positionH>
                      <wp:positionV relativeFrom="paragraph">
                        <wp:posOffset>110490</wp:posOffset>
                      </wp:positionV>
                      <wp:extent cx="381635" cy="0"/>
                      <wp:effectExtent l="0" t="38100" r="18415" b="38100"/>
                      <wp:wrapNone/>
                      <wp:docPr id="407" name="直接箭头连接符 204"/>
                      <wp:cNvGraphicFramePr/>
                      <a:graphic xmlns:a="http://schemas.openxmlformats.org/drawingml/2006/main">
                        <a:graphicData uri="http://schemas.microsoft.com/office/word/2010/wordprocessingShape">
                          <wps:wsp>
                            <wps:cNvCnPr/>
                            <wps:spPr>
                              <a:xfrm>
                                <a:off x="4794885" y="4714875"/>
                                <a:ext cx="381635" cy="0"/>
                              </a:xfrm>
                              <a:prstGeom prst="straightConnector1">
                                <a:avLst/>
                              </a:prstGeom>
                              <a:ln w="12700" cmpd="sng">
                                <a:solidFill>
                                  <a:schemeClr val="tx1"/>
                                </a:solidFill>
                                <a:prstDash val="solid"/>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04" o:spid="_x0000_s1026" o:spt="32" type="#_x0000_t32" style="position:absolute;left:0pt;margin-left:253.4pt;margin-top:8.7pt;height:0pt;width:30.05pt;z-index:251762688;mso-width-relative:page;mso-height-relative:page;" filled="f" stroked="t" coordsize="21600,21600" o:gfxdata="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1C22/WAAAACQEAAA8AAAAAAAAAAQAgAAAAIgAA&#10;AGRycy9kb3ducmV2LnhtbFBLAQIUABQAAAAIAIdO4kArkd9LCgIAANoDAAAOAAAAAAAAAAEAIAAA&#10;ACUBAABkcnMvZTJvRG9jLnhtbFBLBQYAAAAABgAGAFkBAAChBQAAAAA=&#10;">
                      <v:fill on="f" focussize="0,0"/>
                      <v:stroke weight="1pt" color="#000000 [3213]" joinstyle="round" endarrow="block"/>
                      <v:imagedata o:title=""/>
                      <o:lock v:ext="edit" aspectratio="f"/>
                    </v:shape>
                  </w:pict>
                </mc:Fallback>
              </mc:AlternateContent>
            </w:r>
            <w:r>
              <w:rPr>
                <w:color w:val="auto"/>
                <w:highlight w:val="none"/>
              </w:rPr>
              <mc:AlternateContent>
                <mc:Choice Requires="wps">
                  <w:drawing>
                    <wp:anchor distT="0" distB="0" distL="114300" distR="114300" simplePos="0" relativeHeight="251763712" behindDoc="0" locked="0" layoutInCell="1" allowOverlap="1">
                      <wp:simplePos x="0" y="0"/>
                      <wp:positionH relativeFrom="column">
                        <wp:posOffset>1239520</wp:posOffset>
                      </wp:positionH>
                      <wp:positionV relativeFrom="paragraph">
                        <wp:posOffset>111760</wp:posOffset>
                      </wp:positionV>
                      <wp:extent cx="656590" cy="276225"/>
                      <wp:effectExtent l="0" t="0" r="0" b="0"/>
                      <wp:wrapNone/>
                      <wp:docPr id="409"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656590" cy="276225"/>
                              </a:xfrm>
                              <a:prstGeom prst="rect">
                                <a:avLst/>
                              </a:prstGeom>
                              <a:noFill/>
                              <a:ln>
                                <a:noFill/>
                              </a:ln>
                            </wps:spPr>
                            <wps:txbx>
                              <w:txbxContent>
                                <w:p w14:paraId="5C0D7D97">
                                  <w:pPr>
                                    <w:jc w:val="center"/>
                                    <w:rPr>
                                      <w:rFonts w:hint="default" w:eastAsia="宋体"/>
                                      <w:b/>
                                      <w:bCs/>
                                      <w:color w:val="auto"/>
                                      <w:sz w:val="24"/>
                                      <w:szCs w:val="24"/>
                                      <w:lang w:val="en-US" w:eastAsia="zh-CN"/>
                                    </w:rPr>
                                  </w:pPr>
                                  <w:r>
                                    <w:rPr>
                                      <w:rFonts w:hint="eastAsia"/>
                                      <w:b/>
                                      <w:bCs/>
                                      <w:color w:val="auto"/>
                                      <w:sz w:val="24"/>
                                      <w:szCs w:val="24"/>
                                      <w:lang w:val="en-US" w:eastAsia="zh-CN"/>
                                    </w:rPr>
                                    <w:t>原项目</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97.6pt;margin-top:8.8pt;height:21.75pt;width:51.7pt;z-index:251763712;mso-width-relative:page;mso-height-relative:page;" filled="f" stroked="f" coordsize="21600,21600" o:gfxdata="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5wi2tYAAAAJAQAADwAAAAAAAAABACAAAAAiAAAA&#10;ZHJzL2Rvd25yZXYueG1sUEsBAhQAFAAAAAgAh07iQHvlj4MJAgAAFwQAAA4AAAAAAAAAAQAgAAAA&#10;JQEAAGRycy9lMm9Eb2MueG1sUEsFBgAAAAAGAAYAWQEAAKAFAAAAAA==&#10;">
                      <v:fill on="f" focussize="0,0"/>
                      <v:stroke on="f"/>
                      <v:imagedata o:title=""/>
                      <o:lock v:ext="edit" aspectratio="f"/>
                      <v:textbox>
                        <w:txbxContent>
                          <w:p w14:paraId="5C0D7D97">
                            <w:pPr>
                              <w:jc w:val="center"/>
                              <w:rPr>
                                <w:rFonts w:hint="default" w:eastAsia="宋体"/>
                                <w:b/>
                                <w:bCs/>
                                <w:color w:val="auto"/>
                                <w:sz w:val="24"/>
                                <w:szCs w:val="24"/>
                                <w:lang w:val="en-US" w:eastAsia="zh-CN"/>
                              </w:rPr>
                            </w:pPr>
                            <w:r>
                              <w:rPr>
                                <w:rFonts w:hint="eastAsia"/>
                                <w:b/>
                                <w:bCs/>
                                <w:color w:val="auto"/>
                                <w:sz w:val="24"/>
                                <w:szCs w:val="24"/>
                                <w:lang w:val="en-US" w:eastAsia="zh-CN"/>
                              </w:rPr>
                              <w:t>原项目</w:t>
                            </w:r>
                          </w:p>
                        </w:txbxContent>
                      </v:textbox>
                    </v:shape>
                  </w:pict>
                </mc:Fallback>
              </mc:AlternateContent>
            </w:r>
            <w:r>
              <w:rPr>
                <w:color w:val="auto"/>
                <w:sz w:val="24"/>
                <w:highlight w:val="none"/>
              </w:rPr>
              <mc:AlternateContent>
                <mc:Choice Requires="wps">
                  <w:drawing>
                    <wp:anchor distT="0" distB="0" distL="114300" distR="114300" simplePos="0" relativeHeight="251749376" behindDoc="0" locked="0" layoutInCell="1" allowOverlap="1">
                      <wp:simplePos x="0" y="0"/>
                      <wp:positionH relativeFrom="column">
                        <wp:posOffset>2591435</wp:posOffset>
                      </wp:positionH>
                      <wp:positionV relativeFrom="paragraph">
                        <wp:posOffset>242570</wp:posOffset>
                      </wp:positionV>
                      <wp:extent cx="635" cy="219075"/>
                      <wp:effectExtent l="37465" t="0" r="38100" b="9525"/>
                      <wp:wrapNone/>
                      <wp:docPr id="377"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04.05pt;margin-top:19.1pt;height:17.25pt;width:0.05pt;z-index:251749376;mso-width-relative:page;mso-height-relative:page;" filled="f" stroked="t" coordsize="21600,21600" o:gfxdata="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15nfT2QAAAAkBAAAPAAAA&#10;AAAAAAEAIAAAACIAAABkcnMvZG93bnJldi54bWxQSwECFAAUAAAACACHTuJAC/LbTNsBAACjAwAA&#10;DgAAAAAAAAABACAAAAAoAQAAZHJzL2Uyb0RvYy54bWxQSwUGAAAAAAYABgBZAQAAdQUAAAAA&#10;">
                      <v:fill on="f" focussize="0,0"/>
                      <v:stroke color="#000000" joinstyle="round" endarrow="block"/>
                      <v:imagedata o:title=""/>
                      <o:lock v:ext="edit" aspectratio="f"/>
                    </v:line>
                  </w:pict>
                </mc:Fallback>
              </mc:AlternateContent>
            </w:r>
          </w:p>
          <w:p w14:paraId="1ABEF25D">
            <w:pPr>
              <w:pStyle w:val="2"/>
              <w:keepNext w:val="0"/>
              <w:keepLines w:val="0"/>
              <w:suppressLineNumbers w:val="0"/>
              <w:snapToGrid/>
              <w:spacing w:before="0" w:beforeAutospacing="0" w:after="0" w:afterAutospacing="0" w:line="360" w:lineRule="auto"/>
              <w:ind w:left="0" w:right="0"/>
              <w:rPr>
                <w:b/>
                <w:color w:val="auto"/>
                <w:sz w:val="24"/>
                <w:szCs w:val="24"/>
                <w:highlight w:val="none"/>
              </w:rPr>
            </w:pPr>
            <w:r>
              <w:rPr>
                <w:color w:val="auto"/>
                <w:sz w:val="24"/>
                <w:highlight w:val="none"/>
              </w:rPr>
              <mc:AlternateContent>
                <mc:Choice Requires="wpg">
                  <w:drawing>
                    <wp:anchor distT="0" distB="0" distL="114300" distR="114300" simplePos="0" relativeHeight="251753472" behindDoc="0" locked="0" layoutInCell="1" allowOverlap="1">
                      <wp:simplePos x="0" y="0"/>
                      <wp:positionH relativeFrom="column">
                        <wp:posOffset>1250315</wp:posOffset>
                      </wp:positionH>
                      <wp:positionV relativeFrom="paragraph">
                        <wp:posOffset>208280</wp:posOffset>
                      </wp:positionV>
                      <wp:extent cx="967105" cy="275590"/>
                      <wp:effectExtent l="4445" t="4445" r="19050" b="5715"/>
                      <wp:wrapNone/>
                      <wp:docPr id="388" name="组合 388"/>
                      <wp:cNvGraphicFramePr/>
                      <a:graphic xmlns:a="http://schemas.openxmlformats.org/drawingml/2006/main">
                        <a:graphicData uri="http://schemas.microsoft.com/office/word/2010/wordprocessingGroup">
                          <wpg:wgp>
                            <wpg:cNvGrpSpPr/>
                            <wpg:grpSpPr>
                              <a:xfrm>
                                <a:off x="0" y="0"/>
                                <a:ext cx="967105" cy="275590"/>
                                <a:chOff x="8526" y="567508"/>
                                <a:chExt cx="1523" cy="434"/>
                              </a:xfrm>
                            </wpg:grpSpPr>
                            <wps:wsp>
                              <wps:cNvPr id="385" name="直线 1110"/>
                              <wps:cNvCnPr/>
                              <wps:spPr bwMode="auto">
                                <a:xfrm flipV="1">
                                  <a:off x="9645" y="567728"/>
                                  <a:ext cx="405" cy="5"/>
                                </a:xfrm>
                                <a:prstGeom prst="line">
                                  <a:avLst/>
                                </a:prstGeom>
                                <a:noFill/>
                                <a:ln w="9525">
                                  <a:solidFill>
                                    <a:schemeClr val="tx1"/>
                                  </a:solidFill>
                                  <a:round/>
                                  <a:tailEnd type="triangle" w="med" len="med"/>
                                </a:ln>
                              </wps:spPr>
                              <wps:bodyPr/>
                            </wps:wsp>
                            <wps:wsp>
                              <wps:cNvPr id="386" name="文本框 1109"/>
                              <wps:cNvSpPr txBox="1">
                                <a:spLocks noChangeArrowheads="1"/>
                              </wps:cNvSpPr>
                              <wps:spPr bwMode="auto">
                                <a:xfrm>
                                  <a:off x="8526" y="567508"/>
                                  <a:ext cx="1095" cy="435"/>
                                </a:xfrm>
                                <a:prstGeom prst="rect">
                                  <a:avLst/>
                                </a:prstGeom>
                                <a:noFill/>
                                <a:ln w="9525">
                                  <a:solidFill>
                                    <a:schemeClr val="tx1"/>
                                  </a:solidFill>
                                  <a:miter lim="800000"/>
                                </a:ln>
                              </wps:spPr>
                              <wps:txbx>
                                <w:txbxContent>
                                  <w:p w14:paraId="5448EE3B">
                                    <w:pPr>
                                      <w:jc w:val="center"/>
                                      <w:rPr>
                                        <w:rFonts w:hint="default" w:eastAsia="宋体"/>
                                        <w:sz w:val="24"/>
                                        <w:szCs w:val="24"/>
                                        <w:lang w:val="en-US" w:eastAsia="zh-CN"/>
                                      </w:rPr>
                                    </w:pPr>
                                    <w:r>
                                      <w:rPr>
                                        <w:rFonts w:hint="eastAsia"/>
                                        <w:sz w:val="24"/>
                                        <w:szCs w:val="24"/>
                                        <w:lang w:val="en-US" w:eastAsia="zh-CN"/>
                                      </w:rPr>
                                      <w:t>冷冻机</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8.45pt;margin-top:16.4pt;height:21.7pt;width:76.15pt;z-index:251753472;mso-width-relative:page;mso-height-relative:page;" coordorigin="8526,567508" coordsize="1523,434" o:gfxdata="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Crk1ES2QAAAAkBAAAPAAAAAAAAAAEA&#10;IAAAACIAAABkcnMvZG93bnJldi54bWxQSwECFAAUAAAACACHTuJAAMxRnCsDAABrBwAADgAAAAAA&#10;AAABACAAAAAoAQAAZHJzL2Uyb0RvYy54bWxQSwUGAAAAAAYABgBZAQAAxQYAAAAA&#10;">
                      <o:lock v:ext="edit" aspectratio="f"/>
                      <v:line id="直线 1110" o:spid="_x0000_s1026" o:spt="20" style="position:absolute;left:9645;top:567728;flip:y;height:5;width:405;" filled="f" stroked="t" coordsize="21600,21600" o:gfxdata="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Yzwl&#10;wAAAANwAAAAPAAAAAAAAAAEAIAAAACIAAABkcnMvZG93bnJldi54bWxQSwECFAAUAAAACACHTuJA&#10;My8FnjsAAAA5AAAAEAAAAAAAAAABACAAAAAPAQAAZHJzL3NoYXBleG1sLnhtbFBLBQYAAAAABgAG&#10;AFsBAAC5AwAAAAA=&#10;">
                        <v:fill on="f" focussize="0,0"/>
                        <v:stroke color="#000000 [3213]" joinstyle="round" endarrow="block"/>
                        <v:imagedata o:title=""/>
                        <o:lock v:ext="edit" aspectratio="f"/>
                      </v:line>
                      <v:shape id="文本框 1109" o:spid="_x0000_s1026" o:spt="202" type="#_x0000_t202" style="position:absolute;left:8526;top:567508;height:435;width:1095;" filled="f" stroked="t" coordsize="21600,21600" o:gfxdata="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sMfy/&#10;AAAA3AAAAA8AAAAAAAAAAQAgAAAAIgAAAGRycy9kb3ducmV2LnhtbFBLAQIUABQAAAAIAIdO4kAz&#10;LwWeOwAAADkAAAAQAAAAAAAAAAEAIAAAAA4BAABkcnMvc2hhcGV4bWwueG1sUEsFBgAAAAAGAAYA&#10;WwEAALgDAAAAAA==&#10;">
                        <v:fill on="f" focussize="0,0"/>
                        <v:stroke color="#000000 [3213]" miterlimit="8" joinstyle="miter"/>
                        <v:imagedata o:title=""/>
                        <o:lock v:ext="edit" aspectratio="f"/>
                        <v:textbox>
                          <w:txbxContent>
                            <w:p w14:paraId="5448EE3B">
                              <w:pPr>
                                <w:jc w:val="center"/>
                                <w:rPr>
                                  <w:rFonts w:hint="default" w:eastAsia="宋体"/>
                                  <w:sz w:val="24"/>
                                  <w:szCs w:val="24"/>
                                  <w:lang w:val="en-US" w:eastAsia="zh-CN"/>
                                </w:rPr>
                              </w:pPr>
                              <w:r>
                                <w:rPr>
                                  <w:rFonts w:hint="eastAsia"/>
                                  <w:sz w:val="24"/>
                                  <w:szCs w:val="24"/>
                                  <w:lang w:val="en-US" w:eastAsia="zh-CN"/>
                                </w:rPr>
                                <w:t>冷冻机</w:t>
                              </w:r>
                            </w:p>
                          </w:txbxContent>
                        </v:textbox>
                      </v:shape>
                    </v:group>
                  </w:pict>
                </mc:Fallback>
              </mc:AlternateContent>
            </w:r>
            <w:r>
              <w:rPr>
                <w:color w:val="auto"/>
                <w:sz w:val="21"/>
                <w:highlight w:val="none"/>
              </w:rPr>
              <mc:AlternateContent>
                <mc:Choice Requires="wps">
                  <w:drawing>
                    <wp:anchor distT="0" distB="0" distL="114300" distR="114300" simplePos="0" relativeHeight="251738112" behindDoc="0" locked="0" layoutInCell="1" allowOverlap="1">
                      <wp:simplePos x="0" y="0"/>
                      <wp:positionH relativeFrom="column">
                        <wp:posOffset>2240915</wp:posOffset>
                      </wp:positionH>
                      <wp:positionV relativeFrom="paragraph">
                        <wp:posOffset>198755</wp:posOffset>
                      </wp:positionV>
                      <wp:extent cx="674370" cy="276225"/>
                      <wp:effectExtent l="4445" t="4445" r="6985" b="5080"/>
                      <wp:wrapNone/>
                      <wp:docPr id="266" name="文本框 1109"/>
                      <wp:cNvGraphicFramePr/>
                      <a:graphic xmlns:a="http://schemas.openxmlformats.org/drawingml/2006/main">
                        <a:graphicData uri="http://schemas.microsoft.com/office/word/2010/wordprocessingShape">
                          <wps:wsp>
                            <wps:cNvSpPr txBox="1">
                              <a:spLocks noChangeArrowheads="1"/>
                            </wps:cNvSpPr>
                            <wps:spPr bwMode="auto">
                              <a:xfrm>
                                <a:off x="3674745" y="4976495"/>
                                <a:ext cx="674370" cy="276225"/>
                              </a:xfrm>
                              <a:prstGeom prst="rect">
                                <a:avLst/>
                              </a:prstGeom>
                              <a:solidFill>
                                <a:srgbClr val="FFFFFF"/>
                              </a:solidFill>
                              <a:ln w="9525">
                                <a:solidFill>
                                  <a:srgbClr val="000000"/>
                                </a:solidFill>
                                <a:miter lim="800000"/>
                              </a:ln>
                            </wps:spPr>
                            <wps:txbx>
                              <w:txbxContent>
                                <w:p w14:paraId="461746F9">
                                  <w:pPr>
                                    <w:jc w:val="both"/>
                                    <w:rPr>
                                      <w:rFonts w:hint="default" w:eastAsia="宋体"/>
                                      <w:sz w:val="24"/>
                                      <w:szCs w:val="24"/>
                                      <w:lang w:val="en-US" w:eastAsia="zh-CN"/>
                                    </w:rPr>
                                  </w:pPr>
                                  <w:r>
                                    <w:rPr>
                                      <w:rFonts w:hint="eastAsia"/>
                                      <w:sz w:val="24"/>
                                      <w:szCs w:val="24"/>
                                      <w:lang w:val="en-US" w:eastAsia="zh-CN"/>
                                    </w:rPr>
                                    <w:t>成型机</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6.45pt;margin-top:15.65pt;height:21.75pt;width:53.1pt;z-index:251738112;mso-width-relative:page;mso-height-relative:page;" fillcolor="#FFFFFF" filled="t" stroked="t" coordsize="21600,21600" o:gfxdata="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SaVNbaAAAACQEAAA8A&#10;AAAAAAAAAQAgAAAAIgAAAGRycy9kb3ducmV2LnhtbFBLAQIUABQAAAAIAIdO4kDaVTkzTgIAAJcE&#10;AAAOAAAAAAAAAAEAIAAAACkBAABkcnMvZTJvRG9jLnhtbFBLBQYAAAAABgAGAFkBAADpBQAAAAA=&#10;">
                      <v:fill on="t" focussize="0,0"/>
                      <v:stroke color="#000000" miterlimit="8" joinstyle="miter"/>
                      <v:imagedata o:title=""/>
                      <o:lock v:ext="edit" aspectratio="f"/>
                      <v:textbox>
                        <w:txbxContent>
                          <w:p w14:paraId="461746F9">
                            <w:pPr>
                              <w:jc w:val="both"/>
                              <w:rPr>
                                <w:rFonts w:hint="default" w:eastAsia="宋体"/>
                                <w:sz w:val="24"/>
                                <w:szCs w:val="24"/>
                                <w:lang w:val="en-US" w:eastAsia="zh-CN"/>
                              </w:rPr>
                            </w:pPr>
                            <w:r>
                              <w:rPr>
                                <w:rFonts w:hint="eastAsia"/>
                                <w:sz w:val="24"/>
                                <w:szCs w:val="24"/>
                                <w:lang w:val="en-US" w:eastAsia="zh-CN"/>
                              </w:rPr>
                              <w:t>成型机</w:t>
                            </w:r>
                          </w:p>
                        </w:txbxContent>
                      </v:textbox>
                    </v:shape>
                  </w:pict>
                </mc:Fallback>
              </mc:AlternateContent>
            </w:r>
          </w:p>
          <w:p w14:paraId="245F8A31">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750400" behindDoc="0" locked="0" layoutInCell="1" allowOverlap="1">
                      <wp:simplePos x="0" y="0"/>
                      <wp:positionH relativeFrom="column">
                        <wp:posOffset>2600960</wp:posOffset>
                      </wp:positionH>
                      <wp:positionV relativeFrom="paragraph">
                        <wp:posOffset>221615</wp:posOffset>
                      </wp:positionV>
                      <wp:extent cx="635" cy="219075"/>
                      <wp:effectExtent l="37465" t="0" r="38100" b="9525"/>
                      <wp:wrapNone/>
                      <wp:docPr id="378"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04.8pt;margin-top:17.45pt;height:17.25pt;width:0.05pt;z-index:251750400;mso-width-relative:page;mso-height-relative:page;" filled="f" stroked="t" coordsize="21600,21600" o:gfxdata="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BFCgDaAAAACQEAAA8A&#10;AAAAAAAAAQAgAAAAIgAAAGRycy9kb3ducmV2LnhtbFBLAQIUABQAAAAIAIdO4kB12e8E3AEAAKMD&#10;AAAOAAAAAAAAAAEAIAAAACkBAABkcnMvZTJvRG9jLnhtbFBLBQYAAAAABgAGAFkBAAB3BQAAAAA=&#10;">
                      <v:fill on="f" focussize="0,0"/>
                      <v:stroke color="#000000" joinstyle="round" endarrow="block"/>
                      <v:imagedata o:title=""/>
                      <o:lock v:ext="edit" aspectratio="f"/>
                    </v:line>
                  </w:pict>
                </mc:Fallback>
              </mc:AlternateContent>
            </w:r>
          </w:p>
          <w:p w14:paraId="5EF36256">
            <w:pPr>
              <w:pStyle w:val="2"/>
              <w:keepNext w:val="0"/>
              <w:keepLines w:val="0"/>
              <w:suppressLineNumbers w:val="0"/>
              <w:snapToGrid/>
              <w:spacing w:before="0" w:beforeAutospacing="0" w:after="0" w:afterAutospacing="0" w:line="360" w:lineRule="auto"/>
              <w:ind w:left="0" w:right="0" w:firstLine="420" w:firstLineChars="200"/>
              <w:rPr>
                <w:b/>
                <w:color w:val="auto"/>
                <w:sz w:val="24"/>
                <w:szCs w:val="24"/>
                <w:highlight w:val="none"/>
              </w:rPr>
            </w:pPr>
            <w:r>
              <w:rPr>
                <w:color w:val="auto"/>
                <w:sz w:val="21"/>
                <w:highlight w:val="none"/>
              </w:rPr>
              <mc:AlternateContent>
                <mc:Choice Requires="wps">
                  <w:drawing>
                    <wp:anchor distT="0" distB="0" distL="114300" distR="114300" simplePos="0" relativeHeight="251751424" behindDoc="0" locked="0" layoutInCell="1" allowOverlap="1">
                      <wp:simplePos x="0" y="0"/>
                      <wp:positionH relativeFrom="column">
                        <wp:posOffset>2250440</wp:posOffset>
                      </wp:positionH>
                      <wp:positionV relativeFrom="paragraph">
                        <wp:posOffset>148590</wp:posOffset>
                      </wp:positionV>
                      <wp:extent cx="674370" cy="276225"/>
                      <wp:effectExtent l="0" t="0" r="0" b="0"/>
                      <wp:wrapNone/>
                      <wp:docPr id="379" name="文本框 1109"/>
                      <wp:cNvGraphicFramePr/>
                      <a:graphic xmlns:a="http://schemas.openxmlformats.org/drawingml/2006/main">
                        <a:graphicData uri="http://schemas.microsoft.com/office/word/2010/wordprocessingShape">
                          <wps:wsp>
                            <wps:cNvSpPr txBox="1">
                              <a:spLocks noChangeArrowheads="1"/>
                            </wps:cNvSpPr>
                            <wps:spPr bwMode="auto">
                              <a:xfrm>
                                <a:off x="0" y="0"/>
                                <a:ext cx="674370" cy="276225"/>
                              </a:xfrm>
                              <a:prstGeom prst="rect">
                                <a:avLst/>
                              </a:prstGeom>
                              <a:noFill/>
                              <a:ln w="9525">
                                <a:noFill/>
                                <a:miter lim="800000"/>
                              </a:ln>
                            </wps:spPr>
                            <wps:txbx>
                              <w:txbxContent>
                                <w:p w14:paraId="4405D841">
                                  <w:pPr>
                                    <w:jc w:val="center"/>
                                    <w:rPr>
                                      <w:rFonts w:hint="default" w:eastAsia="宋体"/>
                                      <w:sz w:val="24"/>
                                      <w:szCs w:val="24"/>
                                      <w:lang w:val="en-US" w:eastAsia="zh-CN"/>
                                    </w:rPr>
                                  </w:pPr>
                                  <w:r>
                                    <w:rPr>
                                      <w:rFonts w:hint="eastAsia"/>
                                      <w:sz w:val="24"/>
                                      <w:szCs w:val="24"/>
                                      <w:lang w:val="en-US" w:eastAsia="zh-CN"/>
                                    </w:rPr>
                                    <w:t>产品</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7.2pt;margin-top:11.7pt;height:21.75pt;width:53.1pt;z-index:251751424;mso-width-relative:page;mso-height-relative:page;" filled="f" stroked="f" coordsize="21600,21600" o:gfxdata="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8KfW2dcAAAAJAQAADwAAAAAAAAABACAAAAAiAAAAZHJzL2Rvd25yZXYueG1sUEsBAhQA&#10;FAAAAAgAh07iQKMT/1IsAgAAOQQAAA4AAAAAAAAAAQAgAAAAJgEAAGRycy9lMm9Eb2MueG1sUEsF&#10;BgAAAAAGAAYAWQEAAMQFAAAAAA==&#10;">
                      <v:fill on="f" focussize="0,0"/>
                      <v:stroke on="f" miterlimit="8" joinstyle="miter"/>
                      <v:imagedata o:title=""/>
                      <o:lock v:ext="edit" aspectratio="f"/>
                      <v:textbox>
                        <w:txbxContent>
                          <w:p w14:paraId="4405D841">
                            <w:pPr>
                              <w:jc w:val="center"/>
                              <w:rPr>
                                <w:rFonts w:hint="default" w:eastAsia="宋体"/>
                                <w:sz w:val="24"/>
                                <w:szCs w:val="24"/>
                                <w:lang w:val="en-US" w:eastAsia="zh-CN"/>
                              </w:rPr>
                            </w:pPr>
                            <w:r>
                              <w:rPr>
                                <w:rFonts w:hint="eastAsia"/>
                                <w:sz w:val="24"/>
                                <w:szCs w:val="24"/>
                                <w:lang w:val="en-US" w:eastAsia="zh-CN"/>
                              </w:rPr>
                              <w:t>产品</w:t>
                            </w:r>
                          </w:p>
                        </w:txbxContent>
                      </v:textbox>
                    </v:shape>
                  </w:pict>
                </mc:Fallback>
              </mc:AlternateContent>
            </w:r>
          </w:p>
          <w:p w14:paraId="27237253">
            <w:pPr>
              <w:keepNext w:val="0"/>
              <w:keepLines w:val="0"/>
              <w:suppressLineNumbers w:val="0"/>
              <w:spacing w:before="0" w:beforeAutospacing="0" w:after="0" w:afterAutospacing="0" w:line="360" w:lineRule="auto"/>
              <w:ind w:left="0" w:right="0" w:firstLine="482" w:firstLineChars="200"/>
              <w:rPr>
                <w:b/>
                <w:bCs/>
                <w:color w:val="auto"/>
                <w:sz w:val="24"/>
                <w:highlight w:val="none"/>
              </w:rPr>
            </w:pPr>
          </w:p>
          <w:p w14:paraId="399C0A06">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r>
              <w:rPr>
                <w:color w:val="auto"/>
                <w:sz w:val="24"/>
              </w:rPr>
              <mc:AlternateContent>
                <mc:Choice Requires="wpg">
                  <w:drawing>
                    <wp:anchor distT="0" distB="0" distL="114300" distR="114300" simplePos="0" relativeHeight="251860992" behindDoc="0" locked="0" layoutInCell="1" allowOverlap="1">
                      <wp:simplePos x="0" y="0"/>
                      <wp:positionH relativeFrom="column">
                        <wp:posOffset>3846830</wp:posOffset>
                      </wp:positionH>
                      <wp:positionV relativeFrom="paragraph">
                        <wp:posOffset>-217170</wp:posOffset>
                      </wp:positionV>
                      <wp:extent cx="1143000" cy="675640"/>
                      <wp:effectExtent l="4445" t="4445" r="14605" b="5715"/>
                      <wp:wrapNone/>
                      <wp:docPr id="287" name="组合 287"/>
                      <wp:cNvGraphicFramePr/>
                      <a:graphic xmlns:a="http://schemas.openxmlformats.org/drawingml/2006/main">
                        <a:graphicData uri="http://schemas.microsoft.com/office/word/2010/wordprocessingGroup">
                          <wpg:wgp>
                            <wpg:cNvGrpSpPr/>
                            <wpg:grpSpPr>
                              <a:xfrm>
                                <a:off x="0" y="0"/>
                                <a:ext cx="1143000" cy="675640"/>
                                <a:chOff x="12480" y="625363"/>
                                <a:chExt cx="1800" cy="1064"/>
                              </a:xfrm>
                            </wpg:grpSpPr>
                            <wps:wsp>
                              <wps:cNvPr id="269" name="文本框 269"/>
                              <wps:cNvSpPr txBox="1"/>
                              <wps:spPr>
                                <a:xfrm>
                                  <a:off x="12480" y="625363"/>
                                  <a:ext cx="1800" cy="10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237886">
                                    <w:pPr>
                                      <w:jc w:val="center"/>
                                      <w:rPr>
                                        <w:rFonts w:hint="eastAsia"/>
                                        <w:sz w:val="21"/>
                                        <w:szCs w:val="21"/>
                                        <w:lang w:val="en-US" w:eastAsia="zh-CN"/>
                                      </w:rPr>
                                    </w:pPr>
                                    <w:r>
                                      <w:rPr>
                                        <w:rFonts w:hint="eastAsia"/>
                                        <w:sz w:val="21"/>
                                        <w:szCs w:val="21"/>
                                        <w:lang w:val="en-US" w:eastAsia="zh-CN"/>
                                      </w:rPr>
                                      <w:t>图例</w:t>
                                    </w:r>
                                  </w:p>
                                  <w:p w14:paraId="46B74691">
                                    <w:pPr>
                                      <w:pStyle w:val="2"/>
                                      <w:ind w:firstLine="840" w:firstLineChars="400"/>
                                      <w:rPr>
                                        <w:rFonts w:hint="eastAsia"/>
                                        <w:sz w:val="21"/>
                                        <w:szCs w:val="21"/>
                                        <w:lang w:val="en-US" w:eastAsia="zh-CN"/>
                                      </w:rPr>
                                    </w:pPr>
                                    <w:r>
                                      <w:rPr>
                                        <w:rFonts w:hint="eastAsia"/>
                                        <w:sz w:val="21"/>
                                        <w:szCs w:val="21"/>
                                        <w:lang w:val="en-US" w:eastAsia="zh-CN"/>
                                      </w:rPr>
                                      <w:t>本项目</w:t>
                                    </w:r>
                                  </w:p>
                                  <w:p w14:paraId="6A7756B6">
                                    <w:pPr>
                                      <w:pStyle w:val="2"/>
                                      <w:ind w:firstLine="840" w:firstLineChars="400"/>
                                      <w:rPr>
                                        <w:rFonts w:hint="default"/>
                                        <w:sz w:val="21"/>
                                        <w:szCs w:val="21"/>
                                        <w:lang w:val="en-US" w:eastAsia="zh-CN"/>
                                      </w:rPr>
                                    </w:pPr>
                                    <w:r>
                                      <w:rPr>
                                        <w:rFonts w:hint="eastAsia"/>
                                        <w:sz w:val="21"/>
                                        <w:szCs w:val="21"/>
                                        <w:lang w:val="en-US" w:eastAsia="zh-CN"/>
                                      </w:rPr>
                                      <w:t>原项目</w:t>
                                    </w:r>
                                  </w:p>
                                  <w:p w14:paraId="32FD259A">
                                    <w:pPr>
                                      <w:pStyle w:val="2"/>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86" name="组合 286"/>
                              <wpg:cNvGrpSpPr/>
                              <wpg:grpSpPr>
                                <a:xfrm>
                                  <a:off x="12810" y="625803"/>
                                  <a:ext cx="376" cy="402"/>
                                  <a:chOff x="12810" y="625803"/>
                                  <a:chExt cx="376" cy="402"/>
                                </a:xfrm>
                              </wpg:grpSpPr>
                              <wps:wsp>
                                <wps:cNvPr id="284" name="矩形 284"/>
                                <wps:cNvSpPr/>
                                <wps:spPr>
                                  <a:xfrm>
                                    <a:off x="12810" y="625803"/>
                                    <a:ext cx="376" cy="163"/>
                                  </a:xfrm>
                                  <a:prstGeom prst="rect">
                                    <a:avLst/>
                                  </a:prstGeom>
                                  <a:noFill/>
                                  <a:ln w="12700"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5" name="矩形 285"/>
                                <wps:cNvSpPr/>
                                <wps:spPr>
                                  <a:xfrm>
                                    <a:off x="12810" y="626043"/>
                                    <a:ext cx="376" cy="163"/>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302.9pt;margin-top:-17.1pt;height:53.2pt;width:90pt;z-index:251860992;mso-width-relative:page;mso-height-relative:page;" coordorigin="12480,625363" coordsize="1800,1064" o:gfxdata="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Cl1cVr2gAAAAoBAAAPAAAAAAAA&#10;AAEAIAAAACIAAABkcnMvZG93bnJldi54bWxQSwECFAAUAAAACACHTuJApps1XJ8DAADoDAAADgAA&#10;AAAAAAABACAAAAApAQAAZHJzL2Uyb0RvYy54bWxQSwUGAAAAAAYABgBZAQAAOgcAAAAA&#10;">
                      <o:lock v:ext="edit" aspectratio="f"/>
                      <v:shape id="_x0000_s1026" o:spid="_x0000_s1026" o:spt="202" type="#_x0000_t202" style="position:absolute;left:12480;top:625363;height:1065;width:1800;" fillcolor="#FFFFFF [3201]" filled="t" stroked="t" coordsize="21600,21600" o:gfxdata="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kO3e8AAAA&#10;3A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3D237886">
                              <w:pPr>
                                <w:jc w:val="center"/>
                                <w:rPr>
                                  <w:rFonts w:hint="eastAsia"/>
                                  <w:sz w:val="21"/>
                                  <w:szCs w:val="21"/>
                                  <w:lang w:val="en-US" w:eastAsia="zh-CN"/>
                                </w:rPr>
                              </w:pPr>
                              <w:r>
                                <w:rPr>
                                  <w:rFonts w:hint="eastAsia"/>
                                  <w:sz w:val="21"/>
                                  <w:szCs w:val="21"/>
                                  <w:lang w:val="en-US" w:eastAsia="zh-CN"/>
                                </w:rPr>
                                <w:t>图例</w:t>
                              </w:r>
                            </w:p>
                            <w:p w14:paraId="46B74691">
                              <w:pPr>
                                <w:pStyle w:val="2"/>
                                <w:ind w:firstLine="840" w:firstLineChars="400"/>
                                <w:rPr>
                                  <w:rFonts w:hint="eastAsia"/>
                                  <w:sz w:val="21"/>
                                  <w:szCs w:val="21"/>
                                  <w:lang w:val="en-US" w:eastAsia="zh-CN"/>
                                </w:rPr>
                              </w:pPr>
                              <w:r>
                                <w:rPr>
                                  <w:rFonts w:hint="eastAsia"/>
                                  <w:sz w:val="21"/>
                                  <w:szCs w:val="21"/>
                                  <w:lang w:val="en-US" w:eastAsia="zh-CN"/>
                                </w:rPr>
                                <w:t>本项目</w:t>
                              </w:r>
                            </w:p>
                            <w:p w14:paraId="6A7756B6">
                              <w:pPr>
                                <w:pStyle w:val="2"/>
                                <w:ind w:firstLine="840" w:firstLineChars="400"/>
                                <w:rPr>
                                  <w:rFonts w:hint="default"/>
                                  <w:sz w:val="21"/>
                                  <w:szCs w:val="21"/>
                                  <w:lang w:val="en-US" w:eastAsia="zh-CN"/>
                                </w:rPr>
                              </w:pPr>
                              <w:r>
                                <w:rPr>
                                  <w:rFonts w:hint="eastAsia"/>
                                  <w:sz w:val="21"/>
                                  <w:szCs w:val="21"/>
                                  <w:lang w:val="en-US" w:eastAsia="zh-CN"/>
                                </w:rPr>
                                <w:t>原项目</w:t>
                              </w:r>
                            </w:p>
                            <w:p w14:paraId="32FD259A">
                              <w:pPr>
                                <w:pStyle w:val="2"/>
                                <w:rPr>
                                  <w:rFonts w:hint="eastAsia"/>
                                  <w:lang w:val="en-US" w:eastAsia="zh-CN"/>
                                </w:rPr>
                              </w:pPr>
                            </w:p>
                          </w:txbxContent>
                        </v:textbox>
                      </v:shape>
                      <v:group id="_x0000_s1026" o:spid="_x0000_s1026" o:spt="203" style="position:absolute;left:12810;top:625803;height:402;width:376;" coordorigin="12810,625803" coordsize="376,402" o:gfxdata="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bycIYvwAAANwAAAAPAAAAAAAAAAEAIAAAACIAAABkcnMvZG93bnJldi54&#10;bWxQSwECFAAUAAAACACHTuJAMy8FnjsAAAA5AAAAFQAAAAAAAAABACAAAAAOAQAAZHJzL2dyb3Vw&#10;c2hhcGV4bWwueG1sUEsFBgAAAAAGAAYAYAEAAMsDAAAAAA==&#10;">
                        <o:lock v:ext="edit" aspectratio="f"/>
                        <v:rect id="_x0000_s1026" o:spid="_x0000_s1026" o:spt="1" style="position:absolute;left:12810;top:625803;height:163;width:376;v-text-anchor:middle;" filled="f" stroked="t" coordsize="21600,21600" o:gfxdata="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wV/ZvQAA&#10;ANwAAAAPAAAAAAAAAAEAIAAAACIAAABkcnMvZG93bnJldi54bWxQSwECFAAUAAAACACHTuJAMy8F&#10;njsAAAA5AAAAEAAAAAAAAAABACAAAAAMAQAAZHJzL3NoYXBleG1sLnhtbFBLBQYAAAAABgAGAFsB&#10;AAC2AwAAAAA=&#10;">
                          <v:fill on="f" focussize="0,0"/>
                          <v:stroke weight="1pt" color="#000000 [3213]" joinstyle="round" dashstyle="dash"/>
                          <v:imagedata o:title=""/>
                          <o:lock v:ext="edit" aspectratio="f"/>
                        </v:rect>
                        <v:rect id="_x0000_s1026" o:spid="_x0000_s1026" o:spt="1" style="position:absolute;left:12810;top:626043;height:163;width:376;v-text-anchor:middle;" filled="f" stroked="t" coordsize="21600,21600" o:gfxdata="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y9SCb4A&#10;AADcAAAADwAAAAAAAAABACAAAAAiAAAAZHJzL2Rvd25yZXYueG1sUEsBAhQAFAAAAAgAh07iQDMv&#10;BZ47AAAAOQAAABAAAAAAAAAAAQAgAAAADQEAAGRycy9zaGFwZXhtbC54bWxQSwUGAAAAAAYABgBb&#10;AQAAtwMAAAAA&#10;">
                          <v:fill on="f" focussize="0,0"/>
                          <v:stroke weight="1pt" color="#000000 [3213]" joinstyle="round"/>
                          <v:imagedata o:title=""/>
                          <o:lock v:ext="edit" aspectratio="f"/>
                        </v:rect>
                      </v:group>
                    </v:group>
                  </w:pict>
                </mc:Fallback>
              </mc:AlternateContent>
            </w:r>
          </w:p>
          <w:p w14:paraId="0338F3F9">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3545D440">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6361D41A">
            <w:pPr>
              <w:pStyle w:val="2"/>
              <w:keepNext w:val="0"/>
              <w:keepLines w:val="0"/>
              <w:suppressLineNumbers w:val="0"/>
              <w:spacing w:before="0" w:beforeAutospacing="0" w:after="0" w:afterAutospacing="0" w:line="360" w:lineRule="auto"/>
              <w:ind w:left="0" w:right="0"/>
              <w:jc w:val="center"/>
              <w:rPr>
                <w:rFonts w:hint="eastAsia" w:eastAsia="宋体"/>
                <w:b/>
                <w:color w:val="auto"/>
                <w:sz w:val="24"/>
                <w:szCs w:val="24"/>
                <w:highlight w:val="none"/>
                <w:lang w:val="en-US" w:eastAsia="zh-CN"/>
              </w:rPr>
            </w:pPr>
            <w:r>
              <w:rPr>
                <w:rFonts w:hint="eastAsia"/>
                <w:b/>
                <w:color w:val="auto"/>
                <w:sz w:val="24"/>
                <w:szCs w:val="24"/>
                <w:highlight w:val="none"/>
              </w:rPr>
              <w:t>图</w:t>
            </w:r>
            <w:r>
              <w:rPr>
                <w:rFonts w:hint="eastAsia"/>
                <w:b/>
                <w:color w:val="auto"/>
                <w:sz w:val="24"/>
                <w:szCs w:val="24"/>
                <w:highlight w:val="none"/>
                <w:lang w:val="en-US" w:eastAsia="zh-CN"/>
              </w:rPr>
              <w:t>9</w:t>
            </w:r>
            <w:r>
              <w:rPr>
                <w:rFonts w:hint="eastAsia"/>
                <w:b/>
                <w:color w:val="auto"/>
                <w:sz w:val="24"/>
                <w:szCs w:val="24"/>
                <w:highlight w:val="none"/>
              </w:rPr>
              <w:t xml:space="preserve">  </w:t>
            </w:r>
            <w:r>
              <w:rPr>
                <w:rFonts w:hint="eastAsia"/>
                <w:b/>
                <w:color w:val="auto"/>
                <w:sz w:val="24"/>
                <w:szCs w:val="24"/>
                <w:highlight w:val="none"/>
                <w:lang w:val="en-US" w:eastAsia="zh-CN"/>
              </w:rPr>
              <w:t>包装蜡生产</w:t>
            </w:r>
            <w:r>
              <w:rPr>
                <w:rFonts w:hint="eastAsia"/>
                <w:b/>
                <w:color w:val="auto"/>
                <w:sz w:val="24"/>
                <w:szCs w:val="24"/>
                <w:highlight w:val="none"/>
              </w:rPr>
              <w:t>工艺流程</w:t>
            </w:r>
          </w:p>
          <w:p w14:paraId="3C3BC00F">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cs="Times New Roman"/>
                <w:bCs/>
                <w:color w:val="auto"/>
                <w:sz w:val="24"/>
                <w:highlight w:val="none"/>
                <w:lang w:val="en-US" w:eastAsia="zh-CN"/>
              </w:rPr>
            </w:pPr>
          </w:p>
          <w:p w14:paraId="0323815B">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cs="Times New Roman"/>
                <w:bCs/>
                <w:color w:val="auto"/>
                <w:sz w:val="24"/>
                <w:highlight w:val="none"/>
                <w:lang w:val="en-US" w:eastAsia="zh-CN"/>
              </w:rPr>
            </w:pPr>
            <w:r>
              <w:rPr>
                <w:rFonts w:hint="eastAsia" w:cs="Times New Roman"/>
                <w:bCs/>
                <w:color w:val="auto"/>
                <w:sz w:val="24"/>
                <w:highlight w:val="none"/>
                <w:lang w:val="en-US" w:eastAsia="zh-CN"/>
              </w:rPr>
              <w:t>工艺流程简述：</w:t>
            </w:r>
          </w:p>
          <w:p w14:paraId="16779913">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color w:val="auto"/>
                <w:highlight w:val="none"/>
                <w:lang w:val="en-US" w:eastAsia="zh-CN"/>
              </w:rPr>
            </w:pPr>
            <w:r>
              <w:rPr>
                <w:rFonts w:hint="eastAsia" w:cs="Times New Roman"/>
                <w:bCs/>
                <w:color w:val="auto"/>
                <w:sz w:val="24"/>
                <w:highlight w:val="none"/>
                <w:lang w:val="en-US" w:eastAsia="zh-CN"/>
              </w:rPr>
              <w:t>固体原料投加方式：人工拆包，经计量后通过加料口，人工加入调和罐；</w:t>
            </w:r>
          </w:p>
          <w:p w14:paraId="1D2F604F">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bCs/>
                <w:color w:val="auto"/>
                <w:sz w:val="24"/>
                <w:highlight w:val="none"/>
                <w:lang w:val="en-US" w:eastAsia="zh-CN"/>
              </w:rPr>
            </w:pPr>
            <w:r>
              <w:rPr>
                <w:rFonts w:hint="eastAsia" w:cs="Times New Roman"/>
                <w:bCs/>
                <w:color w:val="auto"/>
                <w:sz w:val="24"/>
                <w:highlight w:val="none"/>
                <w:lang w:val="en-US" w:eastAsia="zh-CN"/>
              </w:rPr>
              <w:t>液体原料投加方式：</w:t>
            </w:r>
            <w:r>
              <w:rPr>
                <w:rFonts w:hint="eastAsia" w:ascii="Times New Roman" w:hAnsi="Times New Roman" w:cs="Times New Roman"/>
                <w:bCs/>
                <w:color w:val="auto"/>
                <w:sz w:val="24"/>
                <w:highlight w:val="none"/>
                <w:lang w:eastAsia="zh-CN"/>
              </w:rPr>
              <w:t>在罐区调和好的56-66#全精炼石蜡，通过齿轮泵由罐区输送至石蜡调和罐</w:t>
            </w:r>
            <w:r>
              <w:rPr>
                <w:rFonts w:hint="eastAsia" w:cs="Times New Roman"/>
                <w:bCs/>
                <w:color w:val="auto"/>
                <w:sz w:val="24"/>
                <w:highlight w:val="none"/>
                <w:lang w:eastAsia="zh-CN"/>
              </w:rPr>
              <w:t>；</w:t>
            </w:r>
          </w:p>
          <w:p w14:paraId="4BD5D1BA">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bCs/>
                <w:color w:val="auto"/>
                <w:sz w:val="24"/>
                <w:highlight w:val="none"/>
                <w:lang w:eastAsia="zh-CN"/>
              </w:rPr>
            </w:pPr>
            <w:r>
              <w:rPr>
                <w:rFonts w:hint="eastAsia" w:ascii="Times New Roman" w:hAnsi="Times New Roman" w:cs="Times New Roman"/>
                <w:bCs/>
                <w:color w:val="auto"/>
                <w:sz w:val="24"/>
                <w:highlight w:val="none"/>
                <w:lang w:eastAsia="zh-CN"/>
              </w:rPr>
              <w:t>将一定比例的EVA蜡、抗氧剂经计量后通过加料口，人工加入调和罐。调和罐配有搅拌器，将全精炼石蜡、EVA蜡、抗氧剂搅拌均匀并加热至85-90℃（采用导热油间接加热）。调和好的全精炼石蜡、EVA蜡及抗氧剂先经预冷器用循环水预冷，然后经过滤器过滤杂质后进入成型机。在成型机中，先由定量注油器按每盘5kg的重量注入到蜡盘中；蜡盘随传动链条进入冷室，经往返平移十四层后冷却到30℃以下后出冷室；冷室采用冷冻机组提供的冷冻水制冷；最后经脱膜机构将蜡板脱出，进入自动包装码垛系统，包装后进入成品库。</w:t>
            </w:r>
          </w:p>
          <w:p w14:paraId="2A6814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4"/>
                <w:highlight w:val="none"/>
                <w:lang w:eastAsia="zh-CN"/>
              </w:rPr>
            </w:pPr>
            <w:r>
              <w:rPr>
                <w:color w:val="auto"/>
                <w:sz w:val="24"/>
                <w:highlight w:val="none"/>
                <w:lang w:eastAsia="zh-CN"/>
              </w:rPr>
              <w:t>表2-</w:t>
            </w:r>
            <w:r>
              <w:rPr>
                <w:rFonts w:hint="eastAsia"/>
                <w:color w:val="auto"/>
                <w:sz w:val="24"/>
                <w:highlight w:val="none"/>
                <w:lang w:val="en-US" w:eastAsia="zh-CN"/>
              </w:rPr>
              <w:t>12  包装</w:t>
            </w:r>
            <w:r>
              <w:rPr>
                <w:color w:val="auto"/>
                <w:sz w:val="24"/>
                <w:highlight w:val="none"/>
                <w:lang w:eastAsia="zh-CN"/>
              </w:rPr>
              <w:t>蜡物料平衡表</w:t>
            </w:r>
            <w:r>
              <w:rPr>
                <w:rFonts w:hint="eastAsia"/>
                <w:color w:val="auto"/>
                <w:sz w:val="24"/>
                <w:highlight w:val="none"/>
                <w:lang w:val="en-US" w:eastAsia="zh-CN"/>
              </w:rPr>
              <w:t xml:space="preserve">  </w:t>
            </w:r>
            <w:r>
              <w:rPr>
                <w:color w:val="auto"/>
                <w:sz w:val="24"/>
                <w:highlight w:val="none"/>
                <w:lang w:eastAsia="zh-CN"/>
              </w:rPr>
              <w:t>单位t/a</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3"/>
              <w:gridCol w:w="1474"/>
              <w:gridCol w:w="2048"/>
              <w:gridCol w:w="1105"/>
            </w:tblGrid>
            <w:tr w14:paraId="1E4C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9" w:type="pct"/>
                  <w:gridSpan w:val="2"/>
                  <w:tcBorders>
                    <w:tl2br w:val="nil"/>
                    <w:tr2bl w:val="nil"/>
                  </w:tcBorders>
                  <w:vAlign w:val="center"/>
                </w:tcPr>
                <w:p w14:paraId="20FB04E5">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投入</w:t>
                  </w:r>
                </w:p>
              </w:tc>
              <w:tc>
                <w:tcPr>
                  <w:tcW w:w="2000" w:type="pct"/>
                  <w:gridSpan w:val="2"/>
                  <w:tcBorders>
                    <w:tl2br w:val="nil"/>
                    <w:tr2bl w:val="nil"/>
                  </w:tcBorders>
                  <w:vAlign w:val="center"/>
                </w:tcPr>
                <w:p w14:paraId="1AC6DE3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产出</w:t>
                  </w:r>
                </w:p>
              </w:tc>
            </w:tr>
            <w:tr w14:paraId="42B5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vAlign w:val="center"/>
                </w:tcPr>
                <w:p w14:paraId="17627FB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w:t>
                  </w:r>
                </w:p>
              </w:tc>
              <w:tc>
                <w:tcPr>
                  <w:tcW w:w="935" w:type="pct"/>
                  <w:tcBorders>
                    <w:tl2br w:val="nil"/>
                    <w:tr2bl w:val="nil"/>
                  </w:tcBorders>
                  <w:vAlign w:val="center"/>
                </w:tcPr>
                <w:p w14:paraId="55DAAC20">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1299" w:type="pct"/>
                  <w:tcBorders>
                    <w:tl2br w:val="nil"/>
                    <w:tr2bl w:val="nil"/>
                  </w:tcBorders>
                  <w:vAlign w:val="center"/>
                </w:tcPr>
                <w:p w14:paraId="3C60594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w:t>
                  </w:r>
                </w:p>
              </w:tc>
              <w:tc>
                <w:tcPr>
                  <w:tcW w:w="701" w:type="pct"/>
                  <w:tcBorders>
                    <w:tl2br w:val="nil"/>
                    <w:tr2bl w:val="nil"/>
                  </w:tcBorders>
                  <w:vAlign w:val="center"/>
                </w:tcPr>
                <w:p w14:paraId="56974BDF">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r>
            <w:tr w14:paraId="6078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shd w:val="clear" w:color="auto" w:fill="auto"/>
                  <w:vAlign w:val="center"/>
                </w:tcPr>
                <w:p w14:paraId="6C59E23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56-66#全精炼石蜡</w:t>
                  </w:r>
                </w:p>
              </w:tc>
              <w:tc>
                <w:tcPr>
                  <w:tcW w:w="935" w:type="pct"/>
                  <w:tcBorders>
                    <w:tl2br w:val="nil"/>
                    <w:tr2bl w:val="nil"/>
                  </w:tcBorders>
                  <w:vAlign w:val="center"/>
                </w:tcPr>
                <w:p w14:paraId="7A3F55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17990</w:t>
                  </w:r>
                </w:p>
              </w:tc>
              <w:tc>
                <w:tcPr>
                  <w:tcW w:w="1299" w:type="pct"/>
                  <w:tcBorders>
                    <w:tl2br w:val="nil"/>
                    <w:tr2bl w:val="nil"/>
                  </w:tcBorders>
                  <w:vAlign w:val="center"/>
                </w:tcPr>
                <w:p w14:paraId="5B5998A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包装</w:t>
                  </w:r>
                  <w:r>
                    <w:rPr>
                      <w:rFonts w:hint="default" w:ascii="Times New Roman" w:hAnsi="Times New Roman" w:cs="Times New Roman"/>
                      <w:color w:val="auto"/>
                      <w:szCs w:val="21"/>
                      <w:highlight w:val="none"/>
                    </w:rPr>
                    <w:t>蜡</w:t>
                  </w:r>
                </w:p>
              </w:tc>
              <w:tc>
                <w:tcPr>
                  <w:tcW w:w="701" w:type="pct"/>
                  <w:tcBorders>
                    <w:tl2br w:val="nil"/>
                    <w:tr2bl w:val="nil"/>
                  </w:tcBorders>
                  <w:vAlign w:val="center"/>
                </w:tcPr>
                <w:p w14:paraId="1DB3D20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lang w:val="en-US" w:eastAsia="zh-CN"/>
                    </w:rPr>
                    <w:t>9999</w:t>
                  </w:r>
                </w:p>
              </w:tc>
            </w:tr>
            <w:tr w14:paraId="6480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shd w:val="clear" w:color="auto" w:fill="auto"/>
                  <w:vAlign w:val="center"/>
                </w:tcPr>
                <w:p w14:paraId="61E3D2C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EVA蜡</w:t>
                  </w:r>
                </w:p>
              </w:tc>
              <w:tc>
                <w:tcPr>
                  <w:tcW w:w="935" w:type="pct"/>
                  <w:tcBorders>
                    <w:tl2br w:val="nil"/>
                    <w:tr2bl w:val="nil"/>
                  </w:tcBorders>
                  <w:vAlign w:val="center"/>
                </w:tcPr>
                <w:p w14:paraId="34516EA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2000</w:t>
                  </w:r>
                </w:p>
              </w:tc>
              <w:tc>
                <w:tcPr>
                  <w:tcW w:w="1299" w:type="pct"/>
                  <w:tcBorders>
                    <w:tl2br w:val="nil"/>
                    <w:tr2bl w:val="nil"/>
                  </w:tcBorders>
                  <w:shd w:val="clear" w:color="auto" w:fill="auto"/>
                  <w:vAlign w:val="center"/>
                </w:tcPr>
                <w:p w14:paraId="7706586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过滤杂质</w:t>
                  </w:r>
                </w:p>
              </w:tc>
              <w:tc>
                <w:tcPr>
                  <w:tcW w:w="701" w:type="pct"/>
                  <w:tcBorders>
                    <w:tl2br w:val="nil"/>
                    <w:tr2bl w:val="nil"/>
                  </w:tcBorders>
                  <w:shd w:val="clear" w:color="auto" w:fill="auto"/>
                  <w:vAlign w:val="center"/>
                </w:tcPr>
                <w:p w14:paraId="42941DD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0.1</w:t>
                  </w:r>
                </w:p>
              </w:tc>
            </w:tr>
            <w:tr w14:paraId="25FF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shd w:val="clear" w:color="auto" w:fill="auto"/>
                  <w:vAlign w:val="center"/>
                </w:tcPr>
                <w:p w14:paraId="3D68718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添加剂（抗氧剂-2，4-叔丁基酚）</w:t>
                  </w:r>
                </w:p>
              </w:tc>
              <w:tc>
                <w:tcPr>
                  <w:tcW w:w="935" w:type="pct"/>
                  <w:tcBorders>
                    <w:tl2br w:val="nil"/>
                    <w:tr2bl w:val="nil"/>
                  </w:tcBorders>
                  <w:vAlign w:val="center"/>
                </w:tcPr>
                <w:p w14:paraId="5179E66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10</w:t>
                  </w:r>
                </w:p>
              </w:tc>
              <w:tc>
                <w:tcPr>
                  <w:tcW w:w="1299" w:type="pct"/>
                  <w:tcBorders>
                    <w:tl2br w:val="nil"/>
                    <w:tr2bl w:val="nil"/>
                  </w:tcBorders>
                  <w:shd w:val="clear" w:color="auto" w:fill="auto"/>
                  <w:vAlign w:val="center"/>
                </w:tcPr>
                <w:p w14:paraId="251711A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落地石蜡等</w:t>
                  </w:r>
                </w:p>
              </w:tc>
              <w:tc>
                <w:tcPr>
                  <w:tcW w:w="701" w:type="pct"/>
                  <w:tcBorders>
                    <w:tl2br w:val="nil"/>
                    <w:tr2bl w:val="nil"/>
                  </w:tcBorders>
                  <w:shd w:val="clear" w:color="auto" w:fill="auto"/>
                  <w:vAlign w:val="center"/>
                </w:tcPr>
                <w:p w14:paraId="74C6B6D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0.9</w:t>
                  </w:r>
                </w:p>
              </w:tc>
            </w:tr>
            <w:tr w14:paraId="4AFD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shd w:val="clear" w:color="auto" w:fill="auto"/>
                  <w:vAlign w:val="center"/>
                </w:tcPr>
                <w:p w14:paraId="2F7A105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935" w:type="pct"/>
                  <w:tcBorders>
                    <w:tl2br w:val="nil"/>
                    <w:tr2bl w:val="nil"/>
                  </w:tcBorders>
                  <w:shd w:val="clear" w:color="auto" w:fill="auto"/>
                  <w:vAlign w:val="center"/>
                </w:tcPr>
                <w:p w14:paraId="6F556A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000</w:t>
                  </w:r>
                  <w:r>
                    <w:rPr>
                      <w:rFonts w:hint="default" w:ascii="Times New Roman" w:hAnsi="Times New Roman" w:cs="Times New Roman"/>
                      <w:color w:val="auto"/>
                      <w:szCs w:val="21"/>
                      <w:highlight w:val="none"/>
                      <w:lang w:val="en-US" w:eastAsia="zh-CN"/>
                    </w:rPr>
                    <w:t>0</w:t>
                  </w:r>
                </w:p>
              </w:tc>
              <w:tc>
                <w:tcPr>
                  <w:tcW w:w="1299" w:type="pct"/>
                  <w:tcBorders>
                    <w:tl2br w:val="nil"/>
                    <w:tr2bl w:val="nil"/>
                  </w:tcBorders>
                  <w:shd w:val="clear" w:color="auto" w:fill="auto"/>
                  <w:vAlign w:val="center"/>
                </w:tcPr>
                <w:p w14:paraId="7BA3F44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701" w:type="pct"/>
                  <w:tcBorders>
                    <w:tl2br w:val="nil"/>
                    <w:tr2bl w:val="nil"/>
                  </w:tcBorders>
                  <w:shd w:val="clear" w:color="auto" w:fill="auto"/>
                  <w:vAlign w:val="center"/>
                </w:tcPr>
                <w:p w14:paraId="16B41D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lang w:val="en-US" w:eastAsia="zh-CN"/>
                    </w:rPr>
                    <w:t>0000</w:t>
                  </w:r>
                </w:p>
              </w:tc>
            </w:tr>
          </w:tbl>
          <w:p w14:paraId="4F5F14DF">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cs="Times New Roman"/>
                <w:b/>
                <w:bCs w:val="0"/>
                <w:color w:val="auto"/>
                <w:sz w:val="24"/>
                <w:highlight w:val="none"/>
                <w:lang w:eastAsia="zh-CN"/>
              </w:rPr>
            </w:pPr>
            <w:r>
              <w:rPr>
                <w:rFonts w:hint="eastAsia" w:ascii="Times New Roman" w:hAnsi="Times New Roman" w:cs="Times New Roman"/>
                <w:b/>
                <w:bCs w:val="0"/>
                <w:color w:val="auto"/>
                <w:sz w:val="24"/>
                <w:highlight w:val="none"/>
                <w:lang w:eastAsia="zh-CN"/>
              </w:rPr>
              <w:t>（</w:t>
            </w:r>
            <w:r>
              <w:rPr>
                <w:rFonts w:hint="eastAsia" w:cs="Times New Roman"/>
                <w:b/>
                <w:bCs w:val="0"/>
                <w:color w:val="auto"/>
                <w:sz w:val="24"/>
                <w:highlight w:val="none"/>
                <w:lang w:val="en-US" w:eastAsia="zh-CN"/>
              </w:rPr>
              <w:t>4</w:t>
            </w:r>
            <w:r>
              <w:rPr>
                <w:rFonts w:hint="eastAsia" w:ascii="Times New Roman" w:hAnsi="Times New Roman" w:cs="Times New Roman"/>
                <w:b/>
                <w:bCs w:val="0"/>
                <w:color w:val="auto"/>
                <w:sz w:val="24"/>
                <w:highlight w:val="none"/>
                <w:lang w:eastAsia="zh-CN"/>
              </w:rPr>
              <w:t>）凡士林</w:t>
            </w:r>
          </w:p>
          <w:p w14:paraId="4C77FF39">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cs="Times New Roman"/>
                <w:bCs/>
                <w:color w:val="auto"/>
                <w:sz w:val="24"/>
                <w:highlight w:val="none"/>
                <w:lang w:val="en-US" w:eastAsia="zh-CN"/>
              </w:rPr>
            </w:pPr>
            <w:r>
              <w:rPr>
                <w:rFonts w:hint="eastAsia" w:cs="Times New Roman"/>
                <w:bCs/>
                <w:color w:val="auto"/>
                <w:sz w:val="24"/>
                <w:highlight w:val="none"/>
                <w:lang w:val="en-US" w:eastAsia="zh-CN"/>
              </w:rPr>
              <w:t>本项目凡士林原料全精炼石蜡固体用量4000t/a、液体用量3010t/a。</w:t>
            </w:r>
          </w:p>
          <w:p w14:paraId="6255F41D">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p>
          <w:p w14:paraId="3A3964EE">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783168" behindDoc="0" locked="0" layoutInCell="1" allowOverlap="1">
                      <wp:simplePos x="0" y="0"/>
                      <wp:positionH relativeFrom="column">
                        <wp:posOffset>675005</wp:posOffset>
                      </wp:positionH>
                      <wp:positionV relativeFrom="paragraph">
                        <wp:posOffset>55880</wp:posOffset>
                      </wp:positionV>
                      <wp:extent cx="2315845" cy="1503680"/>
                      <wp:effectExtent l="12700" t="12700" r="14605" b="26670"/>
                      <wp:wrapNone/>
                      <wp:docPr id="410" name="矩形 410"/>
                      <wp:cNvGraphicFramePr/>
                      <a:graphic xmlns:a="http://schemas.openxmlformats.org/drawingml/2006/main">
                        <a:graphicData uri="http://schemas.microsoft.com/office/word/2010/wordprocessingShape">
                          <wps:wsp>
                            <wps:cNvSpPr/>
                            <wps:spPr>
                              <a:xfrm>
                                <a:off x="0" y="0"/>
                                <a:ext cx="2315845" cy="1503680"/>
                              </a:xfrm>
                              <a:prstGeom prst="rect">
                                <a:avLst/>
                              </a:prstGeom>
                              <a:noFill/>
                              <a:ln w="25400"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15pt;margin-top:4.4pt;height:118.4pt;width:182.35pt;z-index:251783168;v-text-anchor:middle;mso-width-relative:page;mso-height-relative:page;" filled="f" stroked="t" coordsize="21600,21600" o:gfxdata="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p23HPXAAAACQEAAA8AAAAAAAAAAQAgAAAAIgAAAGRycy9kb3ducmV2LnhtbFBLAQIUABQAAAAI&#10;AIdO4kAV5EqOYAIAALgEAAAOAAAAAAAAAAEAIAAAACYBAABkcnMvZTJvRG9jLnhtbFBLBQYAAAAA&#10;BgAGAFkBAAD4BQAAAAA=&#10;">
                      <v:fill on="f" focussize="0,0"/>
                      <v:stroke weight="2pt" color="#000000 [3213]" joinstyle="round" dashstyle="dash"/>
                      <v:imagedata o:title=""/>
                      <o:lock v:ext="edit" aspectratio="f"/>
                    </v:rect>
                  </w:pict>
                </mc:Fallback>
              </mc:AlternateContent>
            </w:r>
            <w:r>
              <w:rPr>
                <w:color w:val="auto"/>
                <w:sz w:val="21"/>
                <w:highlight w:val="none"/>
              </w:rPr>
              <mc:AlternateContent>
                <mc:Choice Requires="wps">
                  <w:drawing>
                    <wp:anchor distT="0" distB="0" distL="114300" distR="114300" simplePos="0" relativeHeight="251778048" behindDoc="0" locked="0" layoutInCell="1" allowOverlap="1">
                      <wp:simplePos x="0" y="0"/>
                      <wp:positionH relativeFrom="column">
                        <wp:posOffset>2927350</wp:posOffset>
                      </wp:positionH>
                      <wp:positionV relativeFrom="paragraph">
                        <wp:posOffset>100965</wp:posOffset>
                      </wp:positionV>
                      <wp:extent cx="2157095" cy="295275"/>
                      <wp:effectExtent l="0" t="0" r="0" b="0"/>
                      <wp:wrapNone/>
                      <wp:docPr id="411"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2157095" cy="295275"/>
                              </a:xfrm>
                              <a:prstGeom prst="rect">
                                <a:avLst/>
                              </a:prstGeom>
                              <a:noFill/>
                              <a:ln>
                                <a:noFill/>
                              </a:ln>
                            </wps:spPr>
                            <wps:txbx>
                              <w:txbxContent>
                                <w:p w14:paraId="49AE377D">
                                  <w:pPr>
                                    <w:jc w:val="center"/>
                                    <w:rPr>
                                      <w:rFonts w:hint="default" w:eastAsia="宋体"/>
                                      <w:sz w:val="24"/>
                                      <w:szCs w:val="24"/>
                                      <w:lang w:val="en-US" w:eastAsia="zh-CN"/>
                                    </w:rPr>
                                  </w:pPr>
                                  <w:r>
                                    <w:rPr>
                                      <w:rFonts w:hint="eastAsia"/>
                                      <w:sz w:val="24"/>
                                      <w:szCs w:val="24"/>
                                      <w:lang w:val="en-US" w:eastAsia="zh-CN"/>
                                    </w:rPr>
                                    <w:t>石油蜡（液）、特种蜡、香精</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230.5pt;margin-top:7.95pt;height:23.25pt;width:169.85pt;z-index:251778048;mso-width-relative:page;mso-height-relative:page;" filled="f" stroked="f" coordsize="21600,21600" o:gfxdata="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cPhsf1wAAAAkBAAAPAAAAAAAAAAEAIAAAACIA&#10;AABkcnMvZG93bnJldi54bWxQSwECFAAUAAAACACHTuJApGJ2rQoCAAAYBAAADgAAAAAAAAABACAA&#10;AAAmAQAAZHJzL2Uyb0RvYy54bWxQSwUGAAAAAAYABgBZAQAAogUAAAAA&#10;">
                      <v:fill on="f" focussize="0,0"/>
                      <v:stroke on="f"/>
                      <v:imagedata o:title=""/>
                      <o:lock v:ext="edit" aspectratio="f"/>
                      <v:textbox>
                        <w:txbxContent>
                          <w:p w14:paraId="49AE377D">
                            <w:pPr>
                              <w:jc w:val="center"/>
                              <w:rPr>
                                <w:rFonts w:hint="default" w:eastAsia="宋体"/>
                                <w:sz w:val="24"/>
                                <w:szCs w:val="24"/>
                                <w:lang w:val="en-US" w:eastAsia="zh-CN"/>
                              </w:rPr>
                            </w:pPr>
                            <w:r>
                              <w:rPr>
                                <w:rFonts w:hint="eastAsia"/>
                                <w:sz w:val="24"/>
                                <w:szCs w:val="24"/>
                                <w:lang w:val="en-US" w:eastAsia="zh-CN"/>
                              </w:rPr>
                              <w:t>石油蜡（液）、特种蜡、香精</w:t>
                            </w:r>
                          </w:p>
                        </w:txbxContent>
                      </v:textbox>
                    </v:shape>
                  </w:pict>
                </mc:Fallback>
              </mc:AlternateContent>
            </w:r>
            <w:r>
              <w:rPr>
                <w:color w:val="auto"/>
                <w:sz w:val="21"/>
                <w:highlight w:val="none"/>
              </w:rPr>
              <mc:AlternateContent>
                <mc:Choice Requires="wps">
                  <w:drawing>
                    <wp:anchor distT="0" distB="0" distL="114300" distR="114300" simplePos="0" relativeHeight="251765760" behindDoc="0" locked="0" layoutInCell="1" allowOverlap="1">
                      <wp:simplePos x="0" y="0"/>
                      <wp:positionH relativeFrom="column">
                        <wp:posOffset>1106170</wp:posOffset>
                      </wp:positionH>
                      <wp:positionV relativeFrom="paragraph">
                        <wp:posOffset>53340</wp:posOffset>
                      </wp:positionV>
                      <wp:extent cx="969010" cy="295275"/>
                      <wp:effectExtent l="0" t="0" r="0" b="0"/>
                      <wp:wrapNone/>
                      <wp:docPr id="412" name="Text Box 107"/>
                      <wp:cNvGraphicFramePr/>
                      <a:graphic xmlns:a="http://schemas.openxmlformats.org/drawingml/2006/main">
                        <a:graphicData uri="http://schemas.microsoft.com/office/word/2010/wordprocessingShape">
                          <wps:wsp>
                            <wps:cNvSpPr txBox="1">
                              <a:spLocks noChangeArrowheads="1"/>
                            </wps:cNvSpPr>
                            <wps:spPr bwMode="auto">
                              <a:xfrm>
                                <a:off x="3216275" y="2280285"/>
                                <a:ext cx="969010" cy="295275"/>
                              </a:xfrm>
                              <a:prstGeom prst="rect">
                                <a:avLst/>
                              </a:prstGeom>
                              <a:noFill/>
                              <a:ln>
                                <a:noFill/>
                              </a:ln>
                            </wps:spPr>
                            <wps:txbx>
                              <w:txbxContent>
                                <w:p w14:paraId="2C98DEC7">
                                  <w:pPr>
                                    <w:jc w:val="center"/>
                                    <w:rPr>
                                      <w:rFonts w:hint="default" w:eastAsia="宋体"/>
                                      <w:sz w:val="24"/>
                                      <w:szCs w:val="24"/>
                                      <w:lang w:val="en-US" w:eastAsia="zh-CN"/>
                                    </w:rPr>
                                  </w:pPr>
                                  <w:r>
                                    <w:rPr>
                                      <w:rFonts w:hint="eastAsia"/>
                                      <w:sz w:val="24"/>
                                      <w:szCs w:val="24"/>
                                      <w:lang w:val="en-US" w:eastAsia="zh-CN"/>
                                    </w:rPr>
                                    <w:t>石油蜡（固）（固）</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87.1pt;margin-top:4.2pt;height:23.25pt;width:76.3pt;z-index:251765760;mso-width-relative:page;mso-height-relative:page;" filled="f" stroked="f" coordsize="21600,21600" o:gfxdata="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QgbwzWAAAACAEAAA8AAAAAAAAA&#10;AQAgAAAAIgAAAGRycy9kb3ducmV2LnhtbFBLAQIUABQAAAAIAIdO4kADPCaNEwIAACMEAAAOAAAA&#10;AAAAAAEAIAAAACUBAABkcnMvZTJvRG9jLnhtbFBLBQYAAAAABgAGAFkBAACqBQAAAAA=&#10;">
                      <v:fill on="f" focussize="0,0"/>
                      <v:stroke on="f"/>
                      <v:imagedata o:title=""/>
                      <o:lock v:ext="edit" aspectratio="f"/>
                      <v:textbox>
                        <w:txbxContent>
                          <w:p w14:paraId="2C98DEC7">
                            <w:pPr>
                              <w:jc w:val="center"/>
                              <w:rPr>
                                <w:rFonts w:hint="default" w:eastAsia="宋体"/>
                                <w:sz w:val="24"/>
                                <w:szCs w:val="24"/>
                                <w:lang w:val="en-US" w:eastAsia="zh-CN"/>
                              </w:rPr>
                            </w:pPr>
                            <w:r>
                              <w:rPr>
                                <w:rFonts w:hint="eastAsia"/>
                                <w:sz w:val="24"/>
                                <w:szCs w:val="24"/>
                                <w:lang w:val="en-US" w:eastAsia="zh-CN"/>
                              </w:rPr>
                              <w:t>石油蜡（固）（固）</w:t>
                            </w:r>
                          </w:p>
                        </w:txbxContent>
                      </v:textbox>
                    </v:shape>
                  </w:pict>
                </mc:Fallback>
              </mc:AlternateContent>
            </w:r>
          </w:p>
          <w:p w14:paraId="0BB47EE2">
            <w:pPr>
              <w:pStyle w:val="2"/>
              <w:keepNext w:val="0"/>
              <w:keepLines w:val="0"/>
              <w:suppressLineNumbers w:val="0"/>
              <w:snapToGrid/>
              <w:spacing w:before="0" w:beforeAutospacing="0" w:after="0" w:afterAutospacing="0" w:line="360" w:lineRule="auto"/>
              <w:ind w:left="0" w:right="0" w:firstLine="480" w:firstLineChars="200"/>
              <w:rPr>
                <w:rFonts w:hint="eastAsia"/>
                <w:b w:val="0"/>
                <w:bCs w:val="0"/>
                <w:color w:val="auto"/>
                <w:sz w:val="24"/>
                <w:szCs w:val="24"/>
                <w:highlight w:val="none"/>
                <w:lang w:val="en-US" w:eastAsia="zh-CN"/>
              </w:rPr>
            </w:pPr>
            <w:r>
              <w:rPr>
                <w:color w:val="auto"/>
                <w:sz w:val="24"/>
                <w:highlight w:val="none"/>
              </w:rPr>
              <mc:AlternateContent>
                <mc:Choice Requires="wps">
                  <w:drawing>
                    <wp:anchor distT="0" distB="0" distL="114300" distR="114300" simplePos="0" relativeHeight="251779072" behindDoc="0" locked="0" layoutInCell="1" allowOverlap="1">
                      <wp:simplePos x="0" y="0"/>
                      <wp:positionH relativeFrom="column">
                        <wp:posOffset>3591560</wp:posOffset>
                      </wp:positionH>
                      <wp:positionV relativeFrom="paragraph">
                        <wp:posOffset>48260</wp:posOffset>
                      </wp:positionV>
                      <wp:extent cx="635" cy="219075"/>
                      <wp:effectExtent l="37465" t="0" r="38100" b="9525"/>
                      <wp:wrapNone/>
                      <wp:docPr id="413"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82.8pt;margin-top:3.8pt;height:17.25pt;width:0.05pt;z-index:251779072;mso-width-relative:page;mso-height-relative:page;" filled="f" stroked="t" coordsize="21600,21600" o:gfxdata="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daxm2QAAAAgBAAAPAAAA&#10;AAAAAAEAIAAAACIAAABkcnMvZG93bnJldi54bWxQSwECFAAUAAAACACHTuJAmp8fUtsBAACjAwAA&#10;DgAAAAAAAAABACAAAAAoAQAAZHJzL2Uyb0RvYy54bWxQSwUGAAAAAAYABgBZAQAAdQUAAAAA&#10;">
                      <v:fill on="f" focussize="0,0"/>
                      <v:stroke color="#000000" joinstyle="round" endarrow="block"/>
                      <v:imagedata o:title=""/>
                      <o:lock v:ext="edit" aspectratio="f"/>
                    </v:line>
                  </w:pict>
                </mc:Fallback>
              </mc:AlternateContent>
            </w:r>
            <w:r>
              <w:rPr>
                <w:color w:val="auto"/>
                <w:sz w:val="24"/>
                <w:highlight w:val="none"/>
              </w:rPr>
              <mc:AlternateContent>
                <mc:Choice Requires="wps">
                  <w:drawing>
                    <wp:anchor distT="0" distB="0" distL="114300" distR="114300" simplePos="0" relativeHeight="251777024" behindDoc="0" locked="0" layoutInCell="1" allowOverlap="1">
                      <wp:simplePos x="0" y="0"/>
                      <wp:positionH relativeFrom="column">
                        <wp:posOffset>1116965</wp:posOffset>
                      </wp:positionH>
                      <wp:positionV relativeFrom="paragraph">
                        <wp:posOffset>257810</wp:posOffset>
                      </wp:positionV>
                      <wp:extent cx="864870" cy="276225"/>
                      <wp:effectExtent l="4445" t="4445" r="6985" b="5080"/>
                      <wp:wrapNone/>
                      <wp:docPr id="414" name="文本框 1109"/>
                      <wp:cNvGraphicFramePr/>
                      <a:graphic xmlns:a="http://schemas.openxmlformats.org/drawingml/2006/main">
                        <a:graphicData uri="http://schemas.microsoft.com/office/word/2010/wordprocessingShape">
                          <wps:wsp>
                            <wps:cNvSpPr txBox="1">
                              <a:spLocks noChangeArrowheads="1"/>
                            </wps:cNvSpPr>
                            <wps:spPr bwMode="auto">
                              <a:xfrm>
                                <a:off x="0" y="0"/>
                                <a:ext cx="864870" cy="276225"/>
                              </a:xfrm>
                              <a:prstGeom prst="rect">
                                <a:avLst/>
                              </a:prstGeom>
                              <a:solidFill>
                                <a:srgbClr val="FFFFFF"/>
                              </a:solidFill>
                              <a:ln w="9525">
                                <a:solidFill>
                                  <a:srgbClr val="000000"/>
                                </a:solidFill>
                                <a:miter lim="800000"/>
                              </a:ln>
                            </wps:spPr>
                            <wps:txbx>
                              <w:txbxContent>
                                <w:p w14:paraId="785C8C34">
                                  <w:pPr>
                                    <w:jc w:val="both"/>
                                    <w:rPr>
                                      <w:rFonts w:hint="default" w:eastAsia="宋体"/>
                                      <w:sz w:val="24"/>
                                      <w:szCs w:val="24"/>
                                      <w:lang w:val="en-US" w:eastAsia="zh-CN"/>
                                    </w:rPr>
                                  </w:pPr>
                                  <w:r>
                                    <w:rPr>
                                      <w:rFonts w:hint="eastAsia"/>
                                      <w:sz w:val="24"/>
                                      <w:szCs w:val="24"/>
                                      <w:lang w:val="en-US" w:eastAsia="zh-CN"/>
                                    </w:rPr>
                                    <w:t>人工投加</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87.95pt;margin-top:20.3pt;height:21.75pt;width:68.1pt;z-index:251777024;mso-width-relative:page;mso-height-relative:page;" fillcolor="#FFFFFF" filled="t" stroked="t" coordsize="21600,21600" o:gfxdata="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6PtZj2AAAAAkBAAAPAAAAAAAAAAEAIAAAACIA&#10;AABkcnMvZG93bnJldi54bWxQSwECFAAUAAAACACHTuJAHHyycEICAACLBAAADgAAAAAAAAABACAA&#10;AAAnAQAAZHJzL2Uyb0RvYy54bWxQSwUGAAAAAAYABgBZAQAA2wUAAAAA&#10;">
                      <v:fill on="t" focussize="0,0"/>
                      <v:stroke color="#000000" miterlimit="8" joinstyle="miter"/>
                      <v:imagedata o:title=""/>
                      <o:lock v:ext="edit" aspectratio="f"/>
                      <v:textbox>
                        <w:txbxContent>
                          <w:p w14:paraId="785C8C34">
                            <w:pPr>
                              <w:jc w:val="both"/>
                              <w:rPr>
                                <w:rFonts w:hint="default" w:eastAsia="宋体"/>
                                <w:sz w:val="24"/>
                                <w:szCs w:val="24"/>
                                <w:lang w:val="en-US" w:eastAsia="zh-CN"/>
                              </w:rPr>
                            </w:pPr>
                            <w:r>
                              <w:rPr>
                                <w:rFonts w:hint="eastAsia"/>
                                <w:sz w:val="24"/>
                                <w:szCs w:val="24"/>
                                <w:lang w:val="en-US" w:eastAsia="zh-CN"/>
                              </w:rPr>
                              <w:t>人工投加</w:t>
                            </w:r>
                          </w:p>
                        </w:txbxContent>
                      </v:textbox>
                    </v:shape>
                  </w:pict>
                </mc:Fallback>
              </mc:AlternateContent>
            </w:r>
            <w:r>
              <w:rPr>
                <w:color w:val="auto"/>
                <w:sz w:val="24"/>
                <w:highlight w:val="none"/>
              </w:rPr>
              <mc:AlternateContent>
                <mc:Choice Requires="wps">
                  <w:drawing>
                    <wp:anchor distT="0" distB="0" distL="114300" distR="114300" simplePos="0" relativeHeight="251764736" behindDoc="0" locked="0" layoutInCell="1" allowOverlap="1">
                      <wp:simplePos x="0" y="0"/>
                      <wp:positionH relativeFrom="column">
                        <wp:posOffset>1591310</wp:posOffset>
                      </wp:positionH>
                      <wp:positionV relativeFrom="paragraph">
                        <wp:posOffset>29210</wp:posOffset>
                      </wp:positionV>
                      <wp:extent cx="635" cy="219075"/>
                      <wp:effectExtent l="37465" t="0" r="38100" b="9525"/>
                      <wp:wrapNone/>
                      <wp:docPr id="415" name="直线 1110"/>
                      <wp:cNvGraphicFramePr/>
                      <a:graphic xmlns:a="http://schemas.openxmlformats.org/drawingml/2006/main">
                        <a:graphicData uri="http://schemas.microsoft.com/office/word/2010/wordprocessingShape">
                          <wps:wsp>
                            <wps:cNvCnPr/>
                            <wps:spPr bwMode="auto">
                              <a:xfrm>
                                <a:off x="3996690" y="3261995"/>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125.3pt;margin-top:2.3pt;height:17.25pt;width:0.05pt;z-index:251764736;mso-width-relative:page;mso-height-relative:page;" filled="f" stroked="t" coordsize="21600,21600" o:gfxdata="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P/&#10;XmnZAAAACAEAAA8AAAAAAAAAAQAgAAAAIgAAAGRycy9kb3ducmV2LnhtbFBLAQIUABQAAAAIAIdO&#10;4kDrL66M6QEAAK8DAAAOAAAAAAAAAAEAIAAAACgBAABkcnMvZTJvRG9jLnhtbFBLBQYAAAAABgAG&#10;AFkBAACDBQAAAAA=&#10;">
                      <v:fill on="f" focussize="0,0"/>
                      <v:stroke color="#000000" joinstyle="round" endarrow="block"/>
                      <v:imagedata o:title=""/>
                      <o:lock v:ext="edit" aspectratio="f"/>
                    </v:line>
                  </w:pict>
                </mc:Fallback>
              </mc:AlternateContent>
            </w:r>
          </w:p>
          <w:p w14:paraId="50D520CF">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780096" behindDoc="0" locked="0" layoutInCell="1" allowOverlap="1">
                      <wp:simplePos x="0" y="0"/>
                      <wp:positionH relativeFrom="column">
                        <wp:posOffset>3269615</wp:posOffset>
                      </wp:positionH>
                      <wp:positionV relativeFrom="paragraph">
                        <wp:posOffset>13970</wp:posOffset>
                      </wp:positionV>
                      <wp:extent cx="662940" cy="276225"/>
                      <wp:effectExtent l="4445" t="4445" r="18415" b="5080"/>
                      <wp:wrapNone/>
                      <wp:docPr id="416" name="文本框 1109"/>
                      <wp:cNvGraphicFramePr/>
                      <a:graphic xmlns:a="http://schemas.openxmlformats.org/drawingml/2006/main">
                        <a:graphicData uri="http://schemas.microsoft.com/office/word/2010/wordprocessingShape">
                          <wps:wsp>
                            <wps:cNvSpPr txBox="1">
                              <a:spLocks noChangeArrowheads="1"/>
                            </wps:cNvSpPr>
                            <wps:spPr bwMode="auto">
                              <a:xfrm>
                                <a:off x="0" y="0"/>
                                <a:ext cx="662940" cy="276225"/>
                              </a:xfrm>
                              <a:prstGeom prst="rect">
                                <a:avLst/>
                              </a:prstGeom>
                              <a:solidFill>
                                <a:srgbClr val="FFFFFF"/>
                              </a:solidFill>
                              <a:ln w="9525">
                                <a:solidFill>
                                  <a:srgbClr val="000000"/>
                                </a:solidFill>
                                <a:miter lim="800000"/>
                              </a:ln>
                            </wps:spPr>
                            <wps:txbx>
                              <w:txbxContent>
                                <w:p w14:paraId="4B995A1D">
                                  <w:pPr>
                                    <w:jc w:val="center"/>
                                    <w:rPr>
                                      <w:rFonts w:hint="default" w:eastAsia="宋体"/>
                                      <w:sz w:val="24"/>
                                      <w:szCs w:val="24"/>
                                      <w:lang w:val="en-US" w:eastAsia="zh-CN"/>
                                    </w:rPr>
                                  </w:pPr>
                                  <w:r>
                                    <w:rPr>
                                      <w:rFonts w:hint="eastAsia"/>
                                      <w:sz w:val="24"/>
                                      <w:szCs w:val="24"/>
                                      <w:lang w:val="en-US" w:eastAsia="zh-CN"/>
                                    </w:rPr>
                                    <w:t>齿轮泵</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257.45pt;margin-top:1.1pt;height:21.75pt;width:52.2pt;z-index:251780096;mso-width-relative:page;mso-height-relative:page;" fillcolor="#FFFFFF" filled="t" stroked="t" coordsize="21600,21600" o:gfxdata="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rE1Qr2QAAAAgBAAAPAAAAAAAAAAEAIAAAACIA&#10;AABkcnMvZG93bnJldi54bWxQSwECFAAUAAAACACHTuJABrnatEECAACLBAAADgAAAAAAAAABACAA&#10;AAAoAQAAZHJzL2Uyb0RvYy54bWxQSwUGAAAAAAYABgBZAQAA2wUAAAAA&#10;">
                      <v:fill on="t" focussize="0,0"/>
                      <v:stroke color="#000000" miterlimit="8" joinstyle="miter"/>
                      <v:imagedata o:title=""/>
                      <o:lock v:ext="edit" aspectratio="f"/>
                      <v:textbox>
                        <w:txbxContent>
                          <w:p w14:paraId="4B995A1D">
                            <w:pPr>
                              <w:jc w:val="center"/>
                              <w:rPr>
                                <w:rFonts w:hint="default" w:eastAsia="宋体"/>
                                <w:sz w:val="24"/>
                                <w:szCs w:val="24"/>
                                <w:lang w:val="en-US" w:eastAsia="zh-CN"/>
                              </w:rPr>
                            </w:pPr>
                            <w:r>
                              <w:rPr>
                                <w:rFonts w:hint="eastAsia"/>
                                <w:sz w:val="24"/>
                                <w:szCs w:val="24"/>
                                <w:lang w:val="en-US" w:eastAsia="zh-CN"/>
                              </w:rPr>
                              <w:t>齿轮泵</w:t>
                            </w:r>
                          </w:p>
                        </w:txbxContent>
                      </v:textbox>
                    </v:shape>
                  </w:pict>
                </mc:Fallback>
              </mc:AlternateContent>
            </w:r>
          </w:p>
          <w:p w14:paraId="3FE3B20D">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g">
                  <w:drawing>
                    <wp:anchor distT="0" distB="0" distL="114300" distR="114300" simplePos="0" relativeHeight="251769856" behindDoc="0" locked="0" layoutInCell="1" allowOverlap="1">
                      <wp:simplePos x="0" y="0"/>
                      <wp:positionH relativeFrom="column">
                        <wp:posOffset>1563370</wp:posOffset>
                      </wp:positionH>
                      <wp:positionV relativeFrom="paragraph">
                        <wp:posOffset>29210</wp:posOffset>
                      </wp:positionV>
                      <wp:extent cx="2019935" cy="447040"/>
                      <wp:effectExtent l="4445" t="0" r="13970" b="10160"/>
                      <wp:wrapNone/>
                      <wp:docPr id="417" name="组合 417"/>
                      <wp:cNvGraphicFramePr/>
                      <a:graphic xmlns:a="http://schemas.openxmlformats.org/drawingml/2006/main">
                        <a:graphicData uri="http://schemas.microsoft.com/office/word/2010/wordprocessingGroup">
                          <wpg:wgp>
                            <wpg:cNvGrpSpPr/>
                            <wpg:grpSpPr>
                              <a:xfrm>
                                <a:off x="0" y="0"/>
                                <a:ext cx="2019935" cy="447040"/>
                                <a:chOff x="9544" y="567241"/>
                                <a:chExt cx="2146" cy="704"/>
                              </a:xfrm>
                            </wpg:grpSpPr>
                            <wps:wsp>
                              <wps:cNvPr id="418" name="直线 1110"/>
                              <wps:cNvCnPr/>
                              <wps:spPr bwMode="auto">
                                <a:xfrm>
                                  <a:off x="10635" y="567589"/>
                                  <a:ext cx="6" cy="357"/>
                                </a:xfrm>
                                <a:prstGeom prst="line">
                                  <a:avLst/>
                                </a:prstGeom>
                                <a:noFill/>
                                <a:ln w="9525">
                                  <a:solidFill>
                                    <a:srgbClr val="000000"/>
                                  </a:solidFill>
                                  <a:round/>
                                  <a:tailEnd type="triangle" w="med" len="med"/>
                                </a:ln>
                              </wps:spPr>
                              <wps:bodyPr/>
                            </wps:wsp>
                            <wpg:grpSp>
                              <wpg:cNvPr id="419" name="组合 393"/>
                              <wpg:cNvGrpSpPr/>
                              <wpg:grpSpPr>
                                <a:xfrm>
                                  <a:off x="9544" y="567241"/>
                                  <a:ext cx="2147" cy="359"/>
                                  <a:chOff x="9544" y="567241"/>
                                  <a:chExt cx="2147" cy="359"/>
                                </a:xfrm>
                              </wpg:grpSpPr>
                              <wps:wsp>
                                <wps:cNvPr id="420" name="直线 1108"/>
                                <wps:cNvCnPr/>
                                <wps:spPr bwMode="auto">
                                  <a:xfrm>
                                    <a:off x="11689" y="567256"/>
                                    <a:ext cx="2" cy="345"/>
                                  </a:xfrm>
                                  <a:prstGeom prst="line">
                                    <a:avLst/>
                                  </a:prstGeom>
                                  <a:noFill/>
                                  <a:ln w="9525">
                                    <a:solidFill>
                                      <a:srgbClr val="000000"/>
                                    </a:solidFill>
                                    <a:round/>
                                    <a:tailEnd type="none" w="med" len="med"/>
                                  </a:ln>
                                </wps:spPr>
                                <wps:bodyPr/>
                              </wps:wsp>
                              <wps:wsp>
                                <wps:cNvPr id="421" name="直线 1112"/>
                                <wps:cNvCnPr/>
                                <wps:spPr bwMode="auto">
                                  <a:xfrm>
                                    <a:off x="9544" y="567596"/>
                                    <a:ext cx="2139" cy="0"/>
                                  </a:xfrm>
                                  <a:prstGeom prst="line">
                                    <a:avLst/>
                                  </a:prstGeom>
                                  <a:noFill/>
                                  <a:ln w="9525">
                                    <a:solidFill>
                                      <a:srgbClr val="000000"/>
                                    </a:solidFill>
                                    <a:round/>
                                    <a:tailEnd type="none" w="med" len="med"/>
                                  </a:ln>
                                </wps:spPr>
                                <wps:bodyPr/>
                              </wps:wsp>
                              <wps:wsp>
                                <wps:cNvPr id="422" name="直线 1108"/>
                                <wps:cNvCnPr/>
                                <wps:spPr bwMode="auto">
                                  <a:xfrm>
                                    <a:off x="9544" y="567241"/>
                                    <a:ext cx="2" cy="345"/>
                                  </a:xfrm>
                                  <a:prstGeom prst="line">
                                    <a:avLst/>
                                  </a:prstGeom>
                                  <a:noFill/>
                                  <a:ln w="9525">
                                    <a:solidFill>
                                      <a:srgbClr val="000000"/>
                                    </a:solidFill>
                                    <a:round/>
                                    <a:tailEnd type="none" w="med" len="med"/>
                                  </a:ln>
                                </wps:spPr>
                                <wps:bodyPr/>
                              </wps:wsp>
                            </wpg:grpSp>
                          </wpg:wgp>
                        </a:graphicData>
                      </a:graphic>
                    </wp:anchor>
                  </w:drawing>
                </mc:Choice>
                <mc:Fallback>
                  <w:pict>
                    <v:group id="_x0000_s1026" o:spid="_x0000_s1026" o:spt="203" style="position:absolute;left:0pt;margin-left:123.1pt;margin-top:2.3pt;height:35.2pt;width:159.05pt;z-index:251769856;mso-width-relative:page;mso-height-relative:page;" coordorigin="9544,567241" coordsize="2146,704" o:gfxdata="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AAAAAGRycy9QSwECFAAUAAAACACHTuJAInVKiNkAAAAIAQAADwAAAAAAAAABACAAAAAi&#10;AAAAZHJzL2Rvd25yZXYueG1sUEsBAhQAFAAAAAgAh07iQE2+IHztAgAAZQsAAA4AAAAAAAAAAQAg&#10;AAAAKAEAAGRycy9lMm9Eb2MueG1sUEsFBgAAAAAGAAYAWQEAAIcGAAAAAA==&#10;">
                      <o:lock v:ext="edit" aspectratio="f"/>
                      <v:line id="直线 1110" o:spid="_x0000_s1026" o:spt="20" style="position:absolute;left:10635;top:567589;height:357;width:6;" filled="f" stroked="t" coordsize="21600,21600" o:gfxdata="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Mfp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id="组合 393" o:spid="_x0000_s1026" o:spt="203" style="position:absolute;left:9544;top:567241;height:359;width:2147;" coordorigin="9544,567241" coordsize="2147,359" o:gfxdata="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0FwEVvwAAANwAAAAPAAAAAAAAAAEAIAAAACIAAABkcnMvZG93bnJldi54&#10;bWxQSwECFAAUAAAACACHTuJAMy8FnjsAAAA5AAAAFQAAAAAAAAABACAAAAAOAQAAZHJzL2dyb3Vw&#10;c2hhcGV4bWwueG1sUEsFBgAAAAAGAAYAYAEAAMsDAAAAAA==&#10;">
                        <o:lock v:ext="edit" aspectratio="f"/>
                        <v:line id="直线 1108" o:spid="_x0000_s1026" o:spt="20" style="position:absolute;left:11689;top:567256;height:345;width:2;" filled="f" stroked="t" coordsize="21600,21600" o:gfxdata="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JmbD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1112" o:spid="_x0000_s1026" o:spt="20" style="position:absolute;left:9544;top:567596;height:0;width:2139;" filled="f" stroked="t" coordsize="21600,21600" o:gfxdata="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rDW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1108" o:spid="_x0000_s1026" o:spt="20" style="position:absolute;left:9544;top:567241;height:345;width:2;" filled="f" stroked="t" coordsize="21600,21600" o:gfxdata="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uF0v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w:pict>
                </mc:Fallback>
              </mc:AlternateContent>
            </w:r>
          </w:p>
          <w:p w14:paraId="2CBCBFFE">
            <w:pPr>
              <w:pStyle w:val="2"/>
              <w:keepNext w:val="0"/>
              <w:keepLines w:val="0"/>
              <w:suppressLineNumbers w:val="0"/>
              <w:snapToGrid/>
              <w:spacing w:before="0" w:beforeAutospacing="0" w:after="0" w:afterAutospacing="0" w:line="360" w:lineRule="auto"/>
              <w:ind w:left="0" w:right="0" w:firstLine="420" w:firstLineChars="200"/>
              <w:rPr>
                <w:b/>
                <w:color w:val="auto"/>
                <w:sz w:val="24"/>
                <w:szCs w:val="24"/>
                <w:highlight w:val="none"/>
              </w:rPr>
            </w:pPr>
            <w:r>
              <w:rPr>
                <w:color w:val="auto"/>
                <w:sz w:val="21"/>
                <w:highlight w:val="none"/>
              </w:rPr>
              <mc:AlternateContent>
                <mc:Choice Requires="wpg">
                  <w:drawing>
                    <wp:anchor distT="0" distB="0" distL="114300" distR="114300" simplePos="0" relativeHeight="251787264" behindDoc="0" locked="0" layoutInCell="1" allowOverlap="1">
                      <wp:simplePos x="0" y="0"/>
                      <wp:positionH relativeFrom="column">
                        <wp:posOffset>2932430</wp:posOffset>
                      </wp:positionH>
                      <wp:positionV relativeFrom="paragraph">
                        <wp:posOffset>101600</wp:posOffset>
                      </wp:positionV>
                      <wp:extent cx="1066165" cy="485140"/>
                      <wp:effectExtent l="0" t="0" r="0" b="0"/>
                      <wp:wrapNone/>
                      <wp:docPr id="450" name="组合 450"/>
                      <wp:cNvGraphicFramePr/>
                      <a:graphic xmlns:a="http://schemas.openxmlformats.org/drawingml/2006/main">
                        <a:graphicData uri="http://schemas.microsoft.com/office/word/2010/wordprocessingGroup">
                          <wpg:wgp>
                            <wpg:cNvGrpSpPr/>
                            <wpg:grpSpPr>
                              <a:xfrm>
                                <a:off x="0" y="0"/>
                                <a:ext cx="1066165" cy="485140"/>
                                <a:chOff x="12960" y="510956"/>
                                <a:chExt cx="1215" cy="764"/>
                              </a:xfrm>
                            </wpg:grpSpPr>
                            <wps:wsp>
                              <wps:cNvPr id="451" name="直接箭头连接符 204"/>
                              <wps:cNvCnPr/>
                              <wps:spPr>
                                <a:xfrm>
                                  <a:off x="12960" y="511345"/>
                                  <a:ext cx="435" cy="0"/>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wps:wsp>
                              <wps:cNvPr id="452" name="文本框 205"/>
                              <wps:cNvSpPr txBox="1"/>
                              <wps:spPr>
                                <a:xfrm>
                                  <a:off x="13245" y="510956"/>
                                  <a:ext cx="930" cy="7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B93AD">
                                    <w:pPr>
                                      <w:rPr>
                                        <w:rFonts w:hint="default"/>
                                        <w:sz w:val="24"/>
                                        <w:szCs w:val="24"/>
                                        <w:lang w:val="en-US" w:eastAsia="zh-CN"/>
                                      </w:rPr>
                                    </w:pPr>
                                    <w:r>
                                      <w:rPr>
                                        <w:rFonts w:hint="eastAsia"/>
                                        <w:sz w:val="24"/>
                                        <w:szCs w:val="24"/>
                                        <w:lang w:val="en-US" w:eastAsia="zh-CN"/>
                                      </w:rPr>
                                      <w:t>G3-1</w:t>
                                    </w:r>
                                  </w:p>
                                  <w:p w14:paraId="4094BE3F">
                                    <w:pPr>
                                      <w:rPr>
                                        <w:rFonts w:hint="default" w:eastAsia="宋体"/>
                                        <w:sz w:val="24"/>
                                        <w:szCs w:val="24"/>
                                        <w:lang w:val="en-US" w:eastAsia="zh-CN"/>
                                      </w:rPr>
                                    </w:pPr>
                                    <w:r>
                                      <w:rPr>
                                        <w:rFonts w:hint="eastAsia"/>
                                        <w:sz w:val="24"/>
                                        <w:szCs w:val="24"/>
                                        <w:lang w:val="en-US" w:eastAsia="zh-CN"/>
                                      </w:rPr>
                                      <w:t>N</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30.9pt;margin-top:8pt;height:38.2pt;width:83.95pt;z-index:251787264;mso-width-relative:page;mso-height-relative:page;" coordorigin="12960,510956" coordsize="1215,764" o:gfxdata="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DmcxSS2QAAAAkBAAAP&#10;AAAAAAAAAAEAIAAAACIAAABkcnMvZG93bnJldi54bWxQSwECFAAUAAAACACHTuJA+yEDZm0DAACa&#10;BwAADgAAAAAAAAABACAAAAAoAQAAZHJzL2Uyb0RvYy54bWxQSwUGAAAAAAYABgBZAQAABwcAAAAA&#10;">
                      <o:lock v:ext="edit" aspectratio="f"/>
                      <v:shape id="直接箭头连接符 204" o:spid="_x0000_s1026" o:spt="32" type="#_x0000_t32" style="position:absolute;left:12960;top:511345;height:0;width:435;" filled="f" stroked="t" coordsize="21600,21600" o:gfxdata="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gNoC74A&#10;AADcAAAADwAAAAAAAAABACAAAAAiAAAAZHJzL2Rvd25yZXYueG1sUEsBAhQAFAAAAAgAh07iQDMv&#10;BZ47AAAAOQAAABAAAAAAAAAAAQAgAAAADQEAAGRycy9zaGFwZXhtbC54bWxQSwUGAAAAAAYABgBb&#10;AQAAtwMAAAAA&#10;">
                        <v:fill on="f" focussize="0,0"/>
                        <v:stroke weight="1pt" color="#000000 [3213]" joinstyle="round" dashstyle="3 1" endarrow="block"/>
                        <v:imagedata o:title=""/>
                        <o:lock v:ext="edit" aspectratio="f"/>
                      </v:shape>
                      <v:shape id="文本框 205" o:spid="_x0000_s1026" o:spt="202" type="#_x0000_t202" style="position:absolute;left:13245;top:510956;height:765;width:930;" filled="f" stroked="f" coordsize="21600,21600" o:gfxdata="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ibr7&#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35AB93AD">
                              <w:pPr>
                                <w:rPr>
                                  <w:rFonts w:hint="default"/>
                                  <w:sz w:val="24"/>
                                  <w:szCs w:val="24"/>
                                  <w:lang w:val="en-US" w:eastAsia="zh-CN"/>
                                </w:rPr>
                              </w:pPr>
                              <w:r>
                                <w:rPr>
                                  <w:rFonts w:hint="eastAsia"/>
                                  <w:sz w:val="24"/>
                                  <w:szCs w:val="24"/>
                                  <w:lang w:val="en-US" w:eastAsia="zh-CN"/>
                                </w:rPr>
                                <w:t>G3-1</w:t>
                              </w:r>
                            </w:p>
                            <w:p w14:paraId="4094BE3F">
                              <w:pPr>
                                <w:rPr>
                                  <w:rFonts w:hint="default" w:eastAsia="宋体"/>
                                  <w:sz w:val="24"/>
                                  <w:szCs w:val="24"/>
                                  <w:lang w:val="en-US" w:eastAsia="zh-CN"/>
                                </w:rPr>
                              </w:pPr>
                              <w:r>
                                <w:rPr>
                                  <w:rFonts w:hint="eastAsia"/>
                                  <w:sz w:val="24"/>
                                  <w:szCs w:val="24"/>
                                  <w:lang w:val="en-US" w:eastAsia="zh-CN"/>
                                </w:rPr>
                                <w:t>N</w:t>
                              </w:r>
                            </w:p>
                          </w:txbxContent>
                        </v:textbox>
                      </v:shape>
                    </v:group>
                  </w:pict>
                </mc:Fallback>
              </mc:AlternateContent>
            </w:r>
            <w:r>
              <w:rPr>
                <w:color w:val="auto"/>
                <w:highlight w:val="none"/>
              </w:rPr>
              <mc:AlternateContent>
                <mc:Choice Requires="wps">
                  <w:drawing>
                    <wp:anchor distT="0" distB="0" distL="114300" distR="114300" simplePos="0" relativeHeight="251782144" behindDoc="0" locked="0" layoutInCell="1" allowOverlap="1">
                      <wp:simplePos x="0" y="0"/>
                      <wp:positionH relativeFrom="column">
                        <wp:posOffset>734695</wp:posOffset>
                      </wp:positionH>
                      <wp:positionV relativeFrom="paragraph">
                        <wp:posOffset>168910</wp:posOffset>
                      </wp:positionV>
                      <wp:extent cx="656590" cy="276225"/>
                      <wp:effectExtent l="0" t="0" r="0" b="0"/>
                      <wp:wrapNone/>
                      <wp:docPr id="430"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656590" cy="276225"/>
                              </a:xfrm>
                              <a:prstGeom prst="rect">
                                <a:avLst/>
                              </a:prstGeom>
                              <a:noFill/>
                              <a:ln>
                                <a:noFill/>
                              </a:ln>
                            </wps:spPr>
                            <wps:txbx>
                              <w:txbxContent>
                                <w:p w14:paraId="4CB0D887">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57.85pt;margin-top:13.3pt;height:21.75pt;width:51.7pt;z-index:251782144;mso-width-relative:page;mso-height-relative:page;" filled="f" stroked="f" coordsize="21600,21600" o:gfxdata="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kQdWtYAAAAJAQAADwAAAAAAAAABACAAAAAiAAAA&#10;ZHJzL2Rvd25yZXYueG1sUEsBAhQAFAAAAAgAh07iQJi8n/YJAgAAFwQAAA4AAAAAAAAAAQAgAAAA&#10;JQEAAGRycy9lMm9Eb2MueG1sUEsFBgAAAAAGAAYAWQEAAKAFAAAAAA==&#10;">
                      <v:fill on="f" focussize="0,0"/>
                      <v:stroke on="f"/>
                      <v:imagedata o:title=""/>
                      <o:lock v:ext="edit" aspectratio="f"/>
                      <v:textbox>
                        <w:txbxContent>
                          <w:p w14:paraId="4CB0D887">
                            <w:pPr>
                              <w:jc w:val="center"/>
                              <w:rPr>
                                <w:rFonts w:hint="default" w:eastAsia="宋体"/>
                                <w:b/>
                                <w:bCs/>
                                <w:color w:val="auto"/>
                                <w:sz w:val="24"/>
                                <w:szCs w:val="24"/>
                                <w:lang w:val="en-US" w:eastAsia="zh-CN"/>
                              </w:rPr>
                            </w:pPr>
                            <w:r>
                              <w:rPr>
                                <w:rFonts w:hint="eastAsia"/>
                                <w:b/>
                                <w:bCs/>
                                <w:color w:val="auto"/>
                                <w:sz w:val="24"/>
                                <w:szCs w:val="24"/>
                                <w:lang w:val="en-US" w:eastAsia="zh-CN"/>
                              </w:rPr>
                              <w:t>本项目</w:t>
                            </w:r>
                          </w:p>
                        </w:txbxContent>
                      </v:textbox>
                    </v:shape>
                  </w:pict>
                </mc:Fallback>
              </mc:AlternateContent>
            </w:r>
            <w:r>
              <w:rPr>
                <w:color w:val="auto"/>
                <w:sz w:val="24"/>
                <w:highlight w:val="none"/>
              </w:rPr>
              <mc:AlternateContent>
                <mc:Choice Requires="wpg">
                  <w:drawing>
                    <wp:anchor distT="0" distB="0" distL="114300" distR="114300" simplePos="0" relativeHeight="251767808" behindDoc="0" locked="0" layoutInCell="1" allowOverlap="1">
                      <wp:simplePos x="0" y="0"/>
                      <wp:positionH relativeFrom="column">
                        <wp:posOffset>1269365</wp:posOffset>
                      </wp:positionH>
                      <wp:positionV relativeFrom="paragraph">
                        <wp:posOffset>204470</wp:posOffset>
                      </wp:positionV>
                      <wp:extent cx="967105" cy="275590"/>
                      <wp:effectExtent l="0" t="0" r="1905" b="0"/>
                      <wp:wrapNone/>
                      <wp:docPr id="423" name="组合 423"/>
                      <wp:cNvGraphicFramePr/>
                      <a:graphic xmlns:a="http://schemas.openxmlformats.org/drawingml/2006/main">
                        <a:graphicData uri="http://schemas.microsoft.com/office/word/2010/wordprocessingGroup">
                          <wpg:wgp>
                            <wpg:cNvGrpSpPr/>
                            <wpg:grpSpPr>
                              <a:xfrm>
                                <a:off x="0" y="0"/>
                                <a:ext cx="967105" cy="275590"/>
                                <a:chOff x="8541" y="565078"/>
                                <a:chExt cx="1523" cy="434"/>
                              </a:xfrm>
                            </wpg:grpSpPr>
                            <wps:wsp>
                              <wps:cNvPr id="424" name="直线 1110"/>
                              <wps:cNvCnPr/>
                              <wps:spPr bwMode="auto">
                                <a:xfrm flipV="1">
                                  <a:off x="9660" y="565283"/>
                                  <a:ext cx="405" cy="5"/>
                                </a:xfrm>
                                <a:prstGeom prst="line">
                                  <a:avLst/>
                                </a:prstGeom>
                                <a:noFill/>
                                <a:ln w="9525">
                                  <a:solidFill>
                                    <a:srgbClr val="000000"/>
                                  </a:solidFill>
                                  <a:round/>
                                  <a:tailEnd type="triangle" w="med" len="med"/>
                                </a:ln>
                              </wps:spPr>
                              <wps:bodyPr/>
                            </wps:wsp>
                            <wps:wsp>
                              <wps:cNvPr id="425" name="文本框 1109"/>
                              <wps:cNvSpPr txBox="1">
                                <a:spLocks noChangeArrowheads="1"/>
                              </wps:cNvSpPr>
                              <wps:spPr bwMode="auto">
                                <a:xfrm>
                                  <a:off x="8541" y="565078"/>
                                  <a:ext cx="1274" cy="435"/>
                                </a:xfrm>
                                <a:prstGeom prst="rect">
                                  <a:avLst/>
                                </a:prstGeom>
                                <a:noFill/>
                                <a:ln w="9525">
                                  <a:noFill/>
                                  <a:miter lim="800000"/>
                                </a:ln>
                              </wps:spPr>
                              <wps:txbx>
                                <w:txbxContent>
                                  <w:p w14:paraId="36066B47">
                                    <w:pPr>
                                      <w:jc w:val="both"/>
                                      <w:rPr>
                                        <w:rFonts w:hint="default" w:eastAsia="宋体"/>
                                        <w:sz w:val="24"/>
                                        <w:szCs w:val="24"/>
                                        <w:lang w:val="en-US" w:eastAsia="zh-CN"/>
                                      </w:rPr>
                                    </w:pPr>
                                    <w:r>
                                      <w:rPr>
                                        <w:rFonts w:hint="eastAsia"/>
                                        <w:sz w:val="24"/>
                                        <w:szCs w:val="24"/>
                                        <w:lang w:val="en-US" w:eastAsia="zh-CN"/>
                                      </w:rPr>
                                      <w:t>园区蒸汽</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9.95pt;margin-top:16.1pt;height:21.7pt;width:76.15pt;z-index:251767808;mso-width-relative:page;mso-height-relative:page;" coordorigin="8541,565078" coordsize="1523,434" o:gfxdata="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DsfzB52QAAAAkBAAAPAAAAAAAA&#10;AAEAIAAAACIAAABkcnMvZG93bnJldi54bWxQSwECFAAUAAAACACHTuJAwcxITC4DAABCBwAADgAA&#10;AAAAAAABACAAAAAoAQAAZHJzL2Uyb0RvYy54bWxQSwUGAAAAAAYABgBZAQAAyAYAAAAA&#10;">
                      <o:lock v:ext="edit" aspectratio="f"/>
                      <v:line id="直线 1110" o:spid="_x0000_s1026" o:spt="20" style="position:absolute;left:9660;top:565283;flip:y;height:5;width:405;" filled="f" stroked="t" coordsize="21600,21600" o:gfxdata="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4wvh&#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109" o:spid="_x0000_s1026" o:spt="202" type="#_x0000_t202" style="position:absolute;left:8541;top:565078;height:435;width:1274;" filled="f" stroked="f" coordsize="21600,21600" o:gfxdata="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okQRvQAA&#10;ANw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14:paraId="36066B47">
                              <w:pPr>
                                <w:jc w:val="both"/>
                                <w:rPr>
                                  <w:rFonts w:hint="default" w:eastAsia="宋体"/>
                                  <w:sz w:val="24"/>
                                  <w:szCs w:val="24"/>
                                  <w:lang w:val="en-US" w:eastAsia="zh-CN"/>
                                </w:rPr>
                              </w:pPr>
                              <w:r>
                                <w:rPr>
                                  <w:rFonts w:hint="eastAsia"/>
                                  <w:sz w:val="24"/>
                                  <w:szCs w:val="24"/>
                                  <w:lang w:val="en-US" w:eastAsia="zh-CN"/>
                                </w:rPr>
                                <w:t>园区蒸汽</w:t>
                              </w:r>
                            </w:p>
                          </w:txbxContent>
                        </v:textbox>
                      </v:shape>
                    </v:group>
                  </w:pict>
                </mc:Fallback>
              </mc:AlternateContent>
            </w:r>
            <w:r>
              <w:rPr>
                <w:color w:val="auto"/>
                <w:sz w:val="24"/>
                <w:highlight w:val="none"/>
              </w:rPr>
              <mc:AlternateContent>
                <mc:Choice Requires="wps">
                  <w:drawing>
                    <wp:anchor distT="0" distB="0" distL="114300" distR="114300" simplePos="0" relativeHeight="251766784" behindDoc="0" locked="0" layoutInCell="1" allowOverlap="1">
                      <wp:simplePos x="0" y="0"/>
                      <wp:positionH relativeFrom="column">
                        <wp:posOffset>2250440</wp:posOffset>
                      </wp:positionH>
                      <wp:positionV relativeFrom="paragraph">
                        <wp:posOffset>213995</wp:posOffset>
                      </wp:positionV>
                      <wp:extent cx="674370" cy="276225"/>
                      <wp:effectExtent l="4445" t="4445" r="6985" b="5080"/>
                      <wp:wrapNone/>
                      <wp:docPr id="426" name="文本框 1109"/>
                      <wp:cNvGraphicFramePr/>
                      <a:graphic xmlns:a="http://schemas.openxmlformats.org/drawingml/2006/main">
                        <a:graphicData uri="http://schemas.microsoft.com/office/word/2010/wordprocessingShape">
                          <wps:wsp>
                            <wps:cNvSpPr txBox="1">
                              <a:spLocks noChangeArrowheads="1"/>
                            </wps:cNvSpPr>
                            <wps:spPr bwMode="auto">
                              <a:xfrm>
                                <a:off x="3646170" y="2985770"/>
                                <a:ext cx="674370" cy="276225"/>
                              </a:xfrm>
                              <a:prstGeom prst="rect">
                                <a:avLst/>
                              </a:prstGeom>
                              <a:solidFill>
                                <a:srgbClr val="FFFFFF"/>
                              </a:solidFill>
                              <a:ln w="9525">
                                <a:solidFill>
                                  <a:srgbClr val="000000"/>
                                </a:solidFill>
                                <a:miter lim="800000"/>
                              </a:ln>
                            </wps:spPr>
                            <wps:txbx>
                              <w:txbxContent>
                                <w:p w14:paraId="7E257B1E">
                                  <w:pPr>
                                    <w:jc w:val="both"/>
                                    <w:rPr>
                                      <w:rFonts w:hint="default" w:eastAsia="宋体"/>
                                      <w:sz w:val="24"/>
                                      <w:szCs w:val="24"/>
                                      <w:lang w:val="en-US" w:eastAsia="zh-CN"/>
                                    </w:rPr>
                                  </w:pPr>
                                  <w:r>
                                    <w:rPr>
                                      <w:rFonts w:hint="eastAsia"/>
                                      <w:sz w:val="24"/>
                                      <w:szCs w:val="24"/>
                                      <w:lang w:val="en-US" w:eastAsia="zh-CN"/>
                                    </w:rPr>
                                    <w:t>调和罐</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7.2pt;margin-top:16.85pt;height:21.75pt;width:53.1pt;z-index:251766784;mso-width-relative:page;mso-height-relative:page;" fillcolor="#FFFFFF" filled="t" stroked="t" coordsize="21600,21600" o:gfxdata="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MZcDq2QAAAAkBAAAPAAAA&#10;AAAAAAEAIAAAACIAAABkcnMvZG93bnJldi54bWxQSwECFAAUAAAACACHTuJASM5lmE0CAACXBAAA&#10;DgAAAAAAAAABACAAAAAoAQAAZHJzL2Uyb0RvYy54bWxQSwUGAAAAAAYABgBZAQAA5wUAAAAA&#10;">
                      <v:fill on="t" focussize="0,0"/>
                      <v:stroke color="#000000" miterlimit="8" joinstyle="miter"/>
                      <v:imagedata o:title=""/>
                      <o:lock v:ext="edit" aspectratio="f"/>
                      <v:textbox>
                        <w:txbxContent>
                          <w:p w14:paraId="7E257B1E">
                            <w:pPr>
                              <w:jc w:val="both"/>
                              <w:rPr>
                                <w:rFonts w:hint="default" w:eastAsia="宋体"/>
                                <w:sz w:val="24"/>
                                <w:szCs w:val="24"/>
                                <w:lang w:val="en-US" w:eastAsia="zh-CN"/>
                              </w:rPr>
                            </w:pPr>
                            <w:r>
                              <w:rPr>
                                <w:rFonts w:hint="eastAsia"/>
                                <w:sz w:val="24"/>
                                <w:szCs w:val="24"/>
                                <w:lang w:val="en-US" w:eastAsia="zh-CN"/>
                              </w:rPr>
                              <w:t>调和罐</w:t>
                            </w:r>
                          </w:p>
                        </w:txbxContent>
                      </v:textbox>
                    </v:shape>
                  </w:pict>
                </mc:Fallback>
              </mc:AlternateContent>
            </w:r>
          </w:p>
          <w:p w14:paraId="467FDFA6">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g">
                  <w:drawing>
                    <wp:anchor distT="0" distB="0" distL="114300" distR="114300" simplePos="0" relativeHeight="251771904" behindDoc="0" locked="0" layoutInCell="1" allowOverlap="1">
                      <wp:simplePos x="0" y="0"/>
                      <wp:positionH relativeFrom="column">
                        <wp:posOffset>1477645</wp:posOffset>
                      </wp:positionH>
                      <wp:positionV relativeFrom="paragraph">
                        <wp:posOffset>158750</wp:posOffset>
                      </wp:positionV>
                      <wp:extent cx="435610" cy="372110"/>
                      <wp:effectExtent l="0" t="0" r="0" b="0"/>
                      <wp:wrapNone/>
                      <wp:docPr id="427" name="组合 427"/>
                      <wp:cNvGraphicFramePr/>
                      <a:graphic xmlns:a="http://schemas.openxmlformats.org/drawingml/2006/main">
                        <a:graphicData uri="http://schemas.microsoft.com/office/word/2010/wordprocessingGroup">
                          <wpg:wgp>
                            <wpg:cNvGrpSpPr/>
                            <wpg:grpSpPr>
                              <a:xfrm>
                                <a:off x="0" y="0"/>
                                <a:ext cx="435610" cy="371917"/>
                                <a:chOff x="12019" y="566641"/>
                                <a:chExt cx="686" cy="841"/>
                              </a:xfrm>
                            </wpg:grpSpPr>
                            <wps:wsp>
                              <wps:cNvPr id="428" name="直接箭头连接符 204"/>
                              <wps:cNvCnPr/>
                              <wps:spPr>
                                <a:xfrm>
                                  <a:off x="12360" y="566641"/>
                                  <a:ext cx="0" cy="365"/>
                                </a:xfrm>
                                <a:prstGeom prst="straightConnector1">
                                  <a:avLst/>
                                </a:prstGeom>
                                <a:ln w="12700" cmpd="sng">
                                  <a:solidFill>
                                    <a:schemeClr val="tx1"/>
                                  </a:solidFill>
                                  <a:prstDash val="sysDash"/>
                                  <a:tailEnd type="triangle"/>
                                </a:ln>
                              </wps:spPr>
                              <wps:style>
                                <a:lnRef idx="2">
                                  <a:schemeClr val="accent1"/>
                                </a:lnRef>
                                <a:fillRef idx="0">
                                  <a:srgbClr val="FFFFFF"/>
                                </a:fillRef>
                                <a:effectRef idx="0">
                                  <a:srgbClr val="FFFFFF"/>
                                </a:effectRef>
                                <a:fontRef idx="minor">
                                  <a:schemeClr val="tx1"/>
                                </a:fontRef>
                              </wps:style>
                              <wps:bodyPr/>
                            </wps:wsp>
                            <wps:wsp>
                              <wps:cNvPr id="429" name="文本框 205"/>
                              <wps:cNvSpPr txBox="1"/>
                              <wps:spPr>
                                <a:xfrm>
                                  <a:off x="12019" y="566888"/>
                                  <a:ext cx="686" cy="59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DDBBB">
                                    <w:pPr>
                                      <w:rPr>
                                        <w:rFonts w:hint="default" w:eastAsia="宋体"/>
                                        <w:lang w:val="en-US" w:eastAsia="zh-CN"/>
                                      </w:rPr>
                                    </w:pPr>
                                    <w:r>
                                      <w:rPr>
                                        <w:rFonts w:hint="eastAsia"/>
                                        <w:lang w:val="en-US" w:eastAsia="zh-CN"/>
                                      </w:rPr>
                                      <w:t>W</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16.35pt;margin-top:12.5pt;height:29.3pt;width:34.3pt;z-index:251771904;mso-width-relative:page;mso-height-relative:page;" coordorigin="12019,566641" coordsize="686,841" o:gfxdata="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">
                      <o:lock v:ext="edit" aspectratio="f"/>
                      <v:shape id="直接箭头连接符 204" o:spid="_x0000_s1026" o:spt="32" type="#_x0000_t32" style="position:absolute;left:12360;top:566641;height:365;width:0;" filled="f" stroked="t" coordsize="21600,21600" o:gfxdata="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z+y67sAAADc&#10;AAAADwAAAAAAAAABACAAAAAiAAAAZHJzL2Rvd25yZXYueG1sUEsBAhQAFAAAAAgAh07iQDMvBZ47&#10;AAAAOQAAABAAAAAAAAAAAQAgAAAACgEAAGRycy9zaGFwZXhtbC54bWxQSwUGAAAAAAYABgBbAQAA&#10;tAMAAAAA&#10;">
                        <v:fill on="f" focussize="0,0"/>
                        <v:stroke weight="1pt" color="#000000 [3213]" joinstyle="round" dashstyle="3 1" endarrow="block"/>
                        <v:imagedata o:title=""/>
                        <o:lock v:ext="edit" aspectratio="f"/>
                      </v:shape>
                      <v:shape id="文本框 205" o:spid="_x0000_s1026" o:spt="202" type="#_x0000_t202" style="position:absolute;left:12019;top:566888;height:594;width:686;" filled="f" stroked="f" coordsize="21600,21600" o:gfxdata="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rW/e/&#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20DDBBB">
                              <w:pPr>
                                <w:rPr>
                                  <w:rFonts w:hint="default" w:eastAsia="宋体"/>
                                  <w:lang w:val="en-US" w:eastAsia="zh-CN"/>
                                </w:rPr>
                              </w:pPr>
                              <w:r>
                                <w:rPr>
                                  <w:rFonts w:hint="eastAsia"/>
                                  <w:lang w:val="en-US" w:eastAsia="zh-CN"/>
                                </w:rPr>
                                <w:t>W</w:t>
                              </w:r>
                            </w:p>
                          </w:txbxContent>
                        </v:textbox>
                      </v:shape>
                    </v:group>
                  </w:pict>
                </mc:Fallback>
              </mc:AlternateContent>
            </w:r>
            <w:r>
              <w:rPr>
                <w:color w:val="auto"/>
                <w:sz w:val="24"/>
                <w:highlight w:val="none"/>
              </w:rPr>
              <mc:AlternateContent>
                <mc:Choice Requires="wps">
                  <w:drawing>
                    <wp:anchor distT="0" distB="0" distL="114300" distR="114300" simplePos="0" relativeHeight="251781120" behindDoc="0" locked="0" layoutInCell="1" allowOverlap="1">
                      <wp:simplePos x="0" y="0"/>
                      <wp:positionH relativeFrom="column">
                        <wp:posOffset>2581910</wp:posOffset>
                      </wp:positionH>
                      <wp:positionV relativeFrom="paragraph">
                        <wp:posOffset>236855</wp:posOffset>
                      </wp:positionV>
                      <wp:extent cx="635" cy="219075"/>
                      <wp:effectExtent l="37465" t="0" r="38100" b="9525"/>
                      <wp:wrapNone/>
                      <wp:docPr id="431"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03.3pt;margin-top:18.65pt;height:17.25pt;width:0.05pt;z-index:251781120;mso-width-relative:page;mso-height-relative:page;" filled="f" stroked="t" coordsize="21600,21600" o:gfxdata="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EvtPw2QAAAAkBAAAPAAAA&#10;AAAAAAEAIAAAACIAAABkcnMvZG93bnJldi54bWxQSwECFAAUAAAACACHTuJAWC0VOdsBAACjAwAA&#10;DgAAAAAAAAABACAAAAAoAQAAZHJzL2Uyb0RvYy54bWxQSwUGAAAAAAYABgBZAQAAdQUAAAAA&#10;">
                      <v:fill on="f" focussize="0,0"/>
                      <v:stroke color="#000000" joinstyle="round" endarrow="block"/>
                      <v:imagedata o:title=""/>
                      <o:lock v:ext="edit" aspectratio="f"/>
                    </v:line>
                  </w:pict>
                </mc:Fallback>
              </mc:AlternateContent>
            </w:r>
          </w:p>
          <w:p w14:paraId="0412A540">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784192" behindDoc="0" locked="0" layoutInCell="1" allowOverlap="1">
                      <wp:simplePos x="0" y="0"/>
                      <wp:positionH relativeFrom="column">
                        <wp:posOffset>1217295</wp:posOffset>
                      </wp:positionH>
                      <wp:positionV relativeFrom="paragraph">
                        <wp:posOffset>146050</wp:posOffset>
                      </wp:positionV>
                      <wp:extent cx="2068830" cy="1417955"/>
                      <wp:effectExtent l="12700" t="12700" r="13970" b="17145"/>
                      <wp:wrapNone/>
                      <wp:docPr id="432" name="矩形 432"/>
                      <wp:cNvGraphicFramePr/>
                      <a:graphic xmlns:a="http://schemas.openxmlformats.org/drawingml/2006/main">
                        <a:graphicData uri="http://schemas.microsoft.com/office/word/2010/wordprocessingShape">
                          <wps:wsp>
                            <wps:cNvSpPr/>
                            <wps:spPr>
                              <a:xfrm>
                                <a:off x="0" y="0"/>
                                <a:ext cx="2068830" cy="1417955"/>
                              </a:xfrm>
                              <a:prstGeom prst="rect">
                                <a:avLst/>
                              </a:prstGeom>
                              <a:noFill/>
                              <a:ln w="254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5.85pt;margin-top:11.5pt;height:111.65pt;width:162.9pt;z-index:251784192;v-text-anchor:middle;mso-width-relative:page;mso-height-relative:page;" filled="f" stroked="t" coordsize="21600,21600" o:gfxdata="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hlHw2QAAAAoBAAAPAAAAAAAAAAEAIAAAACIAAABkcnMvZG93bnJldi54bWxQSwECFAAUAAAA&#10;CACHTuJAfwOqyl8CAAC5BAAADgAAAAAAAAABACAAAAAoAQAAZHJzL2Uyb0RvYy54bWxQSwUGAAAA&#10;AAYABgBZAQAA+QUAAAAA&#10;">
                      <v:fill on="f" focussize="0,0"/>
                      <v:stroke weight="2pt" color="#000000 [3213]" joinstyle="round"/>
                      <v:imagedata o:title=""/>
                      <o:lock v:ext="edit" aspectratio="f"/>
                    </v:rect>
                  </w:pict>
                </mc:Fallback>
              </mc:AlternateContent>
            </w:r>
            <w:r>
              <w:rPr>
                <w:color w:val="auto"/>
                <w:sz w:val="24"/>
                <w:highlight w:val="none"/>
              </w:rPr>
              <mc:AlternateContent>
                <mc:Choice Requires="wpg">
                  <w:drawing>
                    <wp:anchor distT="0" distB="0" distL="114300" distR="114300" simplePos="0" relativeHeight="251776000" behindDoc="0" locked="0" layoutInCell="1" allowOverlap="1">
                      <wp:simplePos x="0" y="0"/>
                      <wp:positionH relativeFrom="column">
                        <wp:posOffset>1080135</wp:posOffset>
                      </wp:positionH>
                      <wp:positionV relativeFrom="paragraph">
                        <wp:posOffset>259715</wp:posOffset>
                      </wp:positionV>
                      <wp:extent cx="1156970" cy="276225"/>
                      <wp:effectExtent l="0" t="0" r="1270" b="0"/>
                      <wp:wrapNone/>
                      <wp:docPr id="433" name="组合 433"/>
                      <wp:cNvGraphicFramePr/>
                      <a:graphic xmlns:a="http://schemas.openxmlformats.org/drawingml/2006/main">
                        <a:graphicData uri="http://schemas.microsoft.com/office/word/2010/wordprocessingGroup">
                          <wpg:wgp>
                            <wpg:cNvGrpSpPr/>
                            <wpg:grpSpPr>
                              <a:xfrm>
                                <a:off x="0" y="0"/>
                                <a:ext cx="1156970" cy="276225"/>
                                <a:chOff x="8243" y="565078"/>
                                <a:chExt cx="1822" cy="435"/>
                              </a:xfrm>
                            </wpg:grpSpPr>
                            <wps:wsp>
                              <wps:cNvPr id="434" name="直线 1110"/>
                              <wps:cNvCnPr/>
                              <wps:spPr bwMode="auto">
                                <a:xfrm flipV="1">
                                  <a:off x="9660" y="565283"/>
                                  <a:ext cx="405" cy="5"/>
                                </a:xfrm>
                                <a:prstGeom prst="line">
                                  <a:avLst/>
                                </a:prstGeom>
                                <a:noFill/>
                                <a:ln w="9525">
                                  <a:solidFill>
                                    <a:srgbClr val="000000"/>
                                  </a:solidFill>
                                  <a:round/>
                                  <a:tailEnd type="triangle" w="med" len="med"/>
                                </a:ln>
                              </wps:spPr>
                              <wps:bodyPr/>
                            </wps:wsp>
                            <wps:wsp>
                              <wps:cNvPr id="435" name="文本框 1109"/>
                              <wps:cNvSpPr txBox="1">
                                <a:spLocks noChangeArrowheads="1"/>
                              </wps:cNvSpPr>
                              <wps:spPr bwMode="auto">
                                <a:xfrm>
                                  <a:off x="8243" y="565078"/>
                                  <a:ext cx="1572" cy="435"/>
                                </a:xfrm>
                                <a:prstGeom prst="rect">
                                  <a:avLst/>
                                </a:prstGeom>
                                <a:noFill/>
                                <a:ln w="9525">
                                  <a:noFill/>
                                  <a:miter lim="800000"/>
                                </a:ln>
                              </wps:spPr>
                              <wps:txbx>
                                <w:txbxContent>
                                  <w:p w14:paraId="21C85400">
                                    <w:pPr>
                                      <w:jc w:val="both"/>
                                      <w:rPr>
                                        <w:rFonts w:hint="default" w:eastAsia="宋体"/>
                                        <w:sz w:val="24"/>
                                        <w:szCs w:val="24"/>
                                        <w:lang w:val="en-US" w:eastAsia="zh-CN"/>
                                      </w:rPr>
                                    </w:pPr>
                                    <w:r>
                                      <w:rPr>
                                        <w:rFonts w:hint="eastAsia"/>
                                        <w:sz w:val="24"/>
                                        <w:szCs w:val="24"/>
                                        <w:lang w:val="en-US" w:eastAsia="zh-CN"/>
                                      </w:rPr>
                                      <w:t>循环水系统</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85.05pt;margin-top:20.45pt;height:21.75pt;width:91.1pt;z-index:251776000;mso-width-relative:page;mso-height-relative:page;" coordorigin="8243,565078" coordsize="1822,435" o:gfxdata="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A8+tk02QAAAAkBAAAPAAAAAAAA&#10;AAEAIAAAACIAAABkcnMvZG93bnJldi54bWxQSwECFAAUAAAACACHTuJARvarGi4DAABDBwAADgAA&#10;AAAAAAABACAAAAAoAQAAZHJzL2Uyb0RvYy54bWxQSwUGAAAAAAYABgBZAQAAyAYAAAAA&#10;">
                      <o:lock v:ext="edit" aspectratio="f"/>
                      <v:line id="直线 1110" o:spid="_x0000_s1026" o:spt="20" style="position:absolute;left:9660;top:565283;flip:y;height:5;width:405;" filled="f" stroked="t" coordsize="21600,21600" o:gfxdata="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Op08&#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1109" o:spid="_x0000_s1026" o:spt="202" type="#_x0000_t202" style="position:absolute;left:8243;top:565078;height:435;width:1572;" filled="f" stroked="f" coordsize="21600,21600" o:gfxdata="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70sy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14:paraId="21C85400">
                              <w:pPr>
                                <w:jc w:val="both"/>
                                <w:rPr>
                                  <w:rFonts w:hint="default" w:eastAsia="宋体"/>
                                  <w:sz w:val="24"/>
                                  <w:szCs w:val="24"/>
                                  <w:lang w:val="en-US" w:eastAsia="zh-CN"/>
                                </w:rPr>
                              </w:pPr>
                              <w:r>
                                <w:rPr>
                                  <w:rFonts w:hint="eastAsia"/>
                                  <w:sz w:val="24"/>
                                  <w:szCs w:val="24"/>
                                  <w:lang w:val="en-US" w:eastAsia="zh-CN"/>
                                </w:rPr>
                                <w:t>循环水系统</w:t>
                              </w:r>
                            </w:p>
                          </w:txbxContent>
                        </v:textbox>
                      </v:shape>
                    </v:group>
                  </w:pict>
                </mc:Fallback>
              </mc:AlternateContent>
            </w:r>
            <w:r>
              <w:rPr>
                <w:color w:val="auto"/>
                <w:sz w:val="21"/>
                <w:highlight w:val="none"/>
              </w:rPr>
              <mc:AlternateContent>
                <mc:Choice Requires="wps">
                  <w:drawing>
                    <wp:anchor distT="0" distB="0" distL="114300" distR="114300" simplePos="0" relativeHeight="251768832" behindDoc="0" locked="0" layoutInCell="1" allowOverlap="1">
                      <wp:simplePos x="0" y="0"/>
                      <wp:positionH relativeFrom="column">
                        <wp:posOffset>2231390</wp:posOffset>
                      </wp:positionH>
                      <wp:positionV relativeFrom="paragraph">
                        <wp:posOffset>193040</wp:posOffset>
                      </wp:positionV>
                      <wp:extent cx="674370" cy="294640"/>
                      <wp:effectExtent l="5080" t="4445" r="6350" b="5715"/>
                      <wp:wrapNone/>
                      <wp:docPr id="436" name="文本框 1109"/>
                      <wp:cNvGraphicFramePr/>
                      <a:graphic xmlns:a="http://schemas.openxmlformats.org/drawingml/2006/main">
                        <a:graphicData uri="http://schemas.microsoft.com/office/word/2010/wordprocessingShape">
                          <wps:wsp>
                            <wps:cNvSpPr txBox="1">
                              <a:spLocks noChangeArrowheads="1"/>
                            </wps:cNvSpPr>
                            <wps:spPr bwMode="auto">
                              <a:xfrm>
                                <a:off x="3636645" y="3490595"/>
                                <a:ext cx="674370" cy="294640"/>
                              </a:xfrm>
                              <a:prstGeom prst="rect">
                                <a:avLst/>
                              </a:prstGeom>
                              <a:solidFill>
                                <a:srgbClr val="FFFFFF"/>
                              </a:solidFill>
                              <a:ln w="9525">
                                <a:solidFill>
                                  <a:srgbClr val="000000"/>
                                </a:solidFill>
                                <a:miter lim="800000"/>
                              </a:ln>
                            </wps:spPr>
                            <wps:txbx>
                              <w:txbxContent>
                                <w:p w14:paraId="66F2C621">
                                  <w:pPr>
                                    <w:jc w:val="both"/>
                                    <w:rPr>
                                      <w:rFonts w:hint="default" w:eastAsia="宋体"/>
                                      <w:sz w:val="24"/>
                                      <w:szCs w:val="24"/>
                                      <w:lang w:val="en-US" w:eastAsia="zh-CN"/>
                                    </w:rPr>
                                  </w:pPr>
                                  <w:r>
                                    <w:rPr>
                                      <w:rFonts w:hint="eastAsia"/>
                                      <w:sz w:val="24"/>
                                      <w:szCs w:val="24"/>
                                      <w:lang w:val="en-US" w:eastAsia="zh-CN"/>
                                    </w:rPr>
                                    <w:t>预冷器</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5.7pt;margin-top:15.2pt;height:23.2pt;width:53.1pt;z-index:251768832;mso-width-relative:page;mso-height-relative:page;" fillcolor="#FFFFFF" filled="t" stroked="t" coordsize="21600,21600" o:gfxdata="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gGm8t2AAAAAkBAAAP&#10;AAAAAAAAAAEAIAAAACIAAABkcnMvZG93bnJldi54bWxQSwECFAAUAAAACACHTuJAaZVfOlECAACX&#10;BAAADgAAAAAAAAABACAAAAAnAQAAZHJzL2Uyb0RvYy54bWxQSwUGAAAAAAYABgBZAQAA6gUAAAAA&#10;">
                      <v:fill on="t" focussize="0,0"/>
                      <v:stroke color="#000000" miterlimit="8" joinstyle="miter"/>
                      <v:imagedata o:title=""/>
                      <o:lock v:ext="edit" aspectratio="f"/>
                      <v:textbox>
                        <w:txbxContent>
                          <w:p w14:paraId="66F2C621">
                            <w:pPr>
                              <w:jc w:val="both"/>
                              <w:rPr>
                                <w:rFonts w:hint="default" w:eastAsia="宋体"/>
                                <w:sz w:val="24"/>
                                <w:szCs w:val="24"/>
                                <w:lang w:val="en-US" w:eastAsia="zh-CN"/>
                              </w:rPr>
                            </w:pPr>
                            <w:r>
                              <w:rPr>
                                <w:rFonts w:hint="eastAsia"/>
                                <w:sz w:val="24"/>
                                <w:szCs w:val="24"/>
                                <w:lang w:val="en-US" w:eastAsia="zh-CN"/>
                              </w:rPr>
                              <w:t>预冷器</w:t>
                            </w:r>
                          </w:p>
                        </w:txbxContent>
                      </v:textbox>
                    </v:shape>
                  </w:pict>
                </mc:Fallback>
              </mc:AlternateContent>
            </w:r>
          </w:p>
          <w:p w14:paraId="561E3598">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770880" behindDoc="0" locked="0" layoutInCell="1" allowOverlap="1">
                      <wp:simplePos x="0" y="0"/>
                      <wp:positionH relativeFrom="column">
                        <wp:posOffset>2581910</wp:posOffset>
                      </wp:positionH>
                      <wp:positionV relativeFrom="paragraph">
                        <wp:posOffset>244475</wp:posOffset>
                      </wp:positionV>
                      <wp:extent cx="635" cy="219075"/>
                      <wp:effectExtent l="37465" t="0" r="38100" b="9525"/>
                      <wp:wrapNone/>
                      <wp:docPr id="437"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03.3pt;margin-top:19.25pt;height:17.25pt;width:0.05pt;z-index:251770880;mso-width-relative:page;mso-height-relative:page;" filled="f" stroked="t" coordsize="21600,21600" o:gfxdata="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OboEtkAAAAJAQAADwAA&#10;AAAAAAABACAAAAAiAAAAZHJzL2Rvd25yZXYueG1sUEsBAhQAFAAAAAgAh07iQIHCR3vcAQAAowMA&#10;AA4AAAAAAAAAAQAgAAAAKAEAAGRycy9lMm9Eb2MueG1sUEsFBgAAAAAGAAYAWQEAAHYFAAAAAA==&#10;">
                      <v:fill on="f" focussize="0,0"/>
                      <v:stroke color="#000000" joinstyle="round" endarrow="block"/>
                      <v:imagedata o:title=""/>
                      <o:lock v:ext="edit" aspectratio="f"/>
                    </v:line>
                  </w:pict>
                </mc:Fallback>
              </mc:AlternateContent>
            </w:r>
          </w:p>
          <w:p w14:paraId="256F8CB1">
            <w:pPr>
              <w:pStyle w:val="2"/>
              <w:keepNext w:val="0"/>
              <w:keepLines w:val="0"/>
              <w:suppressLineNumbers w:val="0"/>
              <w:snapToGrid/>
              <w:spacing w:before="0" w:beforeAutospacing="0" w:after="0" w:afterAutospacing="0" w:line="360" w:lineRule="auto"/>
              <w:ind w:left="0" w:right="0" w:firstLine="420" w:firstLineChars="200"/>
              <w:rPr>
                <w:b/>
                <w:color w:val="auto"/>
                <w:sz w:val="24"/>
                <w:szCs w:val="24"/>
                <w:highlight w:val="none"/>
              </w:rPr>
            </w:pPr>
            <w:r>
              <w:rPr>
                <w:color w:val="auto"/>
                <w:sz w:val="21"/>
              </w:rPr>
              <mc:AlternateContent>
                <mc:Choice Requires="wps">
                  <w:drawing>
                    <wp:anchor distT="0" distB="0" distL="114300" distR="114300" simplePos="0" relativeHeight="251786240" behindDoc="0" locked="0" layoutInCell="1" allowOverlap="1">
                      <wp:simplePos x="0" y="0"/>
                      <wp:positionH relativeFrom="column">
                        <wp:posOffset>3468370</wp:posOffset>
                      </wp:positionH>
                      <wp:positionV relativeFrom="paragraph">
                        <wp:posOffset>126365</wp:posOffset>
                      </wp:positionV>
                      <wp:extent cx="1053465" cy="865505"/>
                      <wp:effectExtent l="0" t="0" r="0" b="0"/>
                      <wp:wrapNone/>
                      <wp:docPr id="440" name="文本框 205"/>
                      <wp:cNvGraphicFramePr/>
                      <a:graphic xmlns:a="http://schemas.openxmlformats.org/drawingml/2006/main">
                        <a:graphicData uri="http://schemas.microsoft.com/office/word/2010/wordprocessingShape">
                          <wps:wsp>
                            <wps:cNvSpPr txBox="1"/>
                            <wps:spPr>
                              <a:xfrm>
                                <a:off x="5045075" y="5060950"/>
                                <a:ext cx="1053465" cy="865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3F22B">
                                  <w:pPr>
                                    <w:rPr>
                                      <w:rFonts w:hint="default"/>
                                      <w:sz w:val="24"/>
                                      <w:szCs w:val="24"/>
                                      <w:lang w:val="en-US" w:eastAsia="zh-CN"/>
                                    </w:rPr>
                                  </w:pPr>
                                  <w:r>
                                    <w:rPr>
                                      <w:rFonts w:hint="eastAsia"/>
                                      <w:sz w:val="24"/>
                                      <w:szCs w:val="24"/>
                                      <w:lang w:val="en-US" w:eastAsia="zh-CN"/>
                                    </w:rPr>
                                    <w:t>G3-1</w:t>
                                  </w:r>
                                </w:p>
                                <w:p w14:paraId="69C4B0D2">
                                  <w:pPr>
                                    <w:rPr>
                                      <w:rFonts w:hint="eastAsia"/>
                                      <w:sz w:val="24"/>
                                      <w:szCs w:val="24"/>
                                      <w:lang w:val="en-US" w:eastAsia="zh-CN"/>
                                    </w:rPr>
                                  </w:pPr>
                                  <w:r>
                                    <w:rPr>
                                      <w:rFonts w:hint="eastAsia"/>
                                      <w:sz w:val="24"/>
                                      <w:szCs w:val="24"/>
                                      <w:lang w:val="en-US" w:eastAsia="zh-CN"/>
                                    </w:rPr>
                                    <w:t>N</w:t>
                                  </w:r>
                                </w:p>
                                <w:p w14:paraId="13C75074">
                                  <w:pPr>
                                    <w:rPr>
                                      <w:rFonts w:hint="default"/>
                                      <w:sz w:val="24"/>
                                      <w:szCs w:val="24"/>
                                      <w:lang w:val="en-US" w:eastAsia="zh-CN"/>
                                    </w:rPr>
                                  </w:pPr>
                                  <w:r>
                                    <w:rPr>
                                      <w:rFonts w:hint="eastAsia"/>
                                      <w:sz w:val="24"/>
                                      <w:szCs w:val="24"/>
                                      <w:lang w:val="en-US" w:eastAsia="zh-CN"/>
                                    </w:rPr>
                                    <w:t>S1过滤杂质</w:t>
                                  </w:r>
                                </w:p>
                                <w:p w14:paraId="6A91DB3D">
                                  <w:pPr>
                                    <w:pStyle w:val="2"/>
                                    <w:rPr>
                                      <w:rFonts w:hint="default"/>
                                      <w:sz w:val="24"/>
                                      <w:szCs w:val="24"/>
                                      <w:lang w:val="en-US" w:eastAsia="zh-CN"/>
                                    </w:rPr>
                                  </w:pPr>
                                  <w:r>
                                    <w:rPr>
                                      <w:rFonts w:hint="eastAsia"/>
                                      <w:sz w:val="24"/>
                                      <w:szCs w:val="24"/>
                                      <w:lang w:val="en-US" w:eastAsia="zh-CN"/>
                                    </w:rPr>
                                    <w:t>S2废过滤网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5" o:spid="_x0000_s1026" o:spt="202" type="#_x0000_t202" style="position:absolute;left:0pt;margin-left:273.1pt;margin-top:9.95pt;height:68.15pt;width:82.95pt;z-index:251786240;mso-width-relative:page;mso-height-relative:page;" filled="f" stroked="f" coordsize="21600,21600" o:gfxdata="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K0KGg2gAAAAoBAAAPAAAAAAAAAAEA&#10;IAAAACIAAABkcnMvZG93bnJldi54bWxQSwECFAAUAAAACACHTuJAQ0E/SUYCAAB2BAAADgAAAAAA&#10;AAABACAAAAApAQAAZHJzL2Uyb0RvYy54bWxQSwUGAAAAAAYABgBZAQAA4QUAAAAA&#10;">
                      <v:fill on="f" focussize="0,0"/>
                      <v:stroke on="f" weight="0.5pt"/>
                      <v:imagedata o:title=""/>
                      <o:lock v:ext="edit" aspectratio="f"/>
                      <v:textbox>
                        <w:txbxContent>
                          <w:p w14:paraId="2E63F22B">
                            <w:pPr>
                              <w:rPr>
                                <w:rFonts w:hint="default"/>
                                <w:sz w:val="24"/>
                                <w:szCs w:val="24"/>
                                <w:lang w:val="en-US" w:eastAsia="zh-CN"/>
                              </w:rPr>
                            </w:pPr>
                            <w:r>
                              <w:rPr>
                                <w:rFonts w:hint="eastAsia"/>
                                <w:sz w:val="24"/>
                                <w:szCs w:val="24"/>
                                <w:lang w:val="en-US" w:eastAsia="zh-CN"/>
                              </w:rPr>
                              <w:t>G3-1</w:t>
                            </w:r>
                          </w:p>
                          <w:p w14:paraId="69C4B0D2">
                            <w:pPr>
                              <w:rPr>
                                <w:rFonts w:hint="eastAsia"/>
                                <w:sz w:val="24"/>
                                <w:szCs w:val="24"/>
                                <w:lang w:val="en-US" w:eastAsia="zh-CN"/>
                              </w:rPr>
                            </w:pPr>
                            <w:r>
                              <w:rPr>
                                <w:rFonts w:hint="eastAsia"/>
                                <w:sz w:val="24"/>
                                <w:szCs w:val="24"/>
                                <w:lang w:val="en-US" w:eastAsia="zh-CN"/>
                              </w:rPr>
                              <w:t>N</w:t>
                            </w:r>
                          </w:p>
                          <w:p w14:paraId="13C75074">
                            <w:pPr>
                              <w:rPr>
                                <w:rFonts w:hint="default"/>
                                <w:sz w:val="24"/>
                                <w:szCs w:val="24"/>
                                <w:lang w:val="en-US" w:eastAsia="zh-CN"/>
                              </w:rPr>
                            </w:pPr>
                            <w:r>
                              <w:rPr>
                                <w:rFonts w:hint="eastAsia"/>
                                <w:sz w:val="24"/>
                                <w:szCs w:val="24"/>
                                <w:lang w:val="en-US" w:eastAsia="zh-CN"/>
                              </w:rPr>
                              <w:t>S1过滤杂质</w:t>
                            </w:r>
                          </w:p>
                          <w:p w14:paraId="6A91DB3D">
                            <w:pPr>
                              <w:pStyle w:val="2"/>
                              <w:rPr>
                                <w:rFonts w:hint="default"/>
                                <w:sz w:val="24"/>
                                <w:szCs w:val="24"/>
                                <w:lang w:val="en-US" w:eastAsia="zh-CN"/>
                              </w:rPr>
                            </w:pPr>
                            <w:r>
                              <w:rPr>
                                <w:rFonts w:hint="eastAsia"/>
                                <w:sz w:val="24"/>
                                <w:szCs w:val="24"/>
                                <w:lang w:val="en-US" w:eastAsia="zh-CN"/>
                              </w:rPr>
                              <w:t>S2废过滤网</w:t>
                            </w:r>
                          </w:p>
                        </w:txbxContent>
                      </v:textbox>
                    </v:shape>
                  </w:pict>
                </mc:Fallback>
              </mc:AlternateContent>
            </w:r>
            <w:r>
              <w:rPr>
                <w:color w:val="auto"/>
                <w:sz w:val="21"/>
                <w:highlight w:val="none"/>
              </w:rPr>
              <mc:AlternateContent>
                <mc:Choice Requires="wps">
                  <w:drawing>
                    <wp:anchor distT="0" distB="0" distL="114300" distR="114300" simplePos="0" relativeHeight="251768832" behindDoc="0" locked="0" layoutInCell="1" allowOverlap="1">
                      <wp:simplePos x="0" y="0"/>
                      <wp:positionH relativeFrom="column">
                        <wp:posOffset>2250440</wp:posOffset>
                      </wp:positionH>
                      <wp:positionV relativeFrom="paragraph">
                        <wp:posOffset>200660</wp:posOffset>
                      </wp:positionV>
                      <wp:extent cx="674370" cy="294640"/>
                      <wp:effectExtent l="5080" t="4445" r="6350" b="5715"/>
                      <wp:wrapNone/>
                      <wp:docPr id="441" name="文本框 1109"/>
                      <wp:cNvGraphicFramePr/>
                      <a:graphic xmlns:a="http://schemas.openxmlformats.org/drawingml/2006/main">
                        <a:graphicData uri="http://schemas.microsoft.com/office/word/2010/wordprocessingShape">
                          <wps:wsp>
                            <wps:cNvSpPr txBox="1">
                              <a:spLocks noChangeArrowheads="1"/>
                            </wps:cNvSpPr>
                            <wps:spPr bwMode="auto">
                              <a:xfrm>
                                <a:off x="0" y="0"/>
                                <a:ext cx="674370" cy="294640"/>
                              </a:xfrm>
                              <a:prstGeom prst="rect">
                                <a:avLst/>
                              </a:prstGeom>
                              <a:solidFill>
                                <a:srgbClr val="FFFFFF"/>
                              </a:solidFill>
                              <a:ln w="9525">
                                <a:solidFill>
                                  <a:srgbClr val="000000"/>
                                </a:solidFill>
                                <a:miter lim="800000"/>
                              </a:ln>
                            </wps:spPr>
                            <wps:txbx>
                              <w:txbxContent>
                                <w:p w14:paraId="347FACCA">
                                  <w:pPr>
                                    <w:jc w:val="both"/>
                                    <w:rPr>
                                      <w:rFonts w:hint="default" w:eastAsia="宋体"/>
                                      <w:sz w:val="24"/>
                                      <w:szCs w:val="24"/>
                                      <w:lang w:val="en-US" w:eastAsia="zh-CN"/>
                                    </w:rPr>
                                  </w:pPr>
                                  <w:r>
                                    <w:rPr>
                                      <w:rFonts w:hint="eastAsia"/>
                                      <w:sz w:val="24"/>
                                      <w:szCs w:val="24"/>
                                      <w:lang w:val="en-US" w:eastAsia="zh-CN"/>
                                    </w:rPr>
                                    <w:t>过滤器</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7.2pt;margin-top:15.8pt;height:23.2pt;width:53.1pt;z-index:251768832;mso-width-relative:page;mso-height-relative:page;" fillcolor="#FFFFFF" filled="t" stroked="t" coordsize="21600,21600" o:gfxdata="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9u8KrdcAAAAJAQAADwAAAAAAAAABACAAAAAi&#10;AAAAZHJzL2Rvd25yZXYueG1sUEsBAhQAFAAAAAgAh07iQNHtjINEAgAAiwQAAA4AAAAAAAAAAQAg&#10;AAAAJgEAAGRycy9lMm9Eb2MueG1sUEsFBgAAAAAGAAYAWQEAANwFAAAAAA==&#10;">
                      <v:fill on="t" focussize="0,0"/>
                      <v:stroke color="#000000" miterlimit="8" joinstyle="miter"/>
                      <v:imagedata o:title=""/>
                      <o:lock v:ext="edit" aspectratio="f"/>
                      <v:textbox>
                        <w:txbxContent>
                          <w:p w14:paraId="347FACCA">
                            <w:pPr>
                              <w:jc w:val="both"/>
                              <w:rPr>
                                <w:rFonts w:hint="default" w:eastAsia="宋体"/>
                                <w:sz w:val="24"/>
                                <w:szCs w:val="24"/>
                                <w:lang w:val="en-US" w:eastAsia="zh-CN"/>
                              </w:rPr>
                            </w:pPr>
                            <w:r>
                              <w:rPr>
                                <w:rFonts w:hint="eastAsia"/>
                                <w:sz w:val="24"/>
                                <w:szCs w:val="24"/>
                                <w:lang w:val="en-US" w:eastAsia="zh-CN"/>
                              </w:rPr>
                              <w:t>过滤器</w:t>
                            </w:r>
                          </w:p>
                        </w:txbxContent>
                      </v:textbox>
                    </v:shape>
                  </w:pict>
                </mc:Fallback>
              </mc:AlternateContent>
            </w:r>
          </w:p>
          <w:p w14:paraId="5223F5F8">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rPr>
              <mc:AlternateContent>
                <mc:Choice Requires="wps">
                  <w:drawing>
                    <wp:anchor distT="0" distB="0" distL="114300" distR="114300" simplePos="0" relativeHeight="251785216" behindDoc="0" locked="0" layoutInCell="1" allowOverlap="1">
                      <wp:simplePos x="0" y="0"/>
                      <wp:positionH relativeFrom="column">
                        <wp:posOffset>3275330</wp:posOffset>
                      </wp:positionH>
                      <wp:positionV relativeFrom="paragraph">
                        <wp:posOffset>110490</wp:posOffset>
                      </wp:positionV>
                      <wp:extent cx="295275" cy="8255"/>
                      <wp:effectExtent l="0" t="31750" r="9525" b="36195"/>
                      <wp:wrapNone/>
                      <wp:docPr id="439" name="直接箭头连接符 204"/>
                      <wp:cNvGraphicFramePr/>
                      <a:graphic xmlns:a="http://schemas.openxmlformats.org/drawingml/2006/main">
                        <a:graphicData uri="http://schemas.microsoft.com/office/word/2010/wordprocessingShape">
                          <wps:wsp>
                            <wps:cNvCnPr/>
                            <wps:spPr>
                              <a:xfrm>
                                <a:off x="4794885" y="5307965"/>
                                <a:ext cx="295275" cy="8255"/>
                              </a:xfrm>
                              <a:prstGeom prst="straightConnector1">
                                <a:avLst/>
                              </a:prstGeom>
                              <a:ln w="12700" cmpd="sng">
                                <a:solidFill>
                                  <a:schemeClr val="tx1"/>
                                </a:solidFill>
                                <a:prstDash val="solid"/>
                                <a:tailEnd type="triangl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直接箭头连接符 204" o:spid="_x0000_s1026" o:spt="32" type="#_x0000_t32" style="position:absolute;left:0pt;margin-left:257.9pt;margin-top:8.7pt;height:0.65pt;width:23.25pt;z-index:251785216;mso-width-relative:page;mso-height-relative:page;" filled="f" stroked="t" coordsize="21600,21600" o:gfxdata="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9FXenXAAAACQEAAA8AAAAAAAAAAQAg&#10;AAAAIgAAAGRycy9kb3ducmV2LnhtbFBLAQIUABQAAAAIAIdO4kBCiQfpDwIAAN0DAAAOAAAAAAAA&#10;AAEAIAAAACYBAABkcnMvZTJvRG9jLnhtbFBLBQYAAAAABgAGAFkBAACnBQAAAAA=&#10;">
                      <v:fill on="f" focussize="0,0"/>
                      <v:stroke weight="1pt" color="#000000 [3213]" joinstyle="round" endarrow="block"/>
                      <v:imagedata o:title=""/>
                      <o:lock v:ext="edit" aspectratio="f"/>
                    </v:shape>
                  </w:pict>
                </mc:Fallback>
              </mc:AlternateContent>
            </w:r>
            <w:r>
              <w:rPr>
                <w:color w:val="auto"/>
                <w:sz w:val="24"/>
                <w:highlight w:val="none"/>
              </w:rPr>
              <mc:AlternateContent>
                <mc:Choice Requires="wps">
                  <w:drawing>
                    <wp:anchor distT="0" distB="0" distL="114300" distR="114300" simplePos="0" relativeHeight="251772928" behindDoc="0" locked="0" layoutInCell="1" allowOverlap="1">
                      <wp:simplePos x="0" y="0"/>
                      <wp:positionH relativeFrom="column">
                        <wp:posOffset>2591435</wp:posOffset>
                      </wp:positionH>
                      <wp:positionV relativeFrom="paragraph">
                        <wp:posOffset>242570</wp:posOffset>
                      </wp:positionV>
                      <wp:extent cx="635" cy="219075"/>
                      <wp:effectExtent l="37465" t="0" r="38100" b="9525"/>
                      <wp:wrapNone/>
                      <wp:docPr id="443"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04.05pt;margin-top:19.1pt;height:17.25pt;width:0.05pt;z-index:251772928;mso-width-relative:page;mso-height-relative:page;" filled="f" stroked="t" coordsize="21600,21600" o:gfxdata="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deZ309kAAAAJAQAADwAA&#10;AAAAAAABACAAAAAiAAAAZHJzL2Rvd25yZXYueG1sUEsBAhQAFAAAAAgAh07iQGq4TD/cAQAAowMA&#10;AA4AAAAAAAAAAQAgAAAAKAEAAGRycy9lMm9Eb2MueG1sUEsFBgAAAAAGAAYAWQEAAHYFAAAAAA==&#10;">
                      <v:fill on="f" focussize="0,0"/>
                      <v:stroke color="#000000" joinstyle="round" endarrow="block"/>
                      <v:imagedata o:title=""/>
                      <o:lock v:ext="edit" aspectratio="f"/>
                    </v:line>
                  </w:pict>
                </mc:Fallback>
              </mc:AlternateContent>
            </w:r>
          </w:p>
          <w:p w14:paraId="2B0C2F1B">
            <w:pPr>
              <w:pStyle w:val="2"/>
              <w:keepNext w:val="0"/>
              <w:keepLines w:val="0"/>
              <w:suppressLineNumbers w:val="0"/>
              <w:snapToGrid/>
              <w:spacing w:before="0" w:beforeAutospacing="0" w:after="0" w:afterAutospacing="0" w:line="360" w:lineRule="auto"/>
              <w:ind w:left="0" w:right="0"/>
              <w:rPr>
                <w:b/>
                <w:color w:val="auto"/>
                <w:sz w:val="24"/>
                <w:szCs w:val="24"/>
                <w:highlight w:val="none"/>
              </w:rPr>
            </w:pPr>
            <w:r>
              <w:rPr>
                <w:color w:val="auto"/>
                <w:highlight w:val="none"/>
              </w:rPr>
              <mc:AlternateContent>
                <mc:Choice Requires="wps">
                  <w:drawing>
                    <wp:anchor distT="0" distB="0" distL="114300" distR="114300" simplePos="0" relativeHeight="251786240" behindDoc="0" locked="0" layoutInCell="1" allowOverlap="1">
                      <wp:simplePos x="0" y="0"/>
                      <wp:positionH relativeFrom="column">
                        <wp:posOffset>1353820</wp:posOffset>
                      </wp:positionH>
                      <wp:positionV relativeFrom="paragraph">
                        <wp:posOffset>220980</wp:posOffset>
                      </wp:positionV>
                      <wp:extent cx="656590" cy="276225"/>
                      <wp:effectExtent l="0" t="0" r="0" b="0"/>
                      <wp:wrapNone/>
                      <wp:docPr id="442" name="Text Box 107"/>
                      <wp:cNvGraphicFramePr/>
                      <a:graphic xmlns:a="http://schemas.openxmlformats.org/drawingml/2006/main">
                        <a:graphicData uri="http://schemas.microsoft.com/office/word/2010/wordprocessingShape">
                          <wps:wsp>
                            <wps:cNvSpPr txBox="1">
                              <a:spLocks noChangeArrowheads="1"/>
                            </wps:cNvSpPr>
                            <wps:spPr bwMode="auto">
                              <a:xfrm>
                                <a:off x="0" y="0"/>
                                <a:ext cx="656590" cy="276225"/>
                              </a:xfrm>
                              <a:prstGeom prst="rect">
                                <a:avLst/>
                              </a:prstGeom>
                              <a:noFill/>
                              <a:ln>
                                <a:noFill/>
                              </a:ln>
                            </wps:spPr>
                            <wps:txbx>
                              <w:txbxContent>
                                <w:p w14:paraId="180B5B8D">
                                  <w:pPr>
                                    <w:jc w:val="center"/>
                                    <w:rPr>
                                      <w:rFonts w:hint="default" w:eastAsia="宋体"/>
                                      <w:b/>
                                      <w:bCs/>
                                      <w:color w:val="auto"/>
                                      <w:sz w:val="24"/>
                                      <w:szCs w:val="24"/>
                                      <w:lang w:val="en-US" w:eastAsia="zh-CN"/>
                                    </w:rPr>
                                  </w:pPr>
                                  <w:r>
                                    <w:rPr>
                                      <w:rFonts w:hint="eastAsia"/>
                                      <w:b/>
                                      <w:bCs/>
                                      <w:color w:val="auto"/>
                                      <w:sz w:val="24"/>
                                      <w:szCs w:val="24"/>
                                      <w:lang w:val="en-US" w:eastAsia="zh-CN"/>
                                    </w:rPr>
                                    <w:t>原项目</w:t>
                                  </w:r>
                                </w:p>
                              </w:txbxContent>
                            </wps:txbx>
                            <wps:bodyPr rot="0" vert="horz" wrap="square" lIns="91440" tIns="45720" rIns="91440" bIns="45720" anchor="t" anchorCtr="0" upright="1">
                              <a:noAutofit/>
                            </wps:bodyPr>
                          </wps:wsp>
                        </a:graphicData>
                      </a:graphic>
                    </wp:anchor>
                  </w:drawing>
                </mc:Choice>
                <mc:Fallback>
                  <w:pict>
                    <v:shape id="Text Box 107" o:spid="_x0000_s1026" o:spt="202" type="#_x0000_t202" style="position:absolute;left:0pt;margin-left:106.6pt;margin-top:17.4pt;height:21.75pt;width:51.7pt;z-index:251786240;mso-width-relative:page;mso-height-relative:page;" filled="f" stroked="f" coordsize="21600,21600" o:gfxdata="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CAjfzXAAAACQEAAA8AAAAAAAAAAQAgAAAAIgAA&#10;AGRycy9kb3ducmV2LnhtbFBLAQIUABQAAAAIAIdO4kC/YnZzCQIAABcEAAAOAAAAAAAAAAEAIAAA&#10;ACYBAABkcnMvZTJvRG9jLnhtbFBLBQYAAAAABgAGAFkBAAChBQAAAAA=&#10;">
                      <v:fill on="f" focussize="0,0"/>
                      <v:stroke on="f"/>
                      <v:imagedata o:title=""/>
                      <o:lock v:ext="edit" aspectratio="f"/>
                      <v:textbox>
                        <w:txbxContent>
                          <w:p w14:paraId="180B5B8D">
                            <w:pPr>
                              <w:jc w:val="center"/>
                              <w:rPr>
                                <w:rFonts w:hint="default" w:eastAsia="宋体"/>
                                <w:b/>
                                <w:bCs/>
                                <w:color w:val="auto"/>
                                <w:sz w:val="24"/>
                                <w:szCs w:val="24"/>
                                <w:lang w:val="en-US" w:eastAsia="zh-CN"/>
                              </w:rPr>
                            </w:pPr>
                            <w:r>
                              <w:rPr>
                                <w:rFonts w:hint="eastAsia"/>
                                <w:b/>
                                <w:bCs/>
                                <w:color w:val="auto"/>
                                <w:sz w:val="24"/>
                                <w:szCs w:val="24"/>
                                <w:lang w:val="en-US" w:eastAsia="zh-CN"/>
                              </w:rPr>
                              <w:t>原项目</w:t>
                            </w:r>
                          </w:p>
                        </w:txbxContent>
                      </v:textbox>
                    </v:shape>
                  </w:pict>
                </mc:Fallback>
              </mc:AlternateContent>
            </w:r>
            <w:r>
              <w:rPr>
                <w:color w:val="auto"/>
                <w:sz w:val="21"/>
                <w:highlight w:val="none"/>
              </w:rPr>
              <mc:AlternateContent>
                <mc:Choice Requires="wps">
                  <w:drawing>
                    <wp:anchor distT="0" distB="0" distL="114300" distR="114300" simplePos="0" relativeHeight="251761664" behindDoc="0" locked="0" layoutInCell="1" allowOverlap="1">
                      <wp:simplePos x="0" y="0"/>
                      <wp:positionH relativeFrom="column">
                        <wp:posOffset>2240915</wp:posOffset>
                      </wp:positionH>
                      <wp:positionV relativeFrom="paragraph">
                        <wp:posOffset>198755</wp:posOffset>
                      </wp:positionV>
                      <wp:extent cx="674370" cy="276225"/>
                      <wp:effectExtent l="4445" t="4445" r="6985" b="5080"/>
                      <wp:wrapNone/>
                      <wp:docPr id="447" name="文本框 1109"/>
                      <wp:cNvGraphicFramePr/>
                      <a:graphic xmlns:a="http://schemas.openxmlformats.org/drawingml/2006/main">
                        <a:graphicData uri="http://schemas.microsoft.com/office/word/2010/wordprocessingShape">
                          <wps:wsp>
                            <wps:cNvSpPr txBox="1">
                              <a:spLocks noChangeArrowheads="1"/>
                            </wps:cNvSpPr>
                            <wps:spPr bwMode="auto">
                              <a:xfrm>
                                <a:off x="3674745" y="4976495"/>
                                <a:ext cx="674370" cy="276225"/>
                              </a:xfrm>
                              <a:prstGeom prst="rect">
                                <a:avLst/>
                              </a:prstGeom>
                              <a:solidFill>
                                <a:srgbClr val="FFFFFF"/>
                              </a:solidFill>
                              <a:ln w="9525">
                                <a:solidFill>
                                  <a:srgbClr val="000000"/>
                                </a:solidFill>
                                <a:miter lim="800000"/>
                              </a:ln>
                            </wps:spPr>
                            <wps:txbx>
                              <w:txbxContent>
                                <w:p w14:paraId="14B3C941">
                                  <w:pPr>
                                    <w:jc w:val="both"/>
                                    <w:rPr>
                                      <w:rFonts w:hint="default" w:eastAsia="宋体"/>
                                      <w:sz w:val="24"/>
                                      <w:szCs w:val="24"/>
                                      <w:lang w:val="en-US" w:eastAsia="zh-CN"/>
                                    </w:rPr>
                                  </w:pPr>
                                  <w:r>
                                    <w:rPr>
                                      <w:rFonts w:hint="eastAsia"/>
                                      <w:sz w:val="24"/>
                                      <w:szCs w:val="24"/>
                                      <w:lang w:val="en-US" w:eastAsia="zh-CN"/>
                                    </w:rPr>
                                    <w:t>灌装机</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6.45pt;margin-top:15.65pt;height:21.75pt;width:53.1pt;z-index:251761664;mso-width-relative:page;mso-height-relative:page;" fillcolor="#FFFFFF" filled="t" stroked="t" coordsize="21600,21600" o:gfxdata="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FJpU1toAAAAJAQAADwAA&#10;AAAAAAABACAAAAAiAAAAZHJzL2Rvd25yZXYueG1sUEsBAhQAFAAAAAgAh07iQIJlurdNAgAAlwQA&#10;AA4AAAAAAAAAAQAgAAAAKQEAAGRycy9lMm9Eb2MueG1sUEsFBgAAAAAGAAYAWQEAAOgFAAAAAA==&#10;">
                      <v:fill on="t" focussize="0,0"/>
                      <v:stroke color="#000000" miterlimit="8" joinstyle="miter"/>
                      <v:imagedata o:title=""/>
                      <o:lock v:ext="edit" aspectratio="f"/>
                      <v:textbox>
                        <w:txbxContent>
                          <w:p w14:paraId="14B3C941">
                            <w:pPr>
                              <w:jc w:val="both"/>
                              <w:rPr>
                                <w:rFonts w:hint="default" w:eastAsia="宋体"/>
                                <w:sz w:val="24"/>
                                <w:szCs w:val="24"/>
                                <w:lang w:val="en-US" w:eastAsia="zh-CN"/>
                              </w:rPr>
                            </w:pPr>
                            <w:r>
                              <w:rPr>
                                <w:rFonts w:hint="eastAsia"/>
                                <w:sz w:val="24"/>
                                <w:szCs w:val="24"/>
                                <w:lang w:val="en-US" w:eastAsia="zh-CN"/>
                              </w:rPr>
                              <w:t>灌装机</w:t>
                            </w:r>
                          </w:p>
                        </w:txbxContent>
                      </v:textbox>
                    </v:shape>
                  </w:pict>
                </mc:Fallback>
              </mc:AlternateContent>
            </w:r>
          </w:p>
          <w:p w14:paraId="52F2D090">
            <w:pPr>
              <w:pStyle w:val="2"/>
              <w:keepNext w:val="0"/>
              <w:keepLines w:val="0"/>
              <w:suppressLineNumbers w:val="0"/>
              <w:snapToGrid/>
              <w:spacing w:before="0" w:beforeAutospacing="0" w:after="0" w:afterAutospacing="0" w:line="360" w:lineRule="auto"/>
              <w:ind w:left="0" w:right="0" w:firstLine="480" w:firstLineChars="200"/>
              <w:rPr>
                <w:b/>
                <w:color w:val="auto"/>
                <w:sz w:val="24"/>
                <w:szCs w:val="24"/>
                <w:highlight w:val="none"/>
              </w:rPr>
            </w:pPr>
            <w:r>
              <w:rPr>
                <w:color w:val="auto"/>
                <w:sz w:val="24"/>
                <w:highlight w:val="none"/>
              </w:rPr>
              <mc:AlternateContent>
                <mc:Choice Requires="wps">
                  <w:drawing>
                    <wp:anchor distT="0" distB="0" distL="114300" distR="114300" simplePos="0" relativeHeight="251773952" behindDoc="0" locked="0" layoutInCell="1" allowOverlap="1">
                      <wp:simplePos x="0" y="0"/>
                      <wp:positionH relativeFrom="column">
                        <wp:posOffset>2600960</wp:posOffset>
                      </wp:positionH>
                      <wp:positionV relativeFrom="paragraph">
                        <wp:posOffset>221615</wp:posOffset>
                      </wp:positionV>
                      <wp:extent cx="635" cy="219075"/>
                      <wp:effectExtent l="37465" t="0" r="38100" b="9525"/>
                      <wp:wrapNone/>
                      <wp:docPr id="448" name="直线 1110"/>
                      <wp:cNvGraphicFramePr/>
                      <a:graphic xmlns:a="http://schemas.openxmlformats.org/drawingml/2006/main">
                        <a:graphicData uri="http://schemas.microsoft.com/office/word/2010/wordprocessingShape">
                          <wps:wsp>
                            <wps:cNvCnPr/>
                            <wps:spPr bwMode="auto">
                              <a:xfrm>
                                <a:off x="0" y="0"/>
                                <a:ext cx="635" cy="219075"/>
                              </a:xfrm>
                              <a:prstGeom prst="line">
                                <a:avLst/>
                              </a:prstGeom>
                              <a:noFill/>
                              <a:ln w="9525">
                                <a:solidFill>
                                  <a:srgbClr val="000000"/>
                                </a:solidFill>
                                <a:round/>
                                <a:tailEnd type="triangle" w="med" len="med"/>
                              </a:ln>
                            </wps:spPr>
                            <wps:bodyPr/>
                          </wps:wsp>
                        </a:graphicData>
                      </a:graphic>
                    </wp:anchor>
                  </w:drawing>
                </mc:Choice>
                <mc:Fallback>
                  <w:pict>
                    <v:line id="直线 1110" o:spid="_x0000_s1026" o:spt="20" style="position:absolute;left:0pt;margin-left:204.8pt;margin-top:17.45pt;height:17.25pt;width:0.05pt;z-index:251773952;mso-width-relative:page;mso-height-relative:page;" filled="f" stroked="t" coordsize="21600,21600" o:gfxdata="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BFCgDaAAAACQEAAA8A&#10;AAAAAAAAAQAgAAAAIgAAAGRycy9kb3ducmV2LnhtbFBLAQIUABQAAAAIAIdO4kBFJMu93AEAAKMD&#10;AAAOAAAAAAAAAAEAIAAAACkBAABkcnMvZTJvRG9jLnhtbFBLBQYAAAAABgAGAFkBAAB3BQAAAAA=&#10;">
                      <v:fill on="f" focussize="0,0"/>
                      <v:stroke color="#000000" joinstyle="round" endarrow="block"/>
                      <v:imagedata o:title=""/>
                      <o:lock v:ext="edit" aspectratio="f"/>
                    </v:line>
                  </w:pict>
                </mc:Fallback>
              </mc:AlternateContent>
            </w:r>
          </w:p>
          <w:p w14:paraId="06AD9EB5">
            <w:pPr>
              <w:pStyle w:val="2"/>
              <w:keepNext w:val="0"/>
              <w:keepLines w:val="0"/>
              <w:suppressLineNumbers w:val="0"/>
              <w:snapToGrid/>
              <w:spacing w:before="0" w:beforeAutospacing="0" w:after="0" w:afterAutospacing="0" w:line="360" w:lineRule="auto"/>
              <w:ind w:left="0" w:right="0" w:firstLine="420" w:firstLineChars="200"/>
              <w:rPr>
                <w:b/>
                <w:color w:val="auto"/>
                <w:sz w:val="24"/>
                <w:szCs w:val="24"/>
                <w:highlight w:val="none"/>
              </w:rPr>
            </w:pPr>
            <w:r>
              <w:rPr>
                <w:color w:val="auto"/>
                <w:sz w:val="21"/>
                <w:highlight w:val="none"/>
              </w:rPr>
              <mc:AlternateContent>
                <mc:Choice Requires="wps">
                  <w:drawing>
                    <wp:anchor distT="0" distB="0" distL="114300" distR="114300" simplePos="0" relativeHeight="251774976" behindDoc="0" locked="0" layoutInCell="1" allowOverlap="1">
                      <wp:simplePos x="0" y="0"/>
                      <wp:positionH relativeFrom="column">
                        <wp:posOffset>2250440</wp:posOffset>
                      </wp:positionH>
                      <wp:positionV relativeFrom="paragraph">
                        <wp:posOffset>148590</wp:posOffset>
                      </wp:positionV>
                      <wp:extent cx="674370" cy="276225"/>
                      <wp:effectExtent l="0" t="0" r="0" b="0"/>
                      <wp:wrapNone/>
                      <wp:docPr id="449" name="文本框 1109"/>
                      <wp:cNvGraphicFramePr/>
                      <a:graphic xmlns:a="http://schemas.openxmlformats.org/drawingml/2006/main">
                        <a:graphicData uri="http://schemas.microsoft.com/office/word/2010/wordprocessingShape">
                          <wps:wsp>
                            <wps:cNvSpPr txBox="1">
                              <a:spLocks noChangeArrowheads="1"/>
                            </wps:cNvSpPr>
                            <wps:spPr bwMode="auto">
                              <a:xfrm>
                                <a:off x="0" y="0"/>
                                <a:ext cx="674370" cy="276225"/>
                              </a:xfrm>
                              <a:prstGeom prst="rect">
                                <a:avLst/>
                              </a:prstGeom>
                              <a:noFill/>
                              <a:ln w="9525">
                                <a:noFill/>
                                <a:miter lim="800000"/>
                              </a:ln>
                            </wps:spPr>
                            <wps:txbx>
                              <w:txbxContent>
                                <w:p w14:paraId="2B371C03">
                                  <w:pPr>
                                    <w:jc w:val="center"/>
                                    <w:rPr>
                                      <w:rFonts w:hint="default" w:eastAsia="宋体"/>
                                      <w:sz w:val="24"/>
                                      <w:szCs w:val="24"/>
                                      <w:lang w:val="en-US" w:eastAsia="zh-CN"/>
                                    </w:rPr>
                                  </w:pPr>
                                  <w:r>
                                    <w:rPr>
                                      <w:rFonts w:hint="eastAsia"/>
                                      <w:sz w:val="24"/>
                                      <w:szCs w:val="24"/>
                                      <w:lang w:val="en-US" w:eastAsia="zh-CN"/>
                                    </w:rPr>
                                    <w:t>产品</w:t>
                                  </w:r>
                                </w:p>
                              </w:txbxContent>
                            </wps:txbx>
                            <wps:bodyPr rot="0" vert="horz" wrap="square" lIns="91440" tIns="45720" rIns="91440" bIns="45720" anchor="t" anchorCtr="0" upright="1">
                              <a:noAutofit/>
                            </wps:bodyPr>
                          </wps:wsp>
                        </a:graphicData>
                      </a:graphic>
                    </wp:anchor>
                  </w:drawing>
                </mc:Choice>
                <mc:Fallback>
                  <w:pict>
                    <v:shape id="文本框 1109" o:spid="_x0000_s1026" o:spt="202" type="#_x0000_t202" style="position:absolute;left:0pt;margin-left:177.2pt;margin-top:11.7pt;height:21.75pt;width:53.1pt;z-index:251774976;mso-width-relative:page;mso-height-relative:page;" filled="f" stroked="f" coordsize="21600,21600" o:gfxdata="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8KfW2dcAAAAJAQAADwAAAAAAAAABACAAAAAiAAAAZHJzL2Rvd25yZXYueG1sUEsBAhQA&#10;FAAAAAgAh07iQM3YyPAsAgAAOQQAAA4AAAAAAAAAAQAgAAAAJgEAAGRycy9lMm9Eb2MueG1sUEsF&#10;BgAAAAAGAAYAWQEAAMQFAAAAAA==&#10;">
                      <v:fill on="f" focussize="0,0"/>
                      <v:stroke on="f" miterlimit="8" joinstyle="miter"/>
                      <v:imagedata o:title=""/>
                      <o:lock v:ext="edit" aspectratio="f"/>
                      <v:textbox>
                        <w:txbxContent>
                          <w:p w14:paraId="2B371C03">
                            <w:pPr>
                              <w:jc w:val="center"/>
                              <w:rPr>
                                <w:rFonts w:hint="default" w:eastAsia="宋体"/>
                                <w:sz w:val="24"/>
                                <w:szCs w:val="24"/>
                                <w:lang w:val="en-US" w:eastAsia="zh-CN"/>
                              </w:rPr>
                            </w:pPr>
                            <w:r>
                              <w:rPr>
                                <w:rFonts w:hint="eastAsia"/>
                                <w:sz w:val="24"/>
                                <w:szCs w:val="24"/>
                                <w:lang w:val="en-US" w:eastAsia="zh-CN"/>
                              </w:rPr>
                              <w:t>产品</w:t>
                            </w:r>
                          </w:p>
                        </w:txbxContent>
                      </v:textbox>
                    </v:shape>
                  </w:pict>
                </mc:Fallback>
              </mc:AlternateContent>
            </w:r>
          </w:p>
          <w:p w14:paraId="3671C2E5">
            <w:pPr>
              <w:keepNext w:val="0"/>
              <w:keepLines w:val="0"/>
              <w:suppressLineNumbers w:val="0"/>
              <w:spacing w:before="0" w:beforeAutospacing="0" w:after="0" w:afterAutospacing="0" w:line="360" w:lineRule="auto"/>
              <w:ind w:left="0" w:right="0" w:firstLine="480" w:firstLineChars="200"/>
              <w:rPr>
                <w:b/>
                <w:bCs/>
                <w:color w:val="auto"/>
                <w:sz w:val="24"/>
                <w:highlight w:val="none"/>
              </w:rPr>
            </w:pPr>
            <w:r>
              <w:rPr>
                <w:color w:val="auto"/>
                <w:sz w:val="24"/>
              </w:rPr>
              <mc:AlternateContent>
                <mc:Choice Requires="wpg">
                  <w:drawing>
                    <wp:anchor distT="0" distB="0" distL="114300" distR="114300" simplePos="0" relativeHeight="251862016" behindDoc="0" locked="0" layoutInCell="1" allowOverlap="1">
                      <wp:simplePos x="0" y="0"/>
                      <wp:positionH relativeFrom="column">
                        <wp:posOffset>3846830</wp:posOffset>
                      </wp:positionH>
                      <wp:positionV relativeFrom="paragraph">
                        <wp:posOffset>47625</wp:posOffset>
                      </wp:positionV>
                      <wp:extent cx="1143000" cy="675640"/>
                      <wp:effectExtent l="4445" t="4445" r="14605" b="5715"/>
                      <wp:wrapNone/>
                      <wp:docPr id="293" name="组合 293"/>
                      <wp:cNvGraphicFramePr/>
                      <a:graphic xmlns:a="http://schemas.openxmlformats.org/drawingml/2006/main">
                        <a:graphicData uri="http://schemas.microsoft.com/office/word/2010/wordprocessingGroup">
                          <wpg:wgp>
                            <wpg:cNvGrpSpPr/>
                            <wpg:grpSpPr>
                              <a:xfrm>
                                <a:off x="0" y="0"/>
                                <a:ext cx="1143000" cy="675640"/>
                                <a:chOff x="12480" y="625363"/>
                                <a:chExt cx="1800" cy="1064"/>
                              </a:xfrm>
                            </wpg:grpSpPr>
                            <wps:wsp>
                              <wps:cNvPr id="294" name="文本框 269"/>
                              <wps:cNvSpPr txBox="1"/>
                              <wps:spPr>
                                <a:xfrm>
                                  <a:off x="12480" y="625363"/>
                                  <a:ext cx="1800" cy="10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8A84B8">
                                    <w:pPr>
                                      <w:jc w:val="center"/>
                                      <w:rPr>
                                        <w:rFonts w:hint="eastAsia"/>
                                        <w:sz w:val="21"/>
                                        <w:szCs w:val="21"/>
                                        <w:lang w:val="en-US" w:eastAsia="zh-CN"/>
                                      </w:rPr>
                                    </w:pPr>
                                    <w:r>
                                      <w:rPr>
                                        <w:rFonts w:hint="eastAsia"/>
                                        <w:sz w:val="21"/>
                                        <w:szCs w:val="21"/>
                                        <w:lang w:val="en-US" w:eastAsia="zh-CN"/>
                                      </w:rPr>
                                      <w:t>图例</w:t>
                                    </w:r>
                                  </w:p>
                                  <w:p w14:paraId="7DD71013">
                                    <w:pPr>
                                      <w:pStyle w:val="2"/>
                                      <w:ind w:firstLine="840" w:firstLineChars="400"/>
                                      <w:rPr>
                                        <w:rFonts w:hint="eastAsia"/>
                                        <w:sz w:val="21"/>
                                        <w:szCs w:val="21"/>
                                        <w:lang w:val="en-US" w:eastAsia="zh-CN"/>
                                      </w:rPr>
                                    </w:pPr>
                                    <w:r>
                                      <w:rPr>
                                        <w:rFonts w:hint="eastAsia"/>
                                        <w:sz w:val="21"/>
                                        <w:szCs w:val="21"/>
                                        <w:lang w:val="en-US" w:eastAsia="zh-CN"/>
                                      </w:rPr>
                                      <w:t>本项目</w:t>
                                    </w:r>
                                  </w:p>
                                  <w:p w14:paraId="58BAEF40">
                                    <w:pPr>
                                      <w:pStyle w:val="2"/>
                                      <w:ind w:firstLine="840" w:firstLineChars="400"/>
                                      <w:rPr>
                                        <w:rFonts w:hint="default"/>
                                        <w:sz w:val="21"/>
                                        <w:szCs w:val="21"/>
                                        <w:lang w:val="en-US" w:eastAsia="zh-CN"/>
                                      </w:rPr>
                                    </w:pPr>
                                    <w:r>
                                      <w:rPr>
                                        <w:rFonts w:hint="eastAsia"/>
                                        <w:sz w:val="21"/>
                                        <w:szCs w:val="21"/>
                                        <w:lang w:val="en-US" w:eastAsia="zh-CN"/>
                                      </w:rPr>
                                      <w:t>原项目</w:t>
                                    </w:r>
                                  </w:p>
                                  <w:p w14:paraId="478FC612">
                                    <w:pPr>
                                      <w:pStyle w:val="2"/>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95" name="组合 286"/>
                              <wpg:cNvGrpSpPr/>
                              <wpg:grpSpPr>
                                <a:xfrm>
                                  <a:off x="12810" y="625803"/>
                                  <a:ext cx="376" cy="402"/>
                                  <a:chOff x="12810" y="625803"/>
                                  <a:chExt cx="376" cy="402"/>
                                </a:xfrm>
                              </wpg:grpSpPr>
                              <wps:wsp>
                                <wps:cNvPr id="296" name="矩形 284"/>
                                <wps:cNvSpPr/>
                                <wps:spPr>
                                  <a:xfrm>
                                    <a:off x="12810" y="625803"/>
                                    <a:ext cx="376" cy="163"/>
                                  </a:xfrm>
                                  <a:prstGeom prst="rect">
                                    <a:avLst/>
                                  </a:prstGeom>
                                  <a:noFill/>
                                  <a:ln w="12700" cmpd="sng">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7" name="矩形 285"/>
                                <wps:cNvSpPr/>
                                <wps:spPr>
                                  <a:xfrm>
                                    <a:off x="12810" y="626043"/>
                                    <a:ext cx="376" cy="163"/>
                                  </a:xfrm>
                                  <a:prstGeom prst="rect">
                                    <a:avLst/>
                                  </a:prstGeom>
                                  <a:noFill/>
                                  <a:ln w="12700"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302.9pt;margin-top:3.75pt;height:53.2pt;width:90pt;z-index:251862016;mso-width-relative:page;mso-height-relative:page;" coordorigin="12480,625363" coordsize="1800,1064" o:gfxdata="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">
                      <o:lock v:ext="edit" aspectratio="f"/>
                      <v:shape id="文本框 269" o:spid="_x0000_s1026" o:spt="202" type="#_x0000_t202" style="position:absolute;left:12480;top:625363;height:1065;width:1800;" fillcolor="#FFFFFF [3201]" filled="t" stroked="t" coordsize="21600,21600" o:gfxdata="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yw5M68AAAA&#10;3A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4B8A84B8">
                              <w:pPr>
                                <w:jc w:val="center"/>
                                <w:rPr>
                                  <w:rFonts w:hint="eastAsia"/>
                                  <w:sz w:val="21"/>
                                  <w:szCs w:val="21"/>
                                  <w:lang w:val="en-US" w:eastAsia="zh-CN"/>
                                </w:rPr>
                              </w:pPr>
                              <w:r>
                                <w:rPr>
                                  <w:rFonts w:hint="eastAsia"/>
                                  <w:sz w:val="21"/>
                                  <w:szCs w:val="21"/>
                                  <w:lang w:val="en-US" w:eastAsia="zh-CN"/>
                                </w:rPr>
                                <w:t>图例</w:t>
                              </w:r>
                            </w:p>
                            <w:p w14:paraId="7DD71013">
                              <w:pPr>
                                <w:pStyle w:val="2"/>
                                <w:ind w:firstLine="840" w:firstLineChars="400"/>
                                <w:rPr>
                                  <w:rFonts w:hint="eastAsia"/>
                                  <w:sz w:val="21"/>
                                  <w:szCs w:val="21"/>
                                  <w:lang w:val="en-US" w:eastAsia="zh-CN"/>
                                </w:rPr>
                              </w:pPr>
                              <w:r>
                                <w:rPr>
                                  <w:rFonts w:hint="eastAsia"/>
                                  <w:sz w:val="21"/>
                                  <w:szCs w:val="21"/>
                                  <w:lang w:val="en-US" w:eastAsia="zh-CN"/>
                                </w:rPr>
                                <w:t>本项目</w:t>
                              </w:r>
                            </w:p>
                            <w:p w14:paraId="58BAEF40">
                              <w:pPr>
                                <w:pStyle w:val="2"/>
                                <w:ind w:firstLine="840" w:firstLineChars="400"/>
                                <w:rPr>
                                  <w:rFonts w:hint="default"/>
                                  <w:sz w:val="21"/>
                                  <w:szCs w:val="21"/>
                                  <w:lang w:val="en-US" w:eastAsia="zh-CN"/>
                                </w:rPr>
                              </w:pPr>
                              <w:r>
                                <w:rPr>
                                  <w:rFonts w:hint="eastAsia"/>
                                  <w:sz w:val="21"/>
                                  <w:szCs w:val="21"/>
                                  <w:lang w:val="en-US" w:eastAsia="zh-CN"/>
                                </w:rPr>
                                <w:t>原项目</w:t>
                              </w:r>
                            </w:p>
                            <w:p w14:paraId="478FC612">
                              <w:pPr>
                                <w:pStyle w:val="2"/>
                                <w:rPr>
                                  <w:rFonts w:hint="eastAsia"/>
                                  <w:lang w:val="en-US" w:eastAsia="zh-CN"/>
                                </w:rPr>
                              </w:pPr>
                            </w:p>
                          </w:txbxContent>
                        </v:textbox>
                      </v:shape>
                      <v:group id="组合 286" o:spid="_x0000_s1026" o:spt="203" style="position:absolute;left:12810;top:625803;height:402;width:376;" coordorigin="12810,625803" coordsize="376,402" o:gfxdata="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7CyrK+AAAA3AAAAA8AAAAAAAAAAQAgAAAAIgAAAGRycy9kb3ducmV2Lnht&#10;bFBLAQIUABQAAAAIAIdO4kAzLwWeOwAAADkAAAAVAAAAAAAAAAEAIAAAAA0BAABkcnMvZ3JvdXBz&#10;aGFwZXhtbC54bWxQSwUGAAAAAAYABgBgAQAAygMAAAAA&#10;">
                        <o:lock v:ext="edit" aspectratio="f"/>
                        <v:rect id="矩形 284" o:spid="_x0000_s1026" o:spt="1" style="position:absolute;left:12810;top:625803;height:163;width:376;v-text-anchor:middle;" filled="f" stroked="t" coordsize="21600,21600" o:gfxdata="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hvLovQAA&#10;ANwAAAAPAAAAAAAAAAEAIAAAACIAAABkcnMvZG93bnJldi54bWxQSwECFAAUAAAACACHTuJAMy8F&#10;njsAAAA5AAAAEAAAAAAAAAABACAAAAAMAQAAZHJzL3NoYXBleG1sLnhtbFBLBQYAAAAABgAGAFsB&#10;AAC2AwAAAAA=&#10;">
                          <v:fill on="f" focussize="0,0"/>
                          <v:stroke weight="1pt" color="#000000 [3213]" joinstyle="round" dashstyle="dash"/>
                          <v:imagedata o:title=""/>
                          <o:lock v:ext="edit" aspectratio="f"/>
                        </v:rect>
                        <v:rect id="矩形 285" o:spid="_x0000_s1026" o:spt="1" style="position:absolute;left:12810;top:626043;height:163;width:376;v-text-anchor:middle;" filled="f" stroked="t" coordsize="21600,21600" o:gfxdata="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1o/zi/&#10;AAAA3AAAAA8AAAAAAAAAAQAgAAAAIgAAAGRycy9kb3ducmV2LnhtbFBLAQIUABQAAAAIAIdO4kAz&#10;LwWeOwAAADkAAAAQAAAAAAAAAAEAIAAAAA4BAABkcnMvc2hhcGV4bWwueG1sUEsFBgAAAAAGAAYA&#10;WwEAALgDAAAAAA==&#10;">
                          <v:fill on="f" focussize="0,0"/>
                          <v:stroke weight="1pt" color="#000000 [3213]" joinstyle="round"/>
                          <v:imagedata o:title=""/>
                          <o:lock v:ext="edit" aspectratio="f"/>
                        </v:rect>
                      </v:group>
                    </v:group>
                  </w:pict>
                </mc:Fallback>
              </mc:AlternateContent>
            </w:r>
          </w:p>
          <w:p w14:paraId="49020A3F">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67AA8B34">
            <w:pPr>
              <w:pStyle w:val="2"/>
              <w:keepNext w:val="0"/>
              <w:keepLines w:val="0"/>
              <w:suppressLineNumbers w:val="0"/>
              <w:spacing w:before="0" w:beforeAutospacing="0" w:after="0" w:afterAutospacing="0" w:line="360" w:lineRule="auto"/>
              <w:ind w:left="0" w:right="0"/>
              <w:jc w:val="center"/>
              <w:rPr>
                <w:rFonts w:hint="eastAsia"/>
                <w:b/>
                <w:color w:val="auto"/>
                <w:sz w:val="24"/>
                <w:szCs w:val="24"/>
                <w:highlight w:val="none"/>
              </w:rPr>
            </w:pPr>
          </w:p>
          <w:p w14:paraId="0A3668AB">
            <w:pPr>
              <w:pStyle w:val="2"/>
              <w:keepNext w:val="0"/>
              <w:keepLines w:val="0"/>
              <w:suppressLineNumbers w:val="0"/>
              <w:spacing w:before="0" w:beforeAutospacing="0" w:after="0" w:afterAutospacing="0" w:line="360" w:lineRule="auto"/>
              <w:ind w:left="0" w:right="0"/>
              <w:jc w:val="center"/>
              <w:rPr>
                <w:rFonts w:hint="eastAsia" w:ascii="Times New Roman" w:hAnsi="Times New Roman" w:cs="Times New Roman"/>
                <w:bCs/>
                <w:color w:val="auto"/>
                <w:sz w:val="24"/>
                <w:highlight w:val="none"/>
              </w:rPr>
            </w:pPr>
            <w:r>
              <w:rPr>
                <w:rFonts w:hint="eastAsia"/>
                <w:b/>
                <w:color w:val="auto"/>
                <w:sz w:val="24"/>
                <w:szCs w:val="24"/>
                <w:highlight w:val="none"/>
              </w:rPr>
              <w:t>图</w:t>
            </w:r>
            <w:r>
              <w:rPr>
                <w:rFonts w:hint="eastAsia"/>
                <w:b/>
                <w:color w:val="auto"/>
                <w:sz w:val="24"/>
                <w:szCs w:val="24"/>
                <w:highlight w:val="none"/>
                <w:lang w:val="en-US" w:eastAsia="zh-CN"/>
              </w:rPr>
              <w:t>10</w:t>
            </w:r>
            <w:r>
              <w:rPr>
                <w:rFonts w:hint="eastAsia"/>
                <w:b/>
                <w:color w:val="auto"/>
                <w:sz w:val="24"/>
                <w:szCs w:val="24"/>
                <w:highlight w:val="none"/>
              </w:rPr>
              <w:t xml:space="preserve">  </w:t>
            </w:r>
            <w:r>
              <w:rPr>
                <w:rFonts w:hint="eastAsia"/>
                <w:b/>
                <w:color w:val="auto"/>
                <w:sz w:val="24"/>
                <w:szCs w:val="24"/>
                <w:highlight w:val="none"/>
                <w:lang w:val="en-US" w:eastAsia="zh-CN"/>
              </w:rPr>
              <w:t>凡士林生产</w:t>
            </w:r>
            <w:r>
              <w:rPr>
                <w:rFonts w:hint="eastAsia"/>
                <w:b/>
                <w:color w:val="auto"/>
                <w:sz w:val="24"/>
                <w:szCs w:val="24"/>
                <w:highlight w:val="none"/>
              </w:rPr>
              <w:t>工艺流程</w:t>
            </w:r>
          </w:p>
          <w:p w14:paraId="1C59226C">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cs="Times New Roman"/>
                <w:bCs/>
                <w:color w:val="auto"/>
                <w:sz w:val="24"/>
                <w:highlight w:val="none"/>
                <w:lang w:val="en-US" w:eastAsia="zh-CN"/>
              </w:rPr>
            </w:pPr>
            <w:r>
              <w:rPr>
                <w:rFonts w:hint="eastAsia" w:cs="Times New Roman"/>
                <w:bCs/>
                <w:color w:val="auto"/>
                <w:sz w:val="24"/>
                <w:highlight w:val="none"/>
                <w:lang w:val="en-US" w:eastAsia="zh-CN"/>
              </w:rPr>
              <w:t>工艺流程简述：</w:t>
            </w:r>
          </w:p>
          <w:p w14:paraId="4A852628">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color w:val="auto"/>
                <w:highlight w:val="none"/>
                <w:lang w:val="en-US" w:eastAsia="zh-CN"/>
              </w:rPr>
            </w:pPr>
            <w:r>
              <w:rPr>
                <w:rFonts w:hint="eastAsia" w:cs="Times New Roman"/>
                <w:bCs/>
                <w:color w:val="auto"/>
                <w:sz w:val="24"/>
                <w:highlight w:val="none"/>
                <w:lang w:val="en-US" w:eastAsia="zh-CN"/>
              </w:rPr>
              <w:t>固体原料投加方式：人工拆包，经计量后通过加料口，人工加入调和罐；</w:t>
            </w:r>
          </w:p>
          <w:p w14:paraId="5FD50AC2">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bCs/>
                <w:color w:val="auto"/>
                <w:sz w:val="24"/>
                <w:highlight w:val="none"/>
                <w:lang w:val="en-US" w:eastAsia="zh-CN"/>
              </w:rPr>
            </w:pPr>
            <w:r>
              <w:rPr>
                <w:rFonts w:hint="eastAsia" w:cs="Times New Roman"/>
                <w:bCs/>
                <w:color w:val="auto"/>
                <w:sz w:val="24"/>
                <w:highlight w:val="none"/>
                <w:lang w:val="en-US" w:eastAsia="zh-CN"/>
              </w:rPr>
              <w:t>液体原料投加方式：</w:t>
            </w:r>
            <w:r>
              <w:rPr>
                <w:rFonts w:hint="eastAsia" w:ascii="Times New Roman" w:hAnsi="Times New Roman" w:cs="Times New Roman"/>
                <w:bCs/>
                <w:color w:val="auto"/>
                <w:sz w:val="24"/>
                <w:highlight w:val="none"/>
                <w:lang w:eastAsia="zh-CN"/>
              </w:rPr>
              <w:t>在罐区调和好的56-66#全精炼石蜡，通过齿轮泵由罐区输送至石蜡调和罐</w:t>
            </w:r>
            <w:r>
              <w:rPr>
                <w:rFonts w:hint="eastAsia" w:cs="Times New Roman"/>
                <w:bCs/>
                <w:color w:val="auto"/>
                <w:sz w:val="24"/>
                <w:highlight w:val="none"/>
                <w:lang w:eastAsia="zh-CN"/>
              </w:rPr>
              <w:t>；</w:t>
            </w:r>
          </w:p>
          <w:p w14:paraId="05D9DFEA">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cs="Times New Roman"/>
                <w:bCs/>
                <w:color w:val="auto"/>
                <w:sz w:val="24"/>
                <w:highlight w:val="none"/>
              </w:rPr>
            </w:pPr>
            <w:r>
              <w:rPr>
                <w:rFonts w:hint="eastAsia" w:ascii="Times New Roman" w:hAnsi="Times New Roman" w:cs="Times New Roman"/>
                <w:bCs/>
                <w:color w:val="auto"/>
                <w:sz w:val="24"/>
                <w:highlight w:val="none"/>
              </w:rPr>
              <w:t>调和罐配有搅拌器，将全精炼石蜡、特种油、香精搅拌均匀并加热至85-90℃（采用导热油间接加热）。调和好的全精炼石蜡、特种油、香精先经预冷器用循环水预冷，然后经过滤器过滤其中杂质后，进入自动灌装机灌入小桶或纸盒内，自然冷却后，包装入库。</w:t>
            </w:r>
          </w:p>
          <w:p w14:paraId="38C141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4"/>
                <w:highlight w:val="none"/>
                <w:lang w:eastAsia="zh-CN"/>
              </w:rPr>
            </w:pPr>
            <w:r>
              <w:rPr>
                <w:color w:val="auto"/>
                <w:sz w:val="24"/>
                <w:highlight w:val="none"/>
                <w:lang w:eastAsia="zh-CN"/>
              </w:rPr>
              <w:t>表2-</w:t>
            </w:r>
            <w:r>
              <w:rPr>
                <w:rFonts w:hint="eastAsia"/>
                <w:color w:val="auto"/>
                <w:sz w:val="24"/>
                <w:highlight w:val="none"/>
                <w:lang w:val="en-US" w:eastAsia="zh-CN"/>
              </w:rPr>
              <w:t>13  凡士林</w:t>
            </w:r>
            <w:r>
              <w:rPr>
                <w:color w:val="auto"/>
                <w:sz w:val="24"/>
                <w:highlight w:val="none"/>
                <w:lang w:eastAsia="zh-CN"/>
              </w:rPr>
              <w:t>物料平衡表</w:t>
            </w:r>
            <w:r>
              <w:rPr>
                <w:rFonts w:hint="eastAsia"/>
                <w:color w:val="auto"/>
                <w:sz w:val="24"/>
                <w:highlight w:val="none"/>
                <w:lang w:val="en-US" w:eastAsia="zh-CN"/>
              </w:rPr>
              <w:t xml:space="preserve">  </w:t>
            </w:r>
            <w:r>
              <w:rPr>
                <w:color w:val="auto"/>
                <w:sz w:val="24"/>
                <w:highlight w:val="none"/>
                <w:lang w:eastAsia="zh-CN"/>
              </w:rPr>
              <w:t>单位t/a</w:t>
            </w:r>
          </w:p>
          <w:tbl>
            <w:tblPr>
              <w:tblStyle w:val="2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4"/>
              <w:gridCol w:w="1474"/>
              <w:gridCol w:w="2048"/>
              <w:gridCol w:w="1105"/>
            </w:tblGrid>
            <w:tr w14:paraId="623F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9" w:type="pct"/>
                  <w:gridSpan w:val="2"/>
                  <w:tcBorders>
                    <w:tl2br w:val="nil"/>
                    <w:tr2bl w:val="nil"/>
                  </w:tcBorders>
                  <w:vAlign w:val="center"/>
                </w:tcPr>
                <w:p w14:paraId="1AA92CB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投入</w:t>
                  </w:r>
                </w:p>
              </w:tc>
              <w:tc>
                <w:tcPr>
                  <w:tcW w:w="2000" w:type="pct"/>
                  <w:gridSpan w:val="2"/>
                  <w:tcBorders>
                    <w:tl2br w:val="nil"/>
                    <w:tr2bl w:val="nil"/>
                  </w:tcBorders>
                  <w:vAlign w:val="center"/>
                </w:tcPr>
                <w:p w14:paraId="4C7E01E3">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产出</w:t>
                  </w:r>
                </w:p>
              </w:tc>
            </w:tr>
            <w:tr w14:paraId="3B89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vAlign w:val="center"/>
                </w:tcPr>
                <w:p w14:paraId="70AE3B8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w:t>
                  </w:r>
                </w:p>
              </w:tc>
              <w:tc>
                <w:tcPr>
                  <w:tcW w:w="935" w:type="pct"/>
                  <w:tcBorders>
                    <w:tl2br w:val="nil"/>
                    <w:tr2bl w:val="nil"/>
                  </w:tcBorders>
                  <w:vAlign w:val="center"/>
                </w:tcPr>
                <w:p w14:paraId="3A631B4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1299" w:type="pct"/>
                  <w:tcBorders>
                    <w:tl2br w:val="nil"/>
                    <w:tr2bl w:val="nil"/>
                  </w:tcBorders>
                  <w:vAlign w:val="center"/>
                </w:tcPr>
                <w:p w14:paraId="0E3BA16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w:t>
                  </w:r>
                </w:p>
              </w:tc>
              <w:tc>
                <w:tcPr>
                  <w:tcW w:w="701" w:type="pct"/>
                  <w:tcBorders>
                    <w:tl2br w:val="nil"/>
                    <w:tr2bl w:val="nil"/>
                  </w:tcBorders>
                  <w:vAlign w:val="center"/>
                </w:tcPr>
                <w:p w14:paraId="4E72BDE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r>
            <w:tr w14:paraId="196C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shd w:val="clear" w:color="auto" w:fill="auto"/>
                  <w:vAlign w:val="center"/>
                </w:tcPr>
                <w:p w14:paraId="44A92F1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56-66#全精炼石蜡</w:t>
                  </w:r>
                </w:p>
              </w:tc>
              <w:tc>
                <w:tcPr>
                  <w:tcW w:w="935" w:type="pct"/>
                  <w:tcBorders>
                    <w:tl2br w:val="nil"/>
                    <w:tr2bl w:val="nil"/>
                  </w:tcBorders>
                  <w:vAlign w:val="center"/>
                </w:tcPr>
                <w:p w14:paraId="50BF22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7010</w:t>
                  </w:r>
                </w:p>
              </w:tc>
              <w:tc>
                <w:tcPr>
                  <w:tcW w:w="1299" w:type="pct"/>
                  <w:tcBorders>
                    <w:tl2br w:val="nil"/>
                    <w:tr2bl w:val="nil"/>
                  </w:tcBorders>
                  <w:vAlign w:val="center"/>
                </w:tcPr>
                <w:p w14:paraId="13DC337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凡士林</w:t>
                  </w:r>
                </w:p>
              </w:tc>
              <w:tc>
                <w:tcPr>
                  <w:tcW w:w="701" w:type="pct"/>
                  <w:tcBorders>
                    <w:tl2br w:val="nil"/>
                    <w:tr2bl w:val="nil"/>
                  </w:tcBorders>
                  <w:vAlign w:val="center"/>
                </w:tcPr>
                <w:p w14:paraId="01D038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9999</w:t>
                  </w:r>
                </w:p>
              </w:tc>
            </w:tr>
            <w:tr w14:paraId="61B1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shd w:val="clear" w:color="auto" w:fill="auto"/>
                  <w:vAlign w:val="center"/>
                </w:tcPr>
                <w:p w14:paraId="1D7F720D">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特种油（脱蜡油、蜡下油）</w:t>
                  </w:r>
                </w:p>
              </w:tc>
              <w:tc>
                <w:tcPr>
                  <w:tcW w:w="935" w:type="pct"/>
                  <w:tcBorders>
                    <w:tl2br w:val="nil"/>
                    <w:tr2bl w:val="nil"/>
                  </w:tcBorders>
                  <w:vAlign w:val="center"/>
                </w:tcPr>
                <w:p w14:paraId="4A4357F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2985</w:t>
                  </w:r>
                </w:p>
              </w:tc>
              <w:tc>
                <w:tcPr>
                  <w:tcW w:w="1299" w:type="pct"/>
                  <w:tcBorders>
                    <w:tl2br w:val="nil"/>
                    <w:tr2bl w:val="nil"/>
                  </w:tcBorders>
                  <w:shd w:val="clear" w:color="auto" w:fill="auto"/>
                  <w:vAlign w:val="center"/>
                </w:tcPr>
                <w:p w14:paraId="4B8720E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过滤杂质</w:t>
                  </w:r>
                </w:p>
              </w:tc>
              <w:tc>
                <w:tcPr>
                  <w:tcW w:w="701" w:type="pct"/>
                  <w:tcBorders>
                    <w:tl2br w:val="nil"/>
                    <w:tr2bl w:val="nil"/>
                  </w:tcBorders>
                  <w:shd w:val="clear" w:color="auto" w:fill="auto"/>
                  <w:vAlign w:val="center"/>
                </w:tcPr>
                <w:p w14:paraId="1EA777A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0.1</w:t>
                  </w:r>
                </w:p>
              </w:tc>
            </w:tr>
            <w:tr w14:paraId="0AA0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shd w:val="clear" w:color="auto" w:fill="auto"/>
                  <w:vAlign w:val="center"/>
                </w:tcPr>
                <w:p w14:paraId="6F8F00B5">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添加剂（香精）</w:t>
                  </w:r>
                </w:p>
              </w:tc>
              <w:tc>
                <w:tcPr>
                  <w:tcW w:w="935" w:type="pct"/>
                  <w:tcBorders>
                    <w:tl2br w:val="nil"/>
                    <w:tr2bl w:val="nil"/>
                  </w:tcBorders>
                  <w:vAlign w:val="center"/>
                </w:tcPr>
                <w:p w14:paraId="65B290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w:t>
                  </w:r>
                </w:p>
              </w:tc>
              <w:tc>
                <w:tcPr>
                  <w:tcW w:w="1299" w:type="pct"/>
                  <w:tcBorders>
                    <w:tl2br w:val="nil"/>
                    <w:tr2bl w:val="nil"/>
                  </w:tcBorders>
                  <w:shd w:val="clear" w:color="auto" w:fill="auto"/>
                  <w:vAlign w:val="center"/>
                </w:tcPr>
                <w:p w14:paraId="2273C84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落地石蜡等</w:t>
                  </w:r>
                </w:p>
              </w:tc>
              <w:tc>
                <w:tcPr>
                  <w:tcW w:w="701" w:type="pct"/>
                  <w:tcBorders>
                    <w:tl2br w:val="nil"/>
                    <w:tr2bl w:val="nil"/>
                  </w:tcBorders>
                  <w:shd w:val="clear" w:color="auto" w:fill="auto"/>
                  <w:vAlign w:val="center"/>
                </w:tcPr>
                <w:p w14:paraId="6B13615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0.9</w:t>
                  </w:r>
                </w:p>
              </w:tc>
            </w:tr>
            <w:tr w14:paraId="420F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4" w:type="pct"/>
                  <w:tcBorders>
                    <w:tl2br w:val="nil"/>
                    <w:tr2bl w:val="nil"/>
                  </w:tcBorders>
                  <w:shd w:val="clear" w:color="auto" w:fill="auto"/>
                  <w:vAlign w:val="center"/>
                </w:tcPr>
                <w:p w14:paraId="2BCF767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935" w:type="pct"/>
                  <w:tcBorders>
                    <w:tl2br w:val="nil"/>
                    <w:tr2bl w:val="nil"/>
                  </w:tcBorders>
                  <w:shd w:val="clear" w:color="auto" w:fill="auto"/>
                  <w:vAlign w:val="center"/>
                </w:tcPr>
                <w:p w14:paraId="72E2177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1</w:t>
                  </w:r>
                  <w:r>
                    <w:rPr>
                      <w:rFonts w:hint="default" w:ascii="Times New Roman" w:hAnsi="Times New Roman" w:cs="Times New Roman"/>
                      <w:color w:val="auto"/>
                      <w:szCs w:val="21"/>
                      <w:highlight w:val="none"/>
                    </w:rPr>
                    <w:t>000</w:t>
                  </w:r>
                  <w:r>
                    <w:rPr>
                      <w:rFonts w:hint="default" w:ascii="Times New Roman" w:hAnsi="Times New Roman" w:cs="Times New Roman"/>
                      <w:color w:val="auto"/>
                      <w:szCs w:val="21"/>
                      <w:highlight w:val="none"/>
                      <w:lang w:val="en-US" w:eastAsia="zh-CN"/>
                    </w:rPr>
                    <w:t>0</w:t>
                  </w:r>
                </w:p>
              </w:tc>
              <w:tc>
                <w:tcPr>
                  <w:tcW w:w="1299" w:type="pct"/>
                  <w:tcBorders>
                    <w:tl2br w:val="nil"/>
                    <w:tr2bl w:val="nil"/>
                  </w:tcBorders>
                  <w:shd w:val="clear" w:color="auto" w:fill="auto"/>
                  <w:vAlign w:val="center"/>
                </w:tcPr>
                <w:p w14:paraId="15A89C8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701" w:type="pct"/>
                  <w:tcBorders>
                    <w:tl2br w:val="nil"/>
                    <w:tr2bl w:val="nil"/>
                  </w:tcBorders>
                  <w:shd w:val="clear" w:color="auto" w:fill="auto"/>
                  <w:vAlign w:val="center"/>
                </w:tcPr>
                <w:p w14:paraId="67DA899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r>
                    <w:rPr>
                      <w:rFonts w:hint="default" w:ascii="Times New Roman" w:hAnsi="Times New Roman" w:cs="Times New Roman"/>
                      <w:color w:val="auto"/>
                      <w:szCs w:val="21"/>
                      <w:highlight w:val="none"/>
                      <w:lang w:val="en-US" w:eastAsia="zh-CN"/>
                    </w:rPr>
                    <w:t>0000</w:t>
                  </w:r>
                </w:p>
              </w:tc>
            </w:tr>
          </w:tbl>
          <w:p w14:paraId="0F9F90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b/>
                <w:bCs/>
                <w:color w:val="auto"/>
                <w:sz w:val="24"/>
                <w:highlight w:val="none"/>
              </w:rPr>
            </w:pPr>
            <w:r>
              <w:rPr>
                <w:b/>
                <w:bCs/>
                <w:color w:val="auto"/>
                <w:sz w:val="24"/>
                <w:highlight w:val="none"/>
              </w:rPr>
              <w:t>产污情况分析</w:t>
            </w:r>
          </w:p>
          <w:p w14:paraId="0888B9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Cs/>
                <w:color w:val="auto"/>
                <w:sz w:val="24"/>
                <w:highlight w:val="none"/>
              </w:rPr>
            </w:pPr>
            <w:r>
              <w:rPr>
                <w:color w:val="auto"/>
                <w:sz w:val="24"/>
                <w:highlight w:val="none"/>
              </w:rPr>
              <w:t>表2-</w:t>
            </w:r>
            <w:r>
              <w:rPr>
                <w:rFonts w:hint="eastAsia"/>
                <w:color w:val="auto"/>
                <w:sz w:val="24"/>
                <w:highlight w:val="none"/>
                <w:lang w:val="en-US" w:eastAsia="zh-CN"/>
              </w:rPr>
              <w:t>14</w:t>
            </w:r>
            <w:r>
              <w:rPr>
                <w:b/>
                <w:color w:val="auto"/>
                <w:sz w:val="24"/>
                <w:highlight w:val="none"/>
              </w:rPr>
              <w:t xml:space="preserve">  </w:t>
            </w:r>
            <w:r>
              <w:rPr>
                <w:bCs/>
                <w:color w:val="auto"/>
                <w:sz w:val="24"/>
                <w:highlight w:val="none"/>
              </w:rPr>
              <w:t>目主要产污工序及污染物对照表</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010"/>
              <w:gridCol w:w="1300"/>
              <w:gridCol w:w="1478"/>
              <w:gridCol w:w="3424"/>
            </w:tblGrid>
            <w:tr w14:paraId="774A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tcBorders>
                    <w:tl2br w:val="nil"/>
                    <w:tr2bl w:val="nil"/>
                  </w:tcBorders>
                  <w:vAlign w:val="center"/>
                </w:tcPr>
                <w:p w14:paraId="74F4A489">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b w:val="0"/>
                      <w:bCs w:val="0"/>
                      <w:color w:val="auto"/>
                      <w:highlight w:val="none"/>
                    </w:rPr>
                    <w:t>类别</w:t>
                  </w:r>
                </w:p>
              </w:tc>
              <w:tc>
                <w:tcPr>
                  <w:tcW w:w="641" w:type="pct"/>
                  <w:tcBorders>
                    <w:tl2br w:val="nil"/>
                    <w:tr2bl w:val="nil"/>
                  </w:tcBorders>
                  <w:vAlign w:val="center"/>
                </w:tcPr>
                <w:p w14:paraId="0E82D7C2">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b w:val="0"/>
                      <w:bCs w:val="0"/>
                      <w:color w:val="auto"/>
                      <w:highlight w:val="none"/>
                    </w:rPr>
                    <w:t>编号</w:t>
                  </w:r>
                </w:p>
              </w:tc>
              <w:tc>
                <w:tcPr>
                  <w:tcW w:w="825" w:type="pct"/>
                  <w:tcBorders>
                    <w:tl2br w:val="nil"/>
                    <w:tr2bl w:val="nil"/>
                  </w:tcBorders>
                  <w:vAlign w:val="center"/>
                </w:tcPr>
                <w:p w14:paraId="4A397BFB">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b w:val="0"/>
                      <w:bCs w:val="0"/>
                      <w:color w:val="auto"/>
                      <w:highlight w:val="none"/>
                    </w:rPr>
                    <w:t>污染工序</w:t>
                  </w:r>
                </w:p>
              </w:tc>
              <w:tc>
                <w:tcPr>
                  <w:tcW w:w="938" w:type="pct"/>
                  <w:tcBorders>
                    <w:tl2br w:val="nil"/>
                    <w:tr2bl w:val="nil"/>
                  </w:tcBorders>
                  <w:vAlign w:val="center"/>
                </w:tcPr>
                <w:p w14:paraId="00A241C6">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b w:val="0"/>
                      <w:bCs w:val="0"/>
                      <w:color w:val="auto"/>
                      <w:highlight w:val="none"/>
                    </w:rPr>
                    <w:t>污染物名称</w:t>
                  </w:r>
                </w:p>
              </w:tc>
              <w:tc>
                <w:tcPr>
                  <w:tcW w:w="2173" w:type="pct"/>
                  <w:tcBorders>
                    <w:tl2br w:val="nil"/>
                    <w:tr2bl w:val="nil"/>
                  </w:tcBorders>
                  <w:vAlign w:val="center"/>
                </w:tcPr>
                <w:p w14:paraId="0B5A6F3A">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b w:val="0"/>
                      <w:bCs w:val="0"/>
                      <w:color w:val="auto"/>
                      <w:highlight w:val="none"/>
                    </w:rPr>
                    <w:t>处置方式</w:t>
                  </w:r>
                </w:p>
              </w:tc>
            </w:tr>
            <w:tr w14:paraId="6B6F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vMerge w:val="restart"/>
                  <w:tcBorders>
                    <w:tl2br w:val="nil"/>
                    <w:tr2bl w:val="nil"/>
                  </w:tcBorders>
                  <w:vAlign w:val="center"/>
                </w:tcPr>
                <w:p w14:paraId="6046C7FD">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rFonts w:hint="eastAsia"/>
                      <w:b w:val="0"/>
                      <w:bCs w:val="0"/>
                      <w:color w:val="auto"/>
                      <w:highlight w:val="none"/>
                    </w:rPr>
                    <w:t>废气</w:t>
                  </w:r>
                </w:p>
              </w:tc>
              <w:tc>
                <w:tcPr>
                  <w:tcW w:w="641" w:type="pct"/>
                  <w:tcBorders>
                    <w:tl2br w:val="nil"/>
                    <w:tr2bl w:val="nil"/>
                  </w:tcBorders>
                  <w:vAlign w:val="center"/>
                </w:tcPr>
                <w:p w14:paraId="453F0913">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G1-1</w:t>
                  </w:r>
                </w:p>
              </w:tc>
              <w:tc>
                <w:tcPr>
                  <w:tcW w:w="825" w:type="pct"/>
                  <w:tcBorders>
                    <w:tl2br w:val="nil"/>
                    <w:tr2bl w:val="nil"/>
                  </w:tcBorders>
                  <w:vAlign w:val="center"/>
                </w:tcPr>
                <w:p w14:paraId="0AB9532E">
                  <w:pPr>
                    <w:pStyle w:val="6"/>
                    <w:keepNext w:val="0"/>
                    <w:keepLines w:val="0"/>
                    <w:suppressLineNumbers w:val="0"/>
                    <w:autoSpaceDE w:val="0"/>
                    <w:autoSpaceDN w:val="0"/>
                    <w:spacing w:before="0" w:beforeAutospacing="0" w:after="0" w:afterAutospacing="0"/>
                    <w:ind w:left="0" w:right="0"/>
                    <w:rPr>
                      <w:rFonts w:hint="default" w:eastAsia="宋体"/>
                      <w:color w:val="auto"/>
                      <w:highlight w:val="none"/>
                      <w:lang w:val="en-US" w:eastAsia="zh-CN"/>
                    </w:rPr>
                  </w:pPr>
                  <w:r>
                    <w:rPr>
                      <w:rFonts w:hint="eastAsia"/>
                      <w:color w:val="auto"/>
                      <w:highlight w:val="none"/>
                    </w:rPr>
                    <w:t>配料</w:t>
                  </w:r>
                  <w:r>
                    <w:rPr>
                      <w:rFonts w:hint="eastAsia"/>
                      <w:color w:val="auto"/>
                      <w:highlight w:val="none"/>
                      <w:lang w:eastAsia="zh-CN"/>
                    </w:rPr>
                    <w:t>、</w:t>
                  </w:r>
                  <w:r>
                    <w:rPr>
                      <w:rFonts w:hint="eastAsia"/>
                      <w:color w:val="auto"/>
                      <w:highlight w:val="none"/>
                      <w:lang w:val="en-US" w:eastAsia="zh-CN"/>
                    </w:rPr>
                    <w:t>熔化调和及搅拌</w:t>
                  </w:r>
                </w:p>
              </w:tc>
              <w:tc>
                <w:tcPr>
                  <w:tcW w:w="938" w:type="pct"/>
                  <w:tcBorders>
                    <w:tl2br w:val="nil"/>
                    <w:tr2bl w:val="nil"/>
                  </w:tcBorders>
                  <w:vAlign w:val="center"/>
                </w:tcPr>
                <w:p w14:paraId="52D6CFDD">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非甲烷总烃</w:t>
                  </w:r>
                </w:p>
              </w:tc>
              <w:tc>
                <w:tcPr>
                  <w:tcW w:w="2173" w:type="pct"/>
                  <w:tcBorders>
                    <w:tl2br w:val="nil"/>
                    <w:tr2bl w:val="nil"/>
                  </w:tcBorders>
                  <w:vAlign w:val="center"/>
                </w:tcPr>
                <w:p w14:paraId="0071C377">
                  <w:pPr>
                    <w:pStyle w:val="6"/>
                    <w:keepNext w:val="0"/>
                    <w:keepLines w:val="0"/>
                    <w:suppressLineNumbers w:val="0"/>
                    <w:autoSpaceDE w:val="0"/>
                    <w:autoSpaceDN w:val="0"/>
                    <w:spacing w:before="0" w:beforeAutospacing="0" w:after="0" w:afterAutospacing="0"/>
                    <w:ind w:left="0" w:right="0"/>
                    <w:rPr>
                      <w:color w:val="auto"/>
                      <w:highlight w:val="none"/>
                    </w:rPr>
                  </w:pPr>
                  <w:r>
                    <w:rPr>
                      <w:color w:val="auto"/>
                      <w:highlight w:val="none"/>
                    </w:rPr>
                    <w:t>车间无组织排放</w:t>
                  </w:r>
                </w:p>
              </w:tc>
            </w:tr>
            <w:tr w14:paraId="1A9D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vMerge w:val="continue"/>
                  <w:tcBorders>
                    <w:tl2br w:val="nil"/>
                    <w:tr2bl w:val="nil"/>
                  </w:tcBorders>
                  <w:vAlign w:val="center"/>
                </w:tcPr>
                <w:p w14:paraId="055D98C3">
                  <w:pPr>
                    <w:pStyle w:val="6"/>
                    <w:keepNext w:val="0"/>
                    <w:keepLines w:val="0"/>
                    <w:suppressLineNumbers w:val="0"/>
                    <w:autoSpaceDE w:val="0"/>
                    <w:autoSpaceDN w:val="0"/>
                    <w:spacing w:before="0" w:beforeAutospacing="0" w:after="0" w:afterAutospacing="0"/>
                    <w:ind w:left="0" w:right="0"/>
                    <w:rPr>
                      <w:b w:val="0"/>
                      <w:bCs w:val="0"/>
                      <w:color w:val="auto"/>
                      <w:highlight w:val="none"/>
                    </w:rPr>
                  </w:pPr>
                </w:p>
              </w:tc>
              <w:tc>
                <w:tcPr>
                  <w:tcW w:w="641" w:type="pct"/>
                  <w:tcBorders>
                    <w:tl2br w:val="nil"/>
                    <w:tr2bl w:val="nil"/>
                  </w:tcBorders>
                  <w:vAlign w:val="center"/>
                </w:tcPr>
                <w:p w14:paraId="15BA4C41">
                  <w:pPr>
                    <w:pStyle w:val="6"/>
                    <w:keepNext w:val="0"/>
                    <w:keepLines w:val="0"/>
                    <w:suppressLineNumbers w:val="0"/>
                    <w:autoSpaceDE w:val="0"/>
                    <w:autoSpaceDN w:val="0"/>
                    <w:spacing w:before="0" w:beforeAutospacing="0" w:after="0" w:afterAutospacing="0"/>
                    <w:ind w:left="0" w:right="0"/>
                    <w:rPr>
                      <w:rFonts w:hint="eastAsia" w:eastAsia="宋体"/>
                      <w:color w:val="auto"/>
                      <w:highlight w:val="none"/>
                      <w:lang w:eastAsia="zh-CN"/>
                    </w:rPr>
                  </w:pPr>
                  <w:r>
                    <w:rPr>
                      <w:rFonts w:hint="eastAsia"/>
                      <w:color w:val="auto"/>
                      <w:highlight w:val="none"/>
                    </w:rPr>
                    <w:t>G1-</w:t>
                  </w:r>
                  <w:r>
                    <w:rPr>
                      <w:rFonts w:hint="eastAsia"/>
                      <w:color w:val="auto"/>
                      <w:highlight w:val="none"/>
                      <w:lang w:val="en-US" w:eastAsia="zh-CN"/>
                    </w:rPr>
                    <w:t>2</w:t>
                  </w:r>
                </w:p>
              </w:tc>
              <w:tc>
                <w:tcPr>
                  <w:tcW w:w="825" w:type="pct"/>
                  <w:tcBorders>
                    <w:tl2br w:val="nil"/>
                    <w:tr2bl w:val="nil"/>
                  </w:tcBorders>
                  <w:vAlign w:val="center"/>
                </w:tcPr>
                <w:p w14:paraId="1FFA471E">
                  <w:pPr>
                    <w:pStyle w:val="6"/>
                    <w:keepNext w:val="0"/>
                    <w:keepLines w:val="0"/>
                    <w:suppressLineNumbers w:val="0"/>
                    <w:autoSpaceDE w:val="0"/>
                    <w:autoSpaceDN w:val="0"/>
                    <w:spacing w:before="0" w:beforeAutospacing="0" w:after="0" w:afterAutospacing="0"/>
                    <w:ind w:left="0" w:right="0"/>
                    <w:rPr>
                      <w:rFonts w:hint="eastAsia"/>
                      <w:color w:val="auto"/>
                      <w:highlight w:val="none"/>
                    </w:rPr>
                  </w:pPr>
                  <w:r>
                    <w:rPr>
                      <w:rFonts w:hint="eastAsia"/>
                      <w:color w:val="auto"/>
                      <w:highlight w:val="none"/>
                    </w:rPr>
                    <w:t>造粒</w:t>
                  </w:r>
                </w:p>
                <w:p w14:paraId="791849F2">
                  <w:pPr>
                    <w:pStyle w:val="6"/>
                    <w:keepNext w:val="0"/>
                    <w:keepLines w:val="0"/>
                    <w:suppressLineNumbers w:val="0"/>
                    <w:autoSpaceDE w:val="0"/>
                    <w:autoSpaceDN w:val="0"/>
                    <w:spacing w:before="0" w:beforeAutospacing="0" w:after="0" w:afterAutospacing="0"/>
                    <w:ind w:left="0" w:right="0"/>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成型</w:t>
                  </w:r>
                  <w:r>
                    <w:rPr>
                      <w:rFonts w:hint="eastAsia"/>
                      <w:color w:val="auto"/>
                      <w:highlight w:val="none"/>
                      <w:lang w:eastAsia="zh-CN"/>
                    </w:rPr>
                    <w:t>）</w:t>
                  </w:r>
                </w:p>
              </w:tc>
              <w:tc>
                <w:tcPr>
                  <w:tcW w:w="938" w:type="pct"/>
                  <w:tcBorders>
                    <w:tl2br w:val="nil"/>
                    <w:tr2bl w:val="nil"/>
                  </w:tcBorders>
                  <w:vAlign w:val="center"/>
                </w:tcPr>
                <w:p w14:paraId="1D38C13D">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非甲烷总烃</w:t>
                  </w:r>
                </w:p>
              </w:tc>
              <w:tc>
                <w:tcPr>
                  <w:tcW w:w="2173" w:type="pct"/>
                  <w:tcBorders>
                    <w:tl2br w:val="nil"/>
                    <w:tr2bl w:val="nil"/>
                  </w:tcBorders>
                  <w:vAlign w:val="center"/>
                </w:tcPr>
                <w:p w14:paraId="5DE76E25">
                  <w:pPr>
                    <w:pStyle w:val="6"/>
                    <w:keepNext w:val="0"/>
                    <w:keepLines w:val="0"/>
                    <w:suppressLineNumbers w:val="0"/>
                    <w:autoSpaceDE w:val="0"/>
                    <w:autoSpaceDN w:val="0"/>
                    <w:spacing w:before="0" w:beforeAutospacing="0" w:after="0" w:afterAutospacing="0"/>
                    <w:ind w:left="0" w:right="0"/>
                    <w:rPr>
                      <w:color w:val="auto"/>
                      <w:highlight w:val="none"/>
                    </w:rPr>
                  </w:pPr>
                  <w:r>
                    <w:rPr>
                      <w:color w:val="auto"/>
                      <w:highlight w:val="none"/>
                    </w:rPr>
                    <w:t>车间无组织排放</w:t>
                  </w:r>
                </w:p>
              </w:tc>
            </w:tr>
            <w:tr w14:paraId="0085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vMerge w:val="continue"/>
                  <w:tcBorders>
                    <w:tl2br w:val="nil"/>
                    <w:tr2bl w:val="nil"/>
                  </w:tcBorders>
                  <w:vAlign w:val="center"/>
                </w:tcPr>
                <w:p w14:paraId="1B704ABB">
                  <w:pPr>
                    <w:pStyle w:val="6"/>
                    <w:keepNext w:val="0"/>
                    <w:keepLines w:val="0"/>
                    <w:suppressLineNumbers w:val="0"/>
                    <w:autoSpaceDE w:val="0"/>
                    <w:autoSpaceDN w:val="0"/>
                    <w:spacing w:before="0" w:beforeAutospacing="0" w:after="0" w:afterAutospacing="0"/>
                    <w:ind w:left="0" w:right="0"/>
                    <w:rPr>
                      <w:b w:val="0"/>
                      <w:bCs w:val="0"/>
                      <w:color w:val="auto"/>
                      <w:highlight w:val="none"/>
                    </w:rPr>
                  </w:pPr>
                </w:p>
              </w:tc>
              <w:tc>
                <w:tcPr>
                  <w:tcW w:w="641" w:type="pct"/>
                  <w:tcBorders>
                    <w:tl2br w:val="nil"/>
                    <w:tr2bl w:val="nil"/>
                  </w:tcBorders>
                  <w:vAlign w:val="center"/>
                </w:tcPr>
                <w:p w14:paraId="5CE2DA58">
                  <w:pPr>
                    <w:pStyle w:val="6"/>
                    <w:keepNext w:val="0"/>
                    <w:keepLines w:val="0"/>
                    <w:suppressLineNumbers w:val="0"/>
                    <w:autoSpaceDE w:val="0"/>
                    <w:autoSpaceDN w:val="0"/>
                    <w:spacing w:before="0" w:beforeAutospacing="0" w:after="0" w:afterAutospacing="0"/>
                    <w:ind w:left="0" w:right="0"/>
                    <w:rPr>
                      <w:rFonts w:hint="default" w:eastAsia="宋体"/>
                      <w:color w:val="auto"/>
                      <w:highlight w:val="none"/>
                      <w:lang w:val="en-US" w:eastAsia="zh-CN"/>
                    </w:rPr>
                  </w:pPr>
                  <w:r>
                    <w:rPr>
                      <w:rFonts w:hint="eastAsia"/>
                      <w:color w:val="auto"/>
                      <w:highlight w:val="none"/>
                      <w:lang w:val="en-US" w:eastAsia="zh-CN"/>
                    </w:rPr>
                    <w:t>G1-3</w:t>
                  </w:r>
                </w:p>
              </w:tc>
              <w:tc>
                <w:tcPr>
                  <w:tcW w:w="825" w:type="pct"/>
                  <w:tcBorders>
                    <w:tl2br w:val="nil"/>
                    <w:tr2bl w:val="nil"/>
                  </w:tcBorders>
                  <w:vAlign w:val="center"/>
                </w:tcPr>
                <w:p w14:paraId="2DDCB7C0">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罐区废气</w:t>
                  </w:r>
                </w:p>
              </w:tc>
              <w:tc>
                <w:tcPr>
                  <w:tcW w:w="938" w:type="pct"/>
                  <w:tcBorders>
                    <w:tl2br w:val="nil"/>
                    <w:tr2bl w:val="nil"/>
                  </w:tcBorders>
                  <w:vAlign w:val="center"/>
                </w:tcPr>
                <w:p w14:paraId="790ED8DD">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非甲烷总烃</w:t>
                  </w:r>
                </w:p>
              </w:tc>
              <w:tc>
                <w:tcPr>
                  <w:tcW w:w="2173" w:type="pct"/>
                  <w:tcBorders>
                    <w:tl2br w:val="nil"/>
                    <w:tr2bl w:val="nil"/>
                  </w:tcBorders>
                  <w:vAlign w:val="center"/>
                </w:tcPr>
                <w:p w14:paraId="1625B344">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无组织排放</w:t>
                  </w:r>
                </w:p>
              </w:tc>
            </w:tr>
            <w:tr w14:paraId="6446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vMerge w:val="continue"/>
                  <w:tcBorders>
                    <w:tl2br w:val="nil"/>
                    <w:tr2bl w:val="nil"/>
                  </w:tcBorders>
                  <w:vAlign w:val="center"/>
                </w:tcPr>
                <w:p w14:paraId="49DED601">
                  <w:pPr>
                    <w:pStyle w:val="6"/>
                    <w:keepNext w:val="0"/>
                    <w:keepLines w:val="0"/>
                    <w:suppressLineNumbers w:val="0"/>
                    <w:autoSpaceDE w:val="0"/>
                    <w:autoSpaceDN w:val="0"/>
                    <w:spacing w:before="0" w:beforeAutospacing="0" w:after="0" w:afterAutospacing="0"/>
                    <w:ind w:left="0" w:right="0"/>
                    <w:rPr>
                      <w:b w:val="0"/>
                      <w:bCs w:val="0"/>
                      <w:color w:val="auto"/>
                      <w:highlight w:val="none"/>
                    </w:rPr>
                  </w:pPr>
                </w:p>
              </w:tc>
              <w:tc>
                <w:tcPr>
                  <w:tcW w:w="641" w:type="pct"/>
                  <w:tcBorders>
                    <w:tl2br w:val="nil"/>
                    <w:tr2bl w:val="nil"/>
                  </w:tcBorders>
                  <w:vAlign w:val="center"/>
                </w:tcPr>
                <w:p w14:paraId="5C517296">
                  <w:pPr>
                    <w:pStyle w:val="6"/>
                    <w:keepNext w:val="0"/>
                    <w:keepLines w:val="0"/>
                    <w:suppressLineNumbers w:val="0"/>
                    <w:autoSpaceDE w:val="0"/>
                    <w:autoSpaceDN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G2-1</w:t>
                  </w:r>
                </w:p>
              </w:tc>
              <w:tc>
                <w:tcPr>
                  <w:tcW w:w="825" w:type="pct"/>
                  <w:tcBorders>
                    <w:tl2br w:val="nil"/>
                    <w:tr2bl w:val="nil"/>
                  </w:tcBorders>
                  <w:vAlign w:val="center"/>
                </w:tcPr>
                <w:p w14:paraId="34AC929F">
                  <w:pPr>
                    <w:pStyle w:val="6"/>
                    <w:keepNext w:val="0"/>
                    <w:keepLines w:val="0"/>
                    <w:suppressLineNumbers w:val="0"/>
                    <w:autoSpaceDE w:val="0"/>
                    <w:autoSpaceDN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工艺废气</w:t>
                  </w:r>
                </w:p>
              </w:tc>
              <w:tc>
                <w:tcPr>
                  <w:tcW w:w="938" w:type="pct"/>
                  <w:tcBorders>
                    <w:tl2br w:val="nil"/>
                    <w:tr2bl w:val="nil"/>
                  </w:tcBorders>
                  <w:shd w:val="clear" w:color="auto" w:fill="auto"/>
                  <w:vAlign w:val="center"/>
                </w:tcPr>
                <w:p w14:paraId="3D45541C">
                  <w:pPr>
                    <w:pStyle w:val="6"/>
                    <w:keepNext w:val="0"/>
                    <w:keepLines w:val="0"/>
                    <w:suppressLineNumbers w:val="0"/>
                    <w:autoSpaceDE w:val="0"/>
                    <w:autoSpaceDN w:val="0"/>
                    <w:spacing w:before="0" w:beforeAutospacing="0" w:after="0" w:afterAutospacing="0"/>
                    <w:ind w:left="0" w:leftChars="0" w:right="0" w:right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非甲烷总烃</w:t>
                  </w:r>
                </w:p>
              </w:tc>
              <w:tc>
                <w:tcPr>
                  <w:tcW w:w="2173" w:type="pct"/>
                  <w:tcBorders>
                    <w:tl2br w:val="nil"/>
                    <w:tr2bl w:val="nil"/>
                  </w:tcBorders>
                  <w:shd w:val="clear" w:color="auto" w:fill="auto"/>
                  <w:vAlign w:val="center"/>
                </w:tcPr>
                <w:p w14:paraId="44B787C4">
                  <w:pPr>
                    <w:pStyle w:val="6"/>
                    <w:keepNext w:val="0"/>
                    <w:keepLines w:val="0"/>
                    <w:suppressLineNumbers w:val="0"/>
                    <w:autoSpaceDE w:val="0"/>
                    <w:autoSpaceDN w:val="0"/>
                    <w:spacing w:before="0" w:beforeAutospacing="0" w:after="0" w:afterAutospacing="0"/>
                    <w:ind w:left="0" w:leftChars="0" w:right="0" w:right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无组织排放</w:t>
                  </w:r>
                </w:p>
              </w:tc>
            </w:tr>
            <w:tr w14:paraId="63DC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vMerge w:val="continue"/>
                  <w:tcBorders>
                    <w:tl2br w:val="nil"/>
                    <w:tr2bl w:val="nil"/>
                  </w:tcBorders>
                  <w:vAlign w:val="center"/>
                </w:tcPr>
                <w:p w14:paraId="764C3658">
                  <w:pPr>
                    <w:pStyle w:val="6"/>
                    <w:keepNext w:val="0"/>
                    <w:keepLines w:val="0"/>
                    <w:suppressLineNumbers w:val="0"/>
                    <w:autoSpaceDE w:val="0"/>
                    <w:autoSpaceDN w:val="0"/>
                    <w:spacing w:before="0" w:beforeAutospacing="0" w:after="0" w:afterAutospacing="0"/>
                    <w:ind w:left="0" w:right="0"/>
                    <w:rPr>
                      <w:b w:val="0"/>
                      <w:bCs w:val="0"/>
                      <w:color w:val="auto"/>
                      <w:highlight w:val="none"/>
                    </w:rPr>
                  </w:pPr>
                </w:p>
              </w:tc>
              <w:tc>
                <w:tcPr>
                  <w:tcW w:w="641" w:type="pct"/>
                  <w:tcBorders>
                    <w:tl2br w:val="nil"/>
                    <w:tr2bl w:val="nil"/>
                  </w:tcBorders>
                  <w:vAlign w:val="center"/>
                </w:tcPr>
                <w:p w14:paraId="4FC53A13">
                  <w:pPr>
                    <w:pStyle w:val="6"/>
                    <w:keepNext w:val="0"/>
                    <w:keepLines w:val="0"/>
                    <w:suppressLineNumbers w:val="0"/>
                    <w:autoSpaceDE w:val="0"/>
                    <w:autoSpaceDN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G3-1</w:t>
                  </w:r>
                </w:p>
              </w:tc>
              <w:tc>
                <w:tcPr>
                  <w:tcW w:w="825" w:type="pct"/>
                  <w:tcBorders>
                    <w:tl2br w:val="nil"/>
                    <w:tr2bl w:val="nil"/>
                  </w:tcBorders>
                  <w:vAlign w:val="center"/>
                </w:tcPr>
                <w:p w14:paraId="0EF3DAEC">
                  <w:pPr>
                    <w:pStyle w:val="6"/>
                    <w:keepNext w:val="0"/>
                    <w:keepLines w:val="0"/>
                    <w:suppressLineNumbers w:val="0"/>
                    <w:autoSpaceDE w:val="0"/>
                    <w:autoSpaceDN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工艺废气</w:t>
                  </w:r>
                </w:p>
              </w:tc>
              <w:tc>
                <w:tcPr>
                  <w:tcW w:w="938" w:type="pct"/>
                  <w:tcBorders>
                    <w:tl2br w:val="nil"/>
                    <w:tr2bl w:val="nil"/>
                  </w:tcBorders>
                  <w:shd w:val="clear" w:color="auto" w:fill="auto"/>
                  <w:vAlign w:val="center"/>
                </w:tcPr>
                <w:p w14:paraId="26BA548B">
                  <w:pPr>
                    <w:pStyle w:val="6"/>
                    <w:keepNext w:val="0"/>
                    <w:keepLines w:val="0"/>
                    <w:suppressLineNumbers w:val="0"/>
                    <w:autoSpaceDE w:val="0"/>
                    <w:autoSpaceDN w:val="0"/>
                    <w:spacing w:before="0" w:beforeAutospacing="0" w:after="0" w:afterAutospacing="0"/>
                    <w:ind w:left="0" w:leftChars="0" w:right="0" w:right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非甲烷总烃</w:t>
                  </w:r>
                </w:p>
              </w:tc>
              <w:tc>
                <w:tcPr>
                  <w:tcW w:w="2173" w:type="pct"/>
                  <w:tcBorders>
                    <w:tl2br w:val="nil"/>
                    <w:tr2bl w:val="nil"/>
                  </w:tcBorders>
                  <w:shd w:val="clear" w:color="auto" w:fill="auto"/>
                  <w:vAlign w:val="center"/>
                </w:tcPr>
                <w:p w14:paraId="3DACF523">
                  <w:pPr>
                    <w:pStyle w:val="6"/>
                    <w:keepNext w:val="0"/>
                    <w:keepLines w:val="0"/>
                    <w:suppressLineNumbers w:val="0"/>
                    <w:autoSpaceDE w:val="0"/>
                    <w:autoSpaceDN w:val="0"/>
                    <w:spacing w:before="0" w:beforeAutospacing="0" w:after="0" w:afterAutospacing="0"/>
                    <w:ind w:left="0" w:leftChars="0" w:right="0" w:rightChars="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无组织排放</w:t>
                  </w:r>
                </w:p>
              </w:tc>
            </w:tr>
            <w:tr w14:paraId="10CA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tcBorders>
                    <w:tl2br w:val="nil"/>
                    <w:tr2bl w:val="nil"/>
                  </w:tcBorders>
                  <w:vAlign w:val="center"/>
                </w:tcPr>
                <w:p w14:paraId="26FD070E">
                  <w:pPr>
                    <w:pStyle w:val="6"/>
                    <w:keepNext w:val="0"/>
                    <w:keepLines w:val="0"/>
                    <w:suppressLineNumbers w:val="0"/>
                    <w:autoSpaceDE w:val="0"/>
                    <w:autoSpaceDN w:val="0"/>
                    <w:spacing w:before="0" w:beforeAutospacing="0" w:after="0" w:afterAutospacing="0"/>
                    <w:ind w:left="0" w:right="0"/>
                    <w:rPr>
                      <w:rFonts w:hint="eastAsia" w:eastAsia="宋体"/>
                      <w:b w:val="0"/>
                      <w:bCs w:val="0"/>
                      <w:color w:val="auto"/>
                      <w:highlight w:val="none"/>
                      <w:lang w:val="en-US" w:eastAsia="zh-CN"/>
                    </w:rPr>
                  </w:pPr>
                  <w:r>
                    <w:rPr>
                      <w:rFonts w:hint="eastAsia"/>
                      <w:b w:val="0"/>
                      <w:bCs w:val="0"/>
                      <w:color w:val="auto"/>
                      <w:highlight w:val="none"/>
                      <w:lang w:val="en-US" w:eastAsia="zh-CN"/>
                    </w:rPr>
                    <w:t>废水</w:t>
                  </w:r>
                </w:p>
              </w:tc>
              <w:tc>
                <w:tcPr>
                  <w:tcW w:w="641" w:type="pct"/>
                  <w:tcBorders>
                    <w:tl2br w:val="nil"/>
                    <w:tr2bl w:val="nil"/>
                  </w:tcBorders>
                  <w:vAlign w:val="center"/>
                </w:tcPr>
                <w:p w14:paraId="3272B26E">
                  <w:pPr>
                    <w:pStyle w:val="6"/>
                    <w:keepNext w:val="0"/>
                    <w:keepLines w:val="0"/>
                    <w:suppressLineNumbers w:val="0"/>
                    <w:autoSpaceDE w:val="0"/>
                    <w:autoSpaceDN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W</w:t>
                  </w:r>
                </w:p>
              </w:tc>
              <w:tc>
                <w:tcPr>
                  <w:tcW w:w="825" w:type="pct"/>
                  <w:tcBorders>
                    <w:tl2br w:val="nil"/>
                    <w:tr2bl w:val="nil"/>
                  </w:tcBorders>
                  <w:vAlign w:val="center"/>
                </w:tcPr>
                <w:p w14:paraId="74471C3D">
                  <w:pPr>
                    <w:pStyle w:val="6"/>
                    <w:keepNext w:val="0"/>
                    <w:keepLines w:val="0"/>
                    <w:suppressLineNumbers w:val="0"/>
                    <w:autoSpaceDE w:val="0"/>
                    <w:autoSpaceDN w:val="0"/>
                    <w:spacing w:before="0" w:beforeAutospacing="0" w:after="0" w:afterAutospacing="0"/>
                    <w:ind w:left="0" w:right="0"/>
                    <w:rPr>
                      <w:rFonts w:hint="default" w:eastAsia="宋体"/>
                      <w:color w:val="auto"/>
                      <w:highlight w:val="none"/>
                      <w:lang w:val="en-US" w:eastAsia="zh-CN"/>
                    </w:rPr>
                  </w:pPr>
                  <w:r>
                    <w:rPr>
                      <w:rFonts w:hint="eastAsia"/>
                      <w:color w:val="auto"/>
                      <w:highlight w:val="none"/>
                      <w:lang w:val="en-US" w:eastAsia="zh-CN"/>
                    </w:rPr>
                    <w:t>蒸汽凝结水</w:t>
                  </w:r>
                </w:p>
              </w:tc>
              <w:tc>
                <w:tcPr>
                  <w:tcW w:w="938" w:type="pct"/>
                  <w:tcBorders>
                    <w:tl2br w:val="nil"/>
                    <w:tr2bl w:val="nil"/>
                  </w:tcBorders>
                  <w:vAlign w:val="center"/>
                </w:tcPr>
                <w:p w14:paraId="387BA7F1">
                  <w:pPr>
                    <w:pStyle w:val="6"/>
                    <w:keepNext w:val="0"/>
                    <w:keepLines w:val="0"/>
                    <w:suppressLineNumbers w:val="0"/>
                    <w:autoSpaceDE w:val="0"/>
                    <w:autoSpaceDN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w:t>
                  </w:r>
                </w:p>
              </w:tc>
              <w:tc>
                <w:tcPr>
                  <w:tcW w:w="2173" w:type="pct"/>
                  <w:tcBorders>
                    <w:tl2br w:val="nil"/>
                    <w:tr2bl w:val="nil"/>
                  </w:tcBorders>
                  <w:vAlign w:val="center"/>
                </w:tcPr>
                <w:p w14:paraId="258D55B1">
                  <w:pPr>
                    <w:pStyle w:val="6"/>
                    <w:keepNext w:val="0"/>
                    <w:keepLines w:val="0"/>
                    <w:suppressLineNumbers w:val="0"/>
                    <w:autoSpaceDE w:val="0"/>
                    <w:autoSpaceDN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回用</w:t>
                  </w:r>
                </w:p>
              </w:tc>
            </w:tr>
            <w:tr w14:paraId="4B42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22" w:type="pct"/>
                  <w:vMerge w:val="restart"/>
                  <w:tcBorders>
                    <w:tl2br w:val="nil"/>
                    <w:tr2bl w:val="nil"/>
                  </w:tcBorders>
                  <w:vAlign w:val="center"/>
                </w:tcPr>
                <w:p w14:paraId="05A921DA">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rFonts w:hint="eastAsia"/>
                      <w:b w:val="0"/>
                      <w:bCs w:val="0"/>
                      <w:color w:val="auto"/>
                      <w:highlight w:val="none"/>
                    </w:rPr>
                    <w:t>固废</w:t>
                  </w:r>
                </w:p>
              </w:tc>
              <w:tc>
                <w:tcPr>
                  <w:tcW w:w="641" w:type="pct"/>
                  <w:tcBorders>
                    <w:tl2br w:val="nil"/>
                    <w:tr2bl w:val="nil"/>
                  </w:tcBorders>
                  <w:vAlign w:val="center"/>
                </w:tcPr>
                <w:p w14:paraId="395FA449">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S1、S2</w:t>
                  </w:r>
                </w:p>
              </w:tc>
              <w:tc>
                <w:tcPr>
                  <w:tcW w:w="825" w:type="pct"/>
                  <w:tcBorders>
                    <w:tl2br w:val="nil"/>
                    <w:tr2bl w:val="nil"/>
                  </w:tcBorders>
                  <w:vAlign w:val="center"/>
                </w:tcPr>
                <w:p w14:paraId="73FB1291">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过滤</w:t>
                  </w:r>
                </w:p>
              </w:tc>
              <w:tc>
                <w:tcPr>
                  <w:tcW w:w="938" w:type="pct"/>
                  <w:tcBorders>
                    <w:tl2br w:val="nil"/>
                    <w:tr2bl w:val="nil"/>
                  </w:tcBorders>
                  <w:vAlign w:val="center"/>
                </w:tcPr>
                <w:p w14:paraId="541E50DE">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过滤杂质、废过滤网</w:t>
                  </w:r>
                </w:p>
              </w:tc>
              <w:tc>
                <w:tcPr>
                  <w:tcW w:w="2173" w:type="pct"/>
                  <w:tcBorders>
                    <w:tl2br w:val="nil"/>
                    <w:tr2bl w:val="nil"/>
                  </w:tcBorders>
                  <w:shd w:val="clear" w:color="auto" w:fill="auto"/>
                  <w:vAlign w:val="center"/>
                </w:tcPr>
                <w:p w14:paraId="0EC55D14">
                  <w:pPr>
                    <w:keepNext w:val="0"/>
                    <w:keepLines w:val="0"/>
                    <w:suppressLineNumbers w:val="0"/>
                    <w:snapToGrid w:val="0"/>
                    <w:spacing w:before="0" w:beforeAutospacing="0" w:after="0" w:afterAutospacing="0" w:line="360" w:lineRule="auto"/>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暂存于危险废物贮存点，交有资质单位处置</w:t>
                  </w:r>
                </w:p>
              </w:tc>
            </w:tr>
            <w:tr w14:paraId="0609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vMerge w:val="continue"/>
                  <w:tcBorders>
                    <w:tl2br w:val="nil"/>
                    <w:tr2bl w:val="nil"/>
                  </w:tcBorders>
                  <w:vAlign w:val="center"/>
                </w:tcPr>
                <w:p w14:paraId="2B47A5FB">
                  <w:pPr>
                    <w:pStyle w:val="6"/>
                    <w:keepNext w:val="0"/>
                    <w:keepLines w:val="0"/>
                    <w:suppressLineNumbers w:val="0"/>
                    <w:autoSpaceDE w:val="0"/>
                    <w:autoSpaceDN w:val="0"/>
                    <w:spacing w:before="0" w:beforeAutospacing="0" w:after="0" w:afterAutospacing="0"/>
                    <w:ind w:left="0" w:right="0"/>
                    <w:rPr>
                      <w:b w:val="0"/>
                      <w:bCs w:val="0"/>
                      <w:color w:val="auto"/>
                      <w:highlight w:val="none"/>
                    </w:rPr>
                  </w:pPr>
                </w:p>
              </w:tc>
              <w:tc>
                <w:tcPr>
                  <w:tcW w:w="641" w:type="pct"/>
                  <w:tcBorders>
                    <w:tl2br w:val="nil"/>
                    <w:tr2bl w:val="nil"/>
                  </w:tcBorders>
                  <w:vAlign w:val="center"/>
                </w:tcPr>
                <w:p w14:paraId="745D3E3E">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S3</w:t>
                  </w:r>
                </w:p>
              </w:tc>
              <w:tc>
                <w:tcPr>
                  <w:tcW w:w="825" w:type="pct"/>
                  <w:tcBorders>
                    <w:tl2br w:val="nil"/>
                    <w:tr2bl w:val="nil"/>
                  </w:tcBorders>
                  <w:vAlign w:val="center"/>
                </w:tcPr>
                <w:p w14:paraId="29C002A9">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包装入库</w:t>
                  </w:r>
                </w:p>
              </w:tc>
              <w:tc>
                <w:tcPr>
                  <w:tcW w:w="938" w:type="pct"/>
                  <w:tcBorders>
                    <w:tl2br w:val="nil"/>
                    <w:tr2bl w:val="nil"/>
                  </w:tcBorders>
                  <w:vAlign w:val="center"/>
                </w:tcPr>
                <w:p w14:paraId="3B943796">
                  <w:pPr>
                    <w:pStyle w:val="6"/>
                    <w:keepNext w:val="0"/>
                    <w:keepLines w:val="0"/>
                    <w:suppressLineNumbers w:val="0"/>
                    <w:autoSpaceDE w:val="0"/>
                    <w:autoSpaceDN w:val="0"/>
                    <w:spacing w:before="0" w:beforeAutospacing="0" w:after="0" w:afterAutospacing="0"/>
                    <w:ind w:left="0" w:right="0"/>
                    <w:rPr>
                      <w:color w:val="auto"/>
                      <w:highlight w:val="none"/>
                    </w:rPr>
                  </w:pPr>
                  <w:r>
                    <w:rPr>
                      <w:rFonts w:hint="eastAsia"/>
                      <w:color w:val="auto"/>
                      <w:highlight w:val="none"/>
                    </w:rPr>
                    <w:t>被污染的石蜡</w:t>
                  </w:r>
                </w:p>
              </w:tc>
              <w:tc>
                <w:tcPr>
                  <w:tcW w:w="2173" w:type="pct"/>
                  <w:tcBorders>
                    <w:tl2br w:val="nil"/>
                    <w:tr2bl w:val="nil"/>
                  </w:tcBorders>
                  <w:shd w:val="clear" w:color="auto" w:fill="auto"/>
                  <w:vAlign w:val="center"/>
                </w:tcPr>
                <w:p w14:paraId="25342E27">
                  <w:pPr>
                    <w:keepNext w:val="0"/>
                    <w:keepLines w:val="0"/>
                    <w:suppressLineNumbers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外售，综合利用</w:t>
                  </w:r>
                </w:p>
              </w:tc>
            </w:tr>
            <w:tr w14:paraId="4397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22" w:type="pct"/>
                  <w:tcBorders>
                    <w:tl2br w:val="nil"/>
                    <w:tr2bl w:val="nil"/>
                  </w:tcBorders>
                  <w:vAlign w:val="center"/>
                </w:tcPr>
                <w:p w14:paraId="01298C3B">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rFonts w:hint="eastAsia"/>
                      <w:b w:val="0"/>
                      <w:bCs w:val="0"/>
                      <w:color w:val="auto"/>
                      <w:highlight w:val="none"/>
                    </w:rPr>
                    <w:t>噪声</w:t>
                  </w:r>
                </w:p>
              </w:tc>
              <w:tc>
                <w:tcPr>
                  <w:tcW w:w="1466" w:type="pct"/>
                  <w:gridSpan w:val="2"/>
                  <w:tcBorders>
                    <w:tl2br w:val="nil"/>
                    <w:tr2bl w:val="nil"/>
                  </w:tcBorders>
                  <w:vAlign w:val="center"/>
                </w:tcPr>
                <w:p w14:paraId="66F735F1">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rFonts w:hint="eastAsia"/>
                      <w:b w:val="0"/>
                      <w:bCs w:val="0"/>
                      <w:color w:val="auto"/>
                      <w:highlight w:val="none"/>
                    </w:rPr>
                    <w:t>设备噪声</w:t>
                  </w:r>
                </w:p>
              </w:tc>
              <w:tc>
                <w:tcPr>
                  <w:tcW w:w="938" w:type="pct"/>
                  <w:tcBorders>
                    <w:tl2br w:val="nil"/>
                    <w:tr2bl w:val="nil"/>
                  </w:tcBorders>
                  <w:vAlign w:val="center"/>
                </w:tcPr>
                <w:p w14:paraId="1EEF6522">
                  <w:pPr>
                    <w:pStyle w:val="6"/>
                    <w:keepNext w:val="0"/>
                    <w:keepLines w:val="0"/>
                    <w:suppressLineNumbers w:val="0"/>
                    <w:autoSpaceDE w:val="0"/>
                    <w:autoSpaceDN w:val="0"/>
                    <w:spacing w:before="0" w:beforeAutospacing="0" w:after="0" w:afterAutospacing="0"/>
                    <w:ind w:left="0" w:right="0"/>
                    <w:rPr>
                      <w:b w:val="0"/>
                      <w:bCs w:val="0"/>
                      <w:color w:val="auto"/>
                      <w:highlight w:val="none"/>
                    </w:rPr>
                  </w:pPr>
                  <w:r>
                    <w:rPr>
                      <w:rFonts w:hint="eastAsia"/>
                      <w:b w:val="0"/>
                      <w:bCs w:val="0"/>
                      <w:color w:val="auto"/>
                      <w:highlight w:val="none"/>
                    </w:rPr>
                    <w:t>噪声</w:t>
                  </w:r>
                </w:p>
              </w:tc>
              <w:tc>
                <w:tcPr>
                  <w:tcW w:w="2173" w:type="pct"/>
                  <w:tcBorders>
                    <w:tl2br w:val="nil"/>
                    <w:tr2bl w:val="nil"/>
                  </w:tcBorders>
                  <w:vAlign w:val="center"/>
                </w:tcPr>
                <w:p w14:paraId="422EE7B1">
                  <w:pPr>
                    <w:keepNext w:val="0"/>
                    <w:keepLines w:val="0"/>
                    <w:suppressLineNumbers w:val="0"/>
                    <w:snapToGrid w:val="0"/>
                    <w:spacing w:before="0" w:beforeAutospacing="0" w:after="0" w:afterAutospacing="0"/>
                    <w:ind w:left="0" w:right="0"/>
                    <w:jc w:val="center"/>
                    <w:rPr>
                      <w:b w:val="0"/>
                      <w:bCs w:val="0"/>
                      <w:color w:val="auto"/>
                      <w:szCs w:val="21"/>
                      <w:highlight w:val="none"/>
                    </w:rPr>
                  </w:pPr>
                  <w:r>
                    <w:rPr>
                      <w:rFonts w:hint="eastAsia"/>
                      <w:b w:val="0"/>
                      <w:bCs w:val="0"/>
                      <w:color w:val="auto"/>
                      <w:szCs w:val="21"/>
                      <w:highlight w:val="none"/>
                    </w:rPr>
                    <w:t>基础减振、隔声处理</w:t>
                  </w:r>
                </w:p>
              </w:tc>
            </w:tr>
          </w:tbl>
          <w:p w14:paraId="2173D10D">
            <w:pPr>
              <w:keepNext w:val="0"/>
              <w:keepLines w:val="0"/>
              <w:suppressLineNumbers w:val="0"/>
              <w:spacing w:before="0" w:beforeAutospacing="0" w:after="0" w:afterAutospacing="0" w:line="360" w:lineRule="auto"/>
              <w:ind w:left="0" w:right="0" w:firstLine="482" w:firstLineChars="200"/>
              <w:rPr>
                <w:b/>
                <w:bCs/>
                <w:color w:val="auto"/>
                <w:sz w:val="24"/>
                <w:highlight w:val="none"/>
              </w:rPr>
            </w:pPr>
          </w:p>
          <w:p w14:paraId="1C63D9B2">
            <w:pPr>
              <w:pStyle w:val="2"/>
              <w:keepNext w:val="0"/>
              <w:keepLines w:val="0"/>
              <w:suppressLineNumbers w:val="0"/>
              <w:spacing w:before="0" w:beforeAutospacing="0" w:after="0" w:afterAutospacing="0"/>
              <w:ind w:left="0" w:right="0"/>
              <w:rPr>
                <w:b/>
                <w:bCs/>
                <w:color w:val="auto"/>
                <w:sz w:val="24"/>
                <w:highlight w:val="none"/>
              </w:rPr>
            </w:pPr>
          </w:p>
          <w:p w14:paraId="016C7A22">
            <w:pPr>
              <w:pStyle w:val="2"/>
              <w:keepNext w:val="0"/>
              <w:keepLines w:val="0"/>
              <w:suppressLineNumbers w:val="0"/>
              <w:spacing w:before="0" w:beforeAutospacing="0" w:after="0" w:afterAutospacing="0"/>
              <w:ind w:left="0" w:right="0"/>
              <w:rPr>
                <w:b/>
                <w:bCs/>
                <w:color w:val="auto"/>
                <w:sz w:val="24"/>
                <w:highlight w:val="none"/>
              </w:rPr>
            </w:pPr>
          </w:p>
          <w:p w14:paraId="5D6791E8">
            <w:pPr>
              <w:pStyle w:val="2"/>
              <w:keepNext w:val="0"/>
              <w:keepLines w:val="0"/>
              <w:suppressLineNumbers w:val="0"/>
              <w:spacing w:before="0" w:beforeAutospacing="0" w:after="0" w:afterAutospacing="0"/>
              <w:ind w:left="0" w:right="0"/>
              <w:rPr>
                <w:b/>
                <w:bCs/>
                <w:color w:val="auto"/>
                <w:sz w:val="24"/>
                <w:highlight w:val="none"/>
              </w:rPr>
            </w:pPr>
          </w:p>
          <w:p w14:paraId="19CD560E">
            <w:pPr>
              <w:pStyle w:val="2"/>
              <w:keepNext w:val="0"/>
              <w:keepLines w:val="0"/>
              <w:suppressLineNumbers w:val="0"/>
              <w:spacing w:before="0" w:beforeAutospacing="0" w:after="0" w:afterAutospacing="0"/>
              <w:ind w:left="0" w:right="0"/>
              <w:rPr>
                <w:b/>
                <w:bCs/>
                <w:color w:val="auto"/>
                <w:sz w:val="24"/>
                <w:highlight w:val="none"/>
              </w:rPr>
            </w:pPr>
          </w:p>
          <w:p w14:paraId="448D0BBA">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p>
        </w:tc>
      </w:tr>
      <w:tr w14:paraId="1F2A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8" w:type="dxa"/>
            <w:tcBorders>
              <w:tl2br w:val="nil"/>
              <w:tr2bl w:val="nil"/>
            </w:tcBorders>
            <w:shd w:val="clear" w:color="auto" w:fill="auto"/>
            <w:vAlign w:val="center"/>
          </w:tcPr>
          <w:p w14:paraId="2E679DE6">
            <w:pPr>
              <w:pStyle w:val="25"/>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0"/>
                <w:sz w:val="24"/>
                <w:szCs w:val="24"/>
                <w:highlight w:val="none"/>
                <w:lang w:val="en-US" w:eastAsia="zh-CN" w:bidi="ar-SA"/>
              </w:rPr>
            </w:pPr>
            <w:r>
              <w:rPr>
                <w:rFonts w:ascii="Times New Roman" w:hAnsi="Times New Roman"/>
                <w:bCs/>
                <w:color w:val="auto"/>
                <w:kern w:val="2"/>
                <w:szCs w:val="24"/>
                <w:highlight w:val="none"/>
              </w:rPr>
              <w:t>与项目有关的原有环境污染问题</w:t>
            </w:r>
          </w:p>
        </w:tc>
        <w:tc>
          <w:tcPr>
            <w:tcW w:w="8063" w:type="dxa"/>
            <w:tcBorders>
              <w:tl2br w:val="nil"/>
              <w:tr2bl w:val="nil"/>
            </w:tcBorders>
            <w:shd w:val="clear" w:color="auto" w:fill="auto"/>
            <w:vAlign w:val="center"/>
          </w:tcPr>
          <w:p w14:paraId="619E5111">
            <w:pPr>
              <w:pStyle w:val="85"/>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right="0" w:firstLine="482"/>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1、原有项目环评手续履行情况</w:t>
            </w:r>
          </w:p>
          <w:p w14:paraId="1198EF1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left"/>
              <w:textAlignment w:val="auto"/>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汉圣化工（抚顺）有限公司20</w:t>
            </w:r>
            <w:r>
              <w:rPr>
                <w:rFonts w:hint="default" w:ascii="Times New Roman" w:hAnsi="Times New Roman" w:cs="Times New Roman"/>
                <w:bCs/>
                <w:color w:val="auto"/>
                <w:sz w:val="24"/>
                <w:highlight w:val="none"/>
                <w:lang w:val="en-US" w:eastAsia="zh-CN"/>
              </w:rPr>
              <w:t>13</w:t>
            </w:r>
            <w:r>
              <w:rPr>
                <w:rFonts w:hint="default" w:ascii="Times New Roman" w:hAnsi="Times New Roman" w:cs="Times New Roman"/>
                <w:bCs/>
                <w:color w:val="auto"/>
                <w:sz w:val="24"/>
                <w:highlight w:val="none"/>
              </w:rPr>
              <w:t>年完成了《</w:t>
            </w:r>
            <w:r>
              <w:rPr>
                <w:rFonts w:hint="default" w:ascii="Times New Roman" w:hAnsi="Times New Roman" w:cs="Times New Roman"/>
                <w:color w:val="auto"/>
                <w:sz w:val="24"/>
                <w:highlight w:val="none"/>
              </w:rPr>
              <w:t>汉圣化工年产10万t特种蜡项目</w:t>
            </w:r>
            <w:r>
              <w:rPr>
                <w:rFonts w:hint="default" w:ascii="Times New Roman" w:hAnsi="Times New Roman" w:cs="Times New Roman"/>
                <w:color w:val="auto"/>
                <w:sz w:val="24"/>
                <w:highlight w:val="none"/>
                <w:lang w:val="en-US" w:eastAsia="zh-CN"/>
              </w:rPr>
              <w:t>环境影响报告书</w:t>
            </w:r>
            <w:r>
              <w:rPr>
                <w:rFonts w:hint="default" w:ascii="Times New Roman" w:hAnsi="Times New Roman" w:cs="Times New Roman"/>
                <w:bCs/>
                <w:color w:val="auto"/>
                <w:sz w:val="24"/>
                <w:highlight w:val="none"/>
              </w:rPr>
              <w:t>》并获得了</w:t>
            </w:r>
            <w:r>
              <w:rPr>
                <w:rFonts w:hint="eastAsia" w:ascii="Times New Roman" w:hAnsi="Times New Roman" w:cs="Times New Roman"/>
                <w:bCs/>
                <w:color w:val="auto"/>
                <w:sz w:val="24"/>
                <w:highlight w:val="none"/>
                <w:lang w:val="en-US" w:eastAsia="zh-CN"/>
              </w:rPr>
              <w:t>辽宁省环境保护厅（现辽宁省生态环境厅）</w:t>
            </w:r>
            <w:r>
              <w:rPr>
                <w:rFonts w:hint="default" w:ascii="Times New Roman" w:hAnsi="Times New Roman" w:cs="Times New Roman"/>
                <w:bCs/>
                <w:color w:val="auto"/>
                <w:sz w:val="24"/>
                <w:highlight w:val="none"/>
              </w:rPr>
              <w:t>的环评批复（</w:t>
            </w:r>
            <w:r>
              <w:rPr>
                <w:rFonts w:hint="eastAsia" w:ascii="Times New Roman" w:hAnsi="Times New Roman" w:cs="Times New Roman"/>
                <w:bCs/>
                <w:color w:val="auto"/>
                <w:sz w:val="24"/>
                <w:highlight w:val="none"/>
                <w:lang w:val="en-US" w:eastAsia="zh-CN"/>
              </w:rPr>
              <w:t>辽</w:t>
            </w:r>
            <w:r>
              <w:rPr>
                <w:rFonts w:hint="default" w:ascii="Times New Roman" w:hAnsi="Times New Roman" w:cs="Times New Roman"/>
                <w:bCs/>
                <w:color w:val="auto"/>
                <w:sz w:val="24"/>
                <w:highlight w:val="none"/>
              </w:rPr>
              <w:t>环函【20</w:t>
            </w:r>
            <w:r>
              <w:rPr>
                <w:rFonts w:hint="eastAsia" w:ascii="Times New Roman" w:hAnsi="Times New Roman" w:cs="Times New Roman"/>
                <w:bCs/>
                <w:color w:val="auto"/>
                <w:sz w:val="24"/>
                <w:highlight w:val="none"/>
                <w:lang w:val="en-US" w:eastAsia="zh-CN"/>
              </w:rPr>
              <w:t>13</w:t>
            </w:r>
            <w:r>
              <w:rPr>
                <w:rFonts w:hint="default" w:ascii="Times New Roman" w:hAnsi="Times New Roman" w:cs="Times New Roman"/>
                <w:bCs/>
                <w:color w:val="auto"/>
                <w:sz w:val="24"/>
                <w:highlight w:val="none"/>
              </w:rPr>
              <w:t>】</w:t>
            </w:r>
            <w:r>
              <w:rPr>
                <w:rFonts w:hint="eastAsia" w:ascii="Times New Roman" w:hAnsi="Times New Roman" w:cs="Times New Roman"/>
                <w:bCs/>
                <w:color w:val="auto"/>
                <w:sz w:val="24"/>
                <w:highlight w:val="none"/>
                <w:lang w:val="en-US" w:eastAsia="zh-CN"/>
              </w:rPr>
              <w:t>155</w:t>
            </w:r>
            <w:r>
              <w:rPr>
                <w:rFonts w:hint="default" w:ascii="Times New Roman" w:hAnsi="Times New Roman" w:cs="Times New Roman"/>
                <w:bCs/>
                <w:color w:val="auto"/>
                <w:sz w:val="24"/>
                <w:highlight w:val="none"/>
              </w:rPr>
              <w:t>号）。上述项目于</w:t>
            </w:r>
            <w:r>
              <w:rPr>
                <w:rFonts w:hint="eastAsia" w:ascii="Times New Roman" w:hAnsi="Times New Roman" w:cs="Times New Roman"/>
                <w:bCs/>
                <w:color w:val="auto"/>
                <w:sz w:val="24"/>
                <w:highlight w:val="none"/>
                <w:lang w:val="en-US" w:eastAsia="zh-CN"/>
              </w:rPr>
              <w:t>已通过环保竣工验收，验收意见见附件</w:t>
            </w:r>
            <w:r>
              <w:rPr>
                <w:rFonts w:hint="default" w:ascii="Times New Roman" w:hAnsi="Times New Roman" w:cs="Times New Roman"/>
                <w:bCs/>
                <w:color w:val="auto"/>
                <w:sz w:val="24"/>
                <w:highlight w:val="none"/>
              </w:rPr>
              <w:t>6。</w:t>
            </w:r>
          </w:p>
          <w:p w14:paraId="331A01A1">
            <w:pPr>
              <w:pStyle w:val="10"/>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right="0"/>
              <w:textAlignment w:val="auto"/>
              <w:rPr>
                <w:b/>
                <w:color w:val="auto"/>
                <w:szCs w:val="24"/>
                <w:highlight w:val="none"/>
              </w:rPr>
            </w:pPr>
            <w:r>
              <w:rPr>
                <w:rFonts w:hint="eastAsia"/>
                <w:b/>
                <w:bCs/>
                <w:color w:val="auto"/>
                <w:szCs w:val="24"/>
                <w:highlight w:val="none"/>
              </w:rPr>
              <w:t>2、</w:t>
            </w:r>
            <w:r>
              <w:rPr>
                <w:rFonts w:hint="eastAsia"/>
                <w:b/>
                <w:color w:val="auto"/>
                <w:szCs w:val="24"/>
                <w:highlight w:val="none"/>
              </w:rPr>
              <w:t>其他环保手续履行情况</w:t>
            </w:r>
          </w:p>
          <w:p w14:paraId="13F01A3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color w:val="auto"/>
                <w:sz w:val="24"/>
                <w:highlight w:val="none"/>
              </w:rPr>
            </w:pPr>
            <w:r>
              <w:rPr>
                <w:rFonts w:hint="eastAsia"/>
                <w:color w:val="auto"/>
                <w:sz w:val="24"/>
                <w:highlight w:val="none"/>
                <w:lang w:val="en-US" w:eastAsia="zh-CN"/>
              </w:rPr>
              <w:t>现有</w:t>
            </w:r>
            <w:r>
              <w:rPr>
                <w:rFonts w:hint="eastAsia"/>
                <w:color w:val="auto"/>
                <w:sz w:val="24"/>
                <w:highlight w:val="none"/>
              </w:rPr>
              <w:t>项目环保手续履行情况详见下表。</w:t>
            </w:r>
          </w:p>
          <w:p w14:paraId="0419F6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4"/>
                <w:highlight w:val="none"/>
              </w:rPr>
            </w:pPr>
            <w:r>
              <w:rPr>
                <w:rFonts w:hint="eastAsia"/>
                <w:color w:val="auto"/>
                <w:sz w:val="24"/>
                <w:highlight w:val="none"/>
              </w:rPr>
              <w:t>表2-1</w:t>
            </w:r>
            <w:r>
              <w:rPr>
                <w:rFonts w:hint="eastAsia"/>
                <w:color w:val="auto"/>
                <w:sz w:val="24"/>
                <w:highlight w:val="none"/>
                <w:lang w:val="en-US" w:eastAsia="zh-CN"/>
              </w:rPr>
              <w:t xml:space="preserve">5  </w:t>
            </w:r>
            <w:r>
              <w:rPr>
                <w:rFonts w:hint="eastAsia"/>
                <w:color w:val="auto"/>
                <w:sz w:val="24"/>
                <w:highlight w:val="none"/>
              </w:rPr>
              <w:t>原有工程环保手续履行情况</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2"/>
              <w:gridCol w:w="5528"/>
            </w:tblGrid>
            <w:tr w14:paraId="2BAC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731AAC56">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auto"/>
                      <w:szCs w:val="21"/>
                      <w:highlight w:val="none"/>
                    </w:rPr>
                    <w:t>类别</w:t>
                  </w:r>
                </w:p>
              </w:tc>
              <w:tc>
                <w:tcPr>
                  <w:tcW w:w="3507" w:type="pct"/>
                  <w:tcBorders>
                    <w:tl2br w:val="nil"/>
                    <w:tr2bl w:val="nil"/>
                  </w:tcBorders>
                  <w:vAlign w:val="center"/>
                </w:tcPr>
                <w:p w14:paraId="6152419F">
                  <w:pPr>
                    <w:pStyle w:val="48"/>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0" w:firstLineChars="0"/>
                    <w:textAlignment w:val="auto"/>
                    <w:rPr>
                      <w:rFonts w:ascii="Times New Roman"/>
                      <w:b w:val="0"/>
                      <w:bCs w:val="0"/>
                      <w:color w:val="auto"/>
                      <w:szCs w:val="21"/>
                      <w:highlight w:val="none"/>
                    </w:rPr>
                  </w:pPr>
                  <w:r>
                    <w:rPr>
                      <w:rFonts w:hint="eastAsia" w:ascii="Times New Roman"/>
                      <w:b w:val="0"/>
                      <w:bCs w:val="0"/>
                      <w:color w:val="auto"/>
                      <w:szCs w:val="21"/>
                      <w:highlight w:val="none"/>
                      <w:lang w:val="en-US" w:eastAsia="zh-CN"/>
                    </w:rPr>
                    <w:t>现有项目</w:t>
                  </w:r>
                </w:p>
              </w:tc>
            </w:tr>
            <w:tr w14:paraId="4578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0E90E6C6">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auto"/>
                      <w:szCs w:val="21"/>
                      <w:highlight w:val="none"/>
                    </w:rPr>
                    <w:t>项目名称</w:t>
                  </w:r>
                </w:p>
              </w:tc>
              <w:tc>
                <w:tcPr>
                  <w:tcW w:w="3507" w:type="pct"/>
                  <w:tcBorders>
                    <w:tl2br w:val="nil"/>
                    <w:tr2bl w:val="nil"/>
                  </w:tcBorders>
                  <w:vAlign w:val="center"/>
                </w:tcPr>
                <w:p w14:paraId="67F1E204">
                  <w:pPr>
                    <w:pStyle w:val="48"/>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0" w:firstLineChars="0"/>
                    <w:textAlignment w:val="auto"/>
                    <w:rPr>
                      <w:rFonts w:ascii="Times New Roman"/>
                      <w:color w:val="auto"/>
                      <w:szCs w:val="21"/>
                      <w:highlight w:val="none"/>
                    </w:rPr>
                  </w:pPr>
                  <w:r>
                    <w:rPr>
                      <w:rFonts w:hint="eastAsia" w:ascii="Times New Roman"/>
                      <w:bCs/>
                      <w:color w:val="auto"/>
                      <w:szCs w:val="21"/>
                      <w:highlight w:val="none"/>
                    </w:rPr>
                    <w:t>汉圣化工年产10万t特种蜡项目</w:t>
                  </w:r>
                </w:p>
              </w:tc>
            </w:tr>
            <w:tr w14:paraId="04DC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3DD6DC26">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auto"/>
                      <w:szCs w:val="21"/>
                      <w:highlight w:val="none"/>
                    </w:rPr>
                    <w:t>建设地点</w:t>
                  </w:r>
                </w:p>
              </w:tc>
              <w:tc>
                <w:tcPr>
                  <w:tcW w:w="3507" w:type="pct"/>
                  <w:tcBorders>
                    <w:tl2br w:val="nil"/>
                    <w:tr2bl w:val="nil"/>
                  </w:tcBorders>
                  <w:vAlign w:val="center"/>
                </w:tcPr>
                <w:p w14:paraId="76C87FCF">
                  <w:pPr>
                    <w:pStyle w:val="48"/>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0" w:firstLineChars="0"/>
                    <w:textAlignment w:val="auto"/>
                    <w:rPr>
                      <w:rFonts w:ascii="Times New Roman"/>
                      <w:color w:val="auto"/>
                      <w:szCs w:val="21"/>
                      <w:highlight w:val="none"/>
                    </w:rPr>
                  </w:pPr>
                  <w:r>
                    <w:rPr>
                      <w:rFonts w:hint="eastAsia" w:ascii="Times New Roman"/>
                      <w:color w:val="auto"/>
                      <w:szCs w:val="21"/>
                      <w:highlight w:val="none"/>
                    </w:rPr>
                    <w:t>辽宁省抚顺市东洲区龙祥路3号</w:t>
                  </w:r>
                </w:p>
              </w:tc>
            </w:tr>
            <w:tr w14:paraId="4203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0AA56496">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auto"/>
                      <w:szCs w:val="21"/>
                      <w:highlight w:val="none"/>
                    </w:rPr>
                    <w:t>生产规模</w:t>
                  </w:r>
                </w:p>
              </w:tc>
              <w:tc>
                <w:tcPr>
                  <w:tcW w:w="3507" w:type="pct"/>
                  <w:tcBorders>
                    <w:tl2br w:val="nil"/>
                    <w:tr2bl w:val="nil"/>
                  </w:tcBorders>
                  <w:vAlign w:val="center"/>
                </w:tcPr>
                <w:p w14:paraId="06107FCD">
                  <w:pPr>
                    <w:pStyle w:val="48"/>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0" w:firstLineChars="0"/>
                    <w:textAlignment w:val="auto"/>
                    <w:rPr>
                      <w:rFonts w:ascii="Times New Roman"/>
                      <w:color w:val="auto"/>
                      <w:szCs w:val="21"/>
                      <w:highlight w:val="none"/>
                    </w:rPr>
                  </w:pPr>
                  <w:r>
                    <w:rPr>
                      <w:rFonts w:hint="eastAsia" w:ascii="Times New Roman"/>
                      <w:color w:val="auto"/>
                      <w:szCs w:val="21"/>
                      <w:highlight w:val="none"/>
                    </w:rPr>
                    <w:t>橡胶防护蜡</w:t>
                  </w:r>
                  <w:r>
                    <w:rPr>
                      <w:rFonts w:hint="eastAsia" w:ascii="Times New Roman"/>
                      <w:color w:val="auto"/>
                      <w:szCs w:val="21"/>
                      <w:highlight w:val="none"/>
                      <w:lang w:val="en-US" w:eastAsia="zh-CN"/>
                    </w:rPr>
                    <w:t xml:space="preserve"> </w:t>
                  </w:r>
                  <w:r>
                    <w:rPr>
                      <w:rFonts w:hint="eastAsia" w:ascii="Times New Roman"/>
                      <w:color w:val="auto"/>
                      <w:szCs w:val="21"/>
                      <w:highlight w:val="none"/>
                    </w:rPr>
                    <w:t>10000t/a</w:t>
                  </w:r>
                  <w:r>
                    <w:rPr>
                      <w:rFonts w:hint="eastAsia" w:ascii="Times New Roman"/>
                      <w:color w:val="auto"/>
                      <w:szCs w:val="21"/>
                      <w:highlight w:val="none"/>
                      <w:lang w:eastAsia="zh-CN"/>
                    </w:rPr>
                    <w:t>、</w:t>
                  </w:r>
                  <w:r>
                    <w:rPr>
                      <w:rFonts w:hint="eastAsia" w:ascii="Times New Roman"/>
                      <w:color w:val="auto"/>
                      <w:szCs w:val="21"/>
                      <w:highlight w:val="none"/>
                    </w:rPr>
                    <w:t>包装蜡</w:t>
                  </w:r>
                  <w:r>
                    <w:rPr>
                      <w:rFonts w:hint="eastAsia" w:ascii="Times New Roman"/>
                      <w:color w:val="auto"/>
                      <w:szCs w:val="21"/>
                      <w:highlight w:val="none"/>
                      <w:lang w:val="en-US" w:eastAsia="zh-CN"/>
                    </w:rPr>
                    <w:t xml:space="preserve"> </w:t>
                  </w:r>
                  <w:r>
                    <w:rPr>
                      <w:rFonts w:hint="eastAsia" w:ascii="Times New Roman"/>
                      <w:color w:val="auto"/>
                      <w:szCs w:val="21"/>
                      <w:highlight w:val="none"/>
                    </w:rPr>
                    <w:t>20000t/a</w:t>
                  </w:r>
                  <w:r>
                    <w:rPr>
                      <w:rFonts w:hint="eastAsia" w:ascii="Times New Roman"/>
                      <w:color w:val="auto"/>
                      <w:szCs w:val="21"/>
                      <w:highlight w:val="none"/>
                      <w:lang w:eastAsia="zh-CN"/>
                    </w:rPr>
                    <w:t>、</w:t>
                  </w:r>
                  <w:r>
                    <w:rPr>
                      <w:rFonts w:hint="eastAsia" w:ascii="Times New Roman"/>
                      <w:color w:val="auto"/>
                      <w:szCs w:val="21"/>
                      <w:highlight w:val="none"/>
                    </w:rPr>
                    <w:t>凡士林</w:t>
                  </w:r>
                  <w:r>
                    <w:rPr>
                      <w:rFonts w:hint="eastAsia" w:ascii="Times New Roman"/>
                      <w:color w:val="auto"/>
                      <w:szCs w:val="21"/>
                      <w:highlight w:val="none"/>
                      <w:lang w:val="en-US" w:eastAsia="zh-CN"/>
                    </w:rPr>
                    <w:t xml:space="preserve"> </w:t>
                  </w:r>
                  <w:r>
                    <w:rPr>
                      <w:rFonts w:hint="eastAsia" w:ascii="Times New Roman"/>
                      <w:color w:val="auto"/>
                      <w:szCs w:val="21"/>
                      <w:highlight w:val="none"/>
                    </w:rPr>
                    <w:t>10000t/a</w:t>
                  </w:r>
                </w:p>
              </w:tc>
            </w:tr>
            <w:tr w14:paraId="72E0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1ACCB1C4">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FF0000"/>
                      <w:szCs w:val="21"/>
                      <w:highlight w:val="none"/>
                    </w:rPr>
                    <w:t>环评批复时间</w:t>
                  </w:r>
                </w:p>
              </w:tc>
              <w:tc>
                <w:tcPr>
                  <w:tcW w:w="3507" w:type="pct"/>
                  <w:tcBorders>
                    <w:tl2br w:val="nil"/>
                    <w:tr2bl w:val="nil"/>
                  </w:tcBorders>
                  <w:vAlign w:val="center"/>
                </w:tcPr>
                <w:p w14:paraId="39CC6F90">
                  <w:pPr>
                    <w:pStyle w:val="48"/>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0" w:firstLineChars="0"/>
                    <w:textAlignment w:val="auto"/>
                    <w:rPr>
                      <w:rFonts w:ascii="Times New Roman"/>
                      <w:color w:val="auto"/>
                      <w:szCs w:val="21"/>
                      <w:highlight w:val="none"/>
                    </w:rPr>
                  </w:pPr>
                  <w:r>
                    <w:rPr>
                      <w:rFonts w:hint="eastAsia" w:ascii="Times New Roman"/>
                      <w:color w:val="auto"/>
                      <w:szCs w:val="21"/>
                      <w:highlight w:val="none"/>
                    </w:rPr>
                    <w:t>辽环函【2013】155号</w:t>
                  </w:r>
                  <w:r>
                    <w:rPr>
                      <w:rFonts w:ascii="Times New Roman"/>
                      <w:color w:val="auto"/>
                      <w:szCs w:val="21"/>
                      <w:highlight w:val="none"/>
                    </w:rPr>
                    <w:t>，20</w:t>
                  </w:r>
                  <w:r>
                    <w:rPr>
                      <w:rFonts w:hint="eastAsia" w:ascii="Times New Roman"/>
                      <w:color w:val="auto"/>
                      <w:szCs w:val="21"/>
                      <w:highlight w:val="none"/>
                      <w:lang w:val="en-US" w:eastAsia="zh-CN"/>
                    </w:rPr>
                    <w:t>13</w:t>
                  </w:r>
                  <w:r>
                    <w:rPr>
                      <w:rFonts w:ascii="Times New Roman"/>
                      <w:color w:val="auto"/>
                      <w:szCs w:val="21"/>
                      <w:highlight w:val="none"/>
                    </w:rPr>
                    <w:t>年</w:t>
                  </w:r>
                  <w:r>
                    <w:rPr>
                      <w:rFonts w:hint="eastAsia" w:ascii="Times New Roman"/>
                      <w:color w:val="auto"/>
                      <w:szCs w:val="21"/>
                      <w:highlight w:val="none"/>
                      <w:lang w:val="en-US" w:eastAsia="zh-CN"/>
                    </w:rPr>
                    <w:t>4</w:t>
                  </w:r>
                  <w:r>
                    <w:rPr>
                      <w:rFonts w:ascii="Times New Roman"/>
                      <w:color w:val="auto"/>
                      <w:szCs w:val="21"/>
                      <w:highlight w:val="none"/>
                    </w:rPr>
                    <w:t>月</w:t>
                  </w:r>
                  <w:r>
                    <w:rPr>
                      <w:rFonts w:hint="eastAsia" w:ascii="Times New Roman"/>
                      <w:color w:val="auto"/>
                      <w:szCs w:val="21"/>
                      <w:highlight w:val="none"/>
                      <w:lang w:val="en-US" w:eastAsia="zh-CN"/>
                    </w:rPr>
                    <w:t>2</w:t>
                  </w:r>
                  <w:r>
                    <w:rPr>
                      <w:rFonts w:ascii="Times New Roman"/>
                      <w:color w:val="auto"/>
                      <w:szCs w:val="21"/>
                      <w:highlight w:val="none"/>
                    </w:rPr>
                    <w:t>8日</w:t>
                  </w:r>
                </w:p>
              </w:tc>
            </w:tr>
            <w:tr w14:paraId="24A2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3510D350">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auto"/>
                      <w:szCs w:val="21"/>
                      <w:highlight w:val="none"/>
                    </w:rPr>
                    <w:t>排污许可证号码</w:t>
                  </w:r>
                </w:p>
              </w:tc>
              <w:tc>
                <w:tcPr>
                  <w:tcW w:w="3507" w:type="pct"/>
                  <w:tcBorders>
                    <w:tl2br w:val="nil"/>
                    <w:tr2bl w:val="nil"/>
                  </w:tcBorders>
                  <w:vAlign w:val="center"/>
                </w:tcPr>
                <w:p w14:paraId="6187750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color w:val="auto"/>
                      <w:szCs w:val="21"/>
                      <w:highlight w:val="none"/>
                    </w:rPr>
                  </w:pPr>
                  <w:r>
                    <w:rPr>
                      <w:rFonts w:hint="eastAsia"/>
                      <w:color w:val="auto"/>
                      <w:szCs w:val="21"/>
                      <w:highlight w:val="none"/>
                    </w:rPr>
                    <w:t>登记管理，9121040056464512XU001P</w:t>
                  </w:r>
                </w:p>
              </w:tc>
            </w:tr>
            <w:tr w14:paraId="0DD6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0F0E2326">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FF0000"/>
                      <w:szCs w:val="21"/>
                      <w:highlight w:val="none"/>
                    </w:rPr>
                    <w:t>竣工验收时间</w:t>
                  </w:r>
                </w:p>
              </w:tc>
              <w:tc>
                <w:tcPr>
                  <w:tcW w:w="3507" w:type="pct"/>
                  <w:tcBorders>
                    <w:tl2br w:val="nil"/>
                    <w:tr2bl w:val="nil"/>
                  </w:tcBorders>
                  <w:vAlign w:val="center"/>
                </w:tcPr>
                <w:p w14:paraId="2C673130">
                  <w:pPr>
                    <w:pStyle w:val="48"/>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0" w:firstLineChars="0"/>
                    <w:textAlignment w:val="auto"/>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2015年3月，验收意见（辽环函[2015]286号）</w:t>
                  </w:r>
                </w:p>
              </w:tc>
            </w:tr>
            <w:tr w14:paraId="032E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032050E7">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auto"/>
                      <w:szCs w:val="21"/>
                      <w:highlight w:val="none"/>
                    </w:rPr>
                    <w:t>突发环境事件应急预案</w:t>
                  </w:r>
                </w:p>
              </w:tc>
              <w:tc>
                <w:tcPr>
                  <w:tcW w:w="3507" w:type="pct"/>
                  <w:tcBorders>
                    <w:tl2br w:val="nil"/>
                    <w:tr2bl w:val="nil"/>
                  </w:tcBorders>
                  <w:vAlign w:val="center"/>
                </w:tcPr>
                <w:p w14:paraId="09CC7195">
                  <w:pPr>
                    <w:pStyle w:val="48"/>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0" w:firstLineChars="0"/>
                    <w:textAlignment w:val="auto"/>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2023年（备案文件见附件）</w:t>
                  </w:r>
                </w:p>
              </w:tc>
            </w:tr>
            <w:tr w14:paraId="7ADD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92" w:type="pct"/>
                  <w:tcBorders>
                    <w:tl2br w:val="nil"/>
                    <w:tr2bl w:val="nil"/>
                  </w:tcBorders>
                  <w:vAlign w:val="center"/>
                </w:tcPr>
                <w:p w14:paraId="19F9058E">
                  <w:pPr>
                    <w:pStyle w:val="48"/>
                    <w:keepNext w:val="0"/>
                    <w:keepLines w:val="0"/>
                    <w:suppressLineNumbers w:val="0"/>
                    <w:spacing w:before="31" w:beforeAutospacing="0" w:after="31" w:afterAutospacing="0"/>
                    <w:ind w:right="0"/>
                    <w:rPr>
                      <w:rFonts w:ascii="Times New Roman"/>
                      <w:b w:val="0"/>
                      <w:bCs w:val="0"/>
                      <w:color w:val="auto"/>
                      <w:szCs w:val="21"/>
                      <w:highlight w:val="none"/>
                    </w:rPr>
                  </w:pPr>
                  <w:r>
                    <w:rPr>
                      <w:rFonts w:hint="eastAsia" w:ascii="Times New Roman"/>
                      <w:b w:val="0"/>
                      <w:bCs w:val="0"/>
                      <w:color w:val="auto"/>
                      <w:szCs w:val="21"/>
                      <w:highlight w:val="none"/>
                    </w:rPr>
                    <w:t>实际建设情况</w:t>
                  </w:r>
                </w:p>
              </w:tc>
              <w:tc>
                <w:tcPr>
                  <w:tcW w:w="3507" w:type="pct"/>
                  <w:tcBorders>
                    <w:tl2br w:val="nil"/>
                    <w:tr2bl w:val="nil"/>
                  </w:tcBorders>
                  <w:vAlign w:val="center"/>
                </w:tcPr>
                <w:p w14:paraId="0156D2B1">
                  <w:pPr>
                    <w:pStyle w:val="48"/>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auto"/>
                    <w:ind w:left="0" w:right="0" w:firstLine="0" w:firstLineChars="0"/>
                    <w:jc w:val="center"/>
                    <w:textAlignment w:val="auto"/>
                    <w:rPr>
                      <w:rFonts w:hint="default" w:ascii="Times New Roman" w:eastAsia="宋体"/>
                      <w:color w:val="auto"/>
                      <w:szCs w:val="21"/>
                      <w:highlight w:val="none"/>
                      <w:lang w:val="en-US" w:eastAsia="zh-CN"/>
                    </w:rPr>
                  </w:pPr>
                  <w:r>
                    <w:rPr>
                      <w:rFonts w:hint="eastAsia" w:ascii="Times New Roman"/>
                      <w:color w:val="auto"/>
                      <w:szCs w:val="21"/>
                      <w:highlight w:val="none"/>
                      <w:lang w:val="en-US" w:eastAsia="zh-CN"/>
                    </w:rPr>
                    <w:t>与环评一致</w:t>
                  </w:r>
                </w:p>
              </w:tc>
            </w:tr>
          </w:tbl>
          <w:p w14:paraId="619C22A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2" w:firstLineChars="200"/>
              <w:textAlignment w:val="auto"/>
              <w:rPr>
                <w:b/>
                <w:bCs/>
                <w:color w:val="auto"/>
                <w:sz w:val="24"/>
                <w:highlight w:val="none"/>
              </w:rPr>
            </w:pPr>
            <w:r>
              <w:rPr>
                <w:rFonts w:hint="eastAsia"/>
                <w:b/>
                <w:bCs/>
                <w:color w:val="auto"/>
                <w:sz w:val="24"/>
                <w:highlight w:val="none"/>
              </w:rPr>
              <w:t>3、原有工程项目组成</w:t>
            </w:r>
          </w:p>
          <w:p w14:paraId="3DEA9924">
            <w:pPr>
              <w:keepNext w:val="0"/>
              <w:keepLines w:val="0"/>
              <w:suppressLineNumbers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原有工程项目组成情况详见下表。</w:t>
            </w:r>
          </w:p>
          <w:p w14:paraId="6C01DB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rPr>
            </w:pPr>
            <w:r>
              <w:rPr>
                <w:rFonts w:hint="eastAsia"/>
                <w:color w:val="auto"/>
                <w:sz w:val="24"/>
                <w:highlight w:val="none"/>
              </w:rPr>
              <w:t>表2-1</w:t>
            </w:r>
            <w:r>
              <w:rPr>
                <w:rFonts w:hint="eastAsia"/>
                <w:color w:val="auto"/>
                <w:sz w:val="24"/>
                <w:highlight w:val="none"/>
                <w:lang w:val="en-US" w:eastAsia="zh-CN"/>
              </w:rPr>
              <w:t xml:space="preserve">6  </w:t>
            </w:r>
            <w:r>
              <w:rPr>
                <w:rFonts w:hint="eastAsia"/>
                <w:color w:val="auto"/>
                <w:sz w:val="24"/>
                <w:highlight w:val="none"/>
              </w:rPr>
              <w:t>项目组成一览表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761"/>
              <w:gridCol w:w="533"/>
              <w:gridCol w:w="1610"/>
              <w:gridCol w:w="4041"/>
            </w:tblGrid>
            <w:tr w14:paraId="1AC5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jc w:val="center"/>
              </w:trPr>
              <w:tc>
                <w:tcPr>
                  <w:tcW w:w="938" w:type="dxa"/>
                  <w:tcBorders>
                    <w:tl2br w:val="nil"/>
                    <w:tr2bl w:val="nil"/>
                  </w:tcBorders>
                  <w:noWrap w:val="0"/>
                  <w:vAlign w:val="center"/>
                </w:tcPr>
                <w:p w14:paraId="553A4D2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工程类别</w:t>
                  </w:r>
                </w:p>
              </w:tc>
              <w:tc>
                <w:tcPr>
                  <w:tcW w:w="761" w:type="dxa"/>
                  <w:tcBorders>
                    <w:tl2br w:val="nil"/>
                    <w:tr2bl w:val="nil"/>
                  </w:tcBorders>
                  <w:noWrap w:val="0"/>
                  <w:vAlign w:val="center"/>
                </w:tcPr>
                <w:p w14:paraId="7BA7773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2143" w:type="dxa"/>
                  <w:gridSpan w:val="2"/>
                  <w:tcBorders>
                    <w:tl2br w:val="nil"/>
                    <w:tr2bl w:val="nil"/>
                  </w:tcBorders>
                  <w:noWrap w:val="0"/>
                  <w:vAlign w:val="center"/>
                </w:tcPr>
                <w:p w14:paraId="66E18ED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工程名称</w:t>
                  </w:r>
                </w:p>
              </w:tc>
              <w:tc>
                <w:tcPr>
                  <w:tcW w:w="4041" w:type="dxa"/>
                  <w:tcBorders>
                    <w:tl2br w:val="nil"/>
                    <w:tr2bl w:val="nil"/>
                  </w:tcBorders>
                  <w:noWrap w:val="0"/>
                  <w:vAlign w:val="center"/>
                </w:tcPr>
                <w:p w14:paraId="3BB54C99">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规模</w:t>
                  </w:r>
                </w:p>
              </w:tc>
            </w:tr>
            <w:tr w14:paraId="3944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938" w:type="dxa"/>
                  <w:vMerge w:val="restart"/>
                  <w:tcBorders>
                    <w:tl2br w:val="nil"/>
                    <w:tr2bl w:val="nil"/>
                  </w:tcBorders>
                  <w:noWrap w:val="0"/>
                  <w:vAlign w:val="center"/>
                </w:tcPr>
                <w:p w14:paraId="389819A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主体</w:t>
                  </w:r>
                </w:p>
                <w:p w14:paraId="03ACD41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761" w:type="dxa"/>
                  <w:tcBorders>
                    <w:tl2br w:val="nil"/>
                    <w:tr2bl w:val="nil"/>
                  </w:tcBorders>
                  <w:noWrap w:val="0"/>
                  <w:vAlign w:val="center"/>
                </w:tcPr>
                <w:p w14:paraId="68572B6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533" w:type="dxa"/>
                  <w:vMerge w:val="restart"/>
                  <w:tcBorders>
                    <w:tl2br w:val="nil"/>
                    <w:tr2bl w:val="nil"/>
                  </w:tcBorders>
                  <w:noWrap w:val="0"/>
                  <w:vAlign w:val="center"/>
                </w:tcPr>
                <w:p w14:paraId="2DA1861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w:t>
                  </w:r>
                </w:p>
                <w:p w14:paraId="5B5E465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w:t>
                  </w:r>
                </w:p>
                <w:p w14:paraId="06D673F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车</w:t>
                  </w:r>
                </w:p>
                <w:p w14:paraId="7AF9673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间</w:t>
                  </w:r>
                </w:p>
              </w:tc>
              <w:tc>
                <w:tcPr>
                  <w:tcW w:w="1610" w:type="dxa"/>
                  <w:tcBorders>
                    <w:tl2br w:val="nil"/>
                    <w:tr2bl w:val="nil"/>
                  </w:tcBorders>
                  <w:shd w:val="clear" w:color="auto" w:fill="auto"/>
                  <w:noWrap w:val="0"/>
                  <w:vAlign w:val="center"/>
                </w:tcPr>
                <w:p w14:paraId="6C9194B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橡胶防护蜡生产线</w:t>
                  </w:r>
                </w:p>
              </w:tc>
              <w:tc>
                <w:tcPr>
                  <w:tcW w:w="4041" w:type="dxa"/>
                  <w:tcBorders>
                    <w:tl2br w:val="nil"/>
                    <w:tr2bl w:val="nil"/>
                  </w:tcBorders>
                  <w:shd w:val="clear" w:color="auto" w:fill="auto"/>
                  <w:noWrap w:val="0"/>
                  <w:vAlign w:val="center"/>
                </w:tcPr>
                <w:p w14:paraId="5A17542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1条1万t/a生产线</w:t>
                  </w:r>
                </w:p>
              </w:tc>
            </w:tr>
            <w:tr w14:paraId="3B2C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938" w:type="dxa"/>
                  <w:vMerge w:val="continue"/>
                  <w:tcBorders>
                    <w:tl2br w:val="nil"/>
                    <w:tr2bl w:val="nil"/>
                  </w:tcBorders>
                  <w:noWrap w:val="0"/>
                  <w:vAlign w:val="center"/>
                </w:tcPr>
                <w:p w14:paraId="2D734F71">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09B0BF7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533" w:type="dxa"/>
                  <w:vMerge w:val="continue"/>
                  <w:tcBorders>
                    <w:tl2br w:val="nil"/>
                    <w:tr2bl w:val="nil"/>
                  </w:tcBorders>
                  <w:noWrap w:val="0"/>
                  <w:vAlign w:val="center"/>
                </w:tcPr>
                <w:p w14:paraId="7ACC911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1610" w:type="dxa"/>
                  <w:tcBorders>
                    <w:tl2br w:val="nil"/>
                    <w:tr2bl w:val="nil"/>
                  </w:tcBorders>
                  <w:shd w:val="clear" w:color="auto" w:fill="auto"/>
                  <w:noWrap w:val="0"/>
                  <w:vAlign w:val="center"/>
                </w:tcPr>
                <w:p w14:paraId="5632827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包装蜡生产线</w:t>
                  </w:r>
                </w:p>
              </w:tc>
              <w:tc>
                <w:tcPr>
                  <w:tcW w:w="4041" w:type="dxa"/>
                  <w:tcBorders>
                    <w:tl2br w:val="nil"/>
                    <w:tr2bl w:val="nil"/>
                  </w:tcBorders>
                  <w:shd w:val="clear" w:color="auto" w:fill="auto"/>
                  <w:noWrap w:val="0"/>
                  <w:vAlign w:val="center"/>
                </w:tcPr>
                <w:p w14:paraId="7CDE8149">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1条2万t/a生产线</w:t>
                  </w:r>
                </w:p>
              </w:tc>
            </w:tr>
            <w:tr w14:paraId="6D4E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8" w:type="dxa"/>
                  <w:vMerge w:val="continue"/>
                  <w:tcBorders>
                    <w:tl2br w:val="nil"/>
                    <w:tr2bl w:val="nil"/>
                  </w:tcBorders>
                  <w:noWrap w:val="0"/>
                  <w:vAlign w:val="center"/>
                </w:tcPr>
                <w:p w14:paraId="3CD24033">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6264A2A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533" w:type="dxa"/>
                  <w:vMerge w:val="continue"/>
                  <w:tcBorders>
                    <w:tl2br w:val="nil"/>
                    <w:tr2bl w:val="nil"/>
                  </w:tcBorders>
                  <w:noWrap w:val="0"/>
                  <w:vAlign w:val="center"/>
                </w:tcPr>
                <w:p w14:paraId="2B944A3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1610" w:type="dxa"/>
                  <w:tcBorders>
                    <w:tl2br w:val="nil"/>
                    <w:tr2bl w:val="nil"/>
                  </w:tcBorders>
                  <w:shd w:val="clear" w:color="auto" w:fill="auto"/>
                  <w:noWrap w:val="0"/>
                  <w:vAlign w:val="center"/>
                </w:tcPr>
                <w:p w14:paraId="714ED89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凡士林生产线</w:t>
                  </w:r>
                </w:p>
              </w:tc>
              <w:tc>
                <w:tcPr>
                  <w:tcW w:w="4041" w:type="dxa"/>
                  <w:tcBorders>
                    <w:tl2br w:val="nil"/>
                    <w:tr2bl w:val="nil"/>
                  </w:tcBorders>
                  <w:shd w:val="clear" w:color="auto" w:fill="auto"/>
                  <w:noWrap w:val="0"/>
                  <w:vAlign w:val="center"/>
                </w:tcPr>
                <w:p w14:paraId="22538780">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1条1万t/a生产线</w:t>
                  </w:r>
                </w:p>
              </w:tc>
            </w:tr>
            <w:tr w14:paraId="6F2C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exact"/>
                <w:jc w:val="center"/>
              </w:trPr>
              <w:tc>
                <w:tcPr>
                  <w:tcW w:w="938" w:type="dxa"/>
                  <w:vMerge w:val="restart"/>
                  <w:tcBorders>
                    <w:tl2br w:val="nil"/>
                    <w:tr2bl w:val="nil"/>
                  </w:tcBorders>
                  <w:noWrap w:val="0"/>
                  <w:vAlign w:val="center"/>
                </w:tcPr>
                <w:p w14:paraId="5A48A8E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储运</w:t>
                  </w:r>
                </w:p>
                <w:p w14:paraId="6DBC2F1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761" w:type="dxa"/>
                  <w:tcBorders>
                    <w:tl2br w:val="nil"/>
                    <w:tr2bl w:val="nil"/>
                  </w:tcBorders>
                  <w:noWrap w:val="0"/>
                  <w:vAlign w:val="center"/>
                </w:tcPr>
                <w:p w14:paraId="38B8A49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143" w:type="dxa"/>
                  <w:gridSpan w:val="2"/>
                  <w:tcBorders>
                    <w:tl2br w:val="nil"/>
                    <w:tr2bl w:val="nil"/>
                  </w:tcBorders>
                  <w:noWrap w:val="0"/>
                  <w:vAlign w:val="center"/>
                </w:tcPr>
                <w:p w14:paraId="480B4EC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罐区A</w:t>
                  </w:r>
                </w:p>
              </w:tc>
              <w:tc>
                <w:tcPr>
                  <w:tcW w:w="4041" w:type="dxa"/>
                  <w:tcBorders>
                    <w:tl2br w:val="nil"/>
                    <w:tr2bl w:val="nil"/>
                  </w:tcBorders>
                  <w:noWrap w:val="0"/>
                  <w:vAlign w:val="center"/>
                </w:tcPr>
                <w:p w14:paraId="5968521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25座拱顶/立式储罐，总容积4540m</w:t>
                  </w:r>
                  <w:r>
                    <w:rPr>
                      <w:rFonts w:hint="default" w:ascii="Times New Roman" w:hAnsi="Times New Roman" w:cs="Times New Roman"/>
                      <w:color w:val="auto"/>
                      <w:szCs w:val="21"/>
                      <w:highlight w:val="none"/>
                      <w:vertAlign w:val="superscript"/>
                    </w:rPr>
                    <w:t>3</w:t>
                  </w:r>
                </w:p>
              </w:tc>
            </w:tr>
            <w:tr w14:paraId="14F7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8" w:type="dxa"/>
                  <w:vMerge w:val="continue"/>
                  <w:tcBorders>
                    <w:tl2br w:val="nil"/>
                    <w:tr2bl w:val="nil"/>
                  </w:tcBorders>
                  <w:noWrap w:val="0"/>
                  <w:vAlign w:val="center"/>
                </w:tcPr>
                <w:p w14:paraId="35CB5350">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19B3DF9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143" w:type="dxa"/>
                  <w:gridSpan w:val="2"/>
                  <w:tcBorders>
                    <w:tl2br w:val="nil"/>
                    <w:tr2bl w:val="nil"/>
                  </w:tcBorders>
                  <w:noWrap w:val="0"/>
                  <w:vAlign w:val="center"/>
                </w:tcPr>
                <w:p w14:paraId="0A5C4BC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罐区B（设有泵房）</w:t>
                  </w:r>
                </w:p>
              </w:tc>
              <w:tc>
                <w:tcPr>
                  <w:tcW w:w="4041" w:type="dxa"/>
                  <w:tcBorders>
                    <w:tl2br w:val="nil"/>
                    <w:tr2bl w:val="nil"/>
                  </w:tcBorders>
                  <w:noWrap w:val="0"/>
                  <w:vAlign w:val="center"/>
                </w:tcPr>
                <w:p w14:paraId="01DDCDC2">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11座拱顶储罐，总容积25900m</w:t>
                  </w:r>
                  <w:r>
                    <w:rPr>
                      <w:rFonts w:hint="default" w:ascii="Times New Roman" w:hAnsi="Times New Roman" w:cs="Times New Roman"/>
                      <w:color w:val="auto"/>
                      <w:szCs w:val="21"/>
                      <w:highlight w:val="none"/>
                      <w:vertAlign w:val="superscript"/>
                    </w:rPr>
                    <w:t>3</w:t>
                  </w:r>
                </w:p>
              </w:tc>
            </w:tr>
            <w:tr w14:paraId="0730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restart"/>
                  <w:tcBorders>
                    <w:tl2br w:val="nil"/>
                    <w:tr2bl w:val="nil"/>
                  </w:tcBorders>
                  <w:noWrap w:val="0"/>
                  <w:vAlign w:val="center"/>
                </w:tcPr>
                <w:p w14:paraId="65D7ADF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储运</w:t>
                  </w:r>
                </w:p>
                <w:p w14:paraId="04C324D9">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761" w:type="dxa"/>
                  <w:tcBorders>
                    <w:tl2br w:val="nil"/>
                    <w:tr2bl w:val="nil"/>
                  </w:tcBorders>
                  <w:noWrap w:val="0"/>
                  <w:vAlign w:val="center"/>
                </w:tcPr>
                <w:p w14:paraId="2E917A32">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2143" w:type="dxa"/>
                  <w:gridSpan w:val="2"/>
                  <w:tcBorders>
                    <w:tl2br w:val="nil"/>
                    <w:tr2bl w:val="nil"/>
                  </w:tcBorders>
                  <w:noWrap w:val="0"/>
                  <w:vAlign w:val="center"/>
                </w:tcPr>
                <w:p w14:paraId="4DCA171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液化天然气储罐</w:t>
                  </w:r>
                </w:p>
              </w:tc>
              <w:tc>
                <w:tcPr>
                  <w:tcW w:w="4041" w:type="dxa"/>
                  <w:tcBorders>
                    <w:tl2br w:val="nil"/>
                    <w:tr2bl w:val="nil"/>
                  </w:tcBorders>
                  <w:noWrap w:val="0"/>
                  <w:vAlign w:val="center"/>
                </w:tcPr>
                <w:p w14:paraId="7F988EF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1座卧式储罐，容积60m</w:t>
                  </w:r>
                  <w:r>
                    <w:rPr>
                      <w:rFonts w:hint="default" w:ascii="Times New Roman" w:hAnsi="Times New Roman" w:cs="Times New Roman"/>
                      <w:color w:val="auto"/>
                      <w:szCs w:val="21"/>
                      <w:highlight w:val="none"/>
                      <w:vertAlign w:val="superscript"/>
                    </w:rPr>
                    <w:t>3</w:t>
                  </w:r>
                </w:p>
              </w:tc>
            </w:tr>
            <w:tr w14:paraId="28CA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4FA8C02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54A5C27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2143" w:type="dxa"/>
                  <w:gridSpan w:val="2"/>
                  <w:tcBorders>
                    <w:tl2br w:val="nil"/>
                    <w:tr2bl w:val="nil"/>
                  </w:tcBorders>
                  <w:noWrap w:val="0"/>
                  <w:vAlign w:val="center"/>
                </w:tcPr>
                <w:p w14:paraId="308F63E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罐车装载站</w:t>
                  </w:r>
                </w:p>
              </w:tc>
              <w:tc>
                <w:tcPr>
                  <w:tcW w:w="4041" w:type="dxa"/>
                  <w:tcBorders>
                    <w:tl2br w:val="nil"/>
                    <w:tr2bl w:val="nil"/>
                  </w:tcBorders>
                  <w:noWrap w:val="0"/>
                  <w:vAlign w:val="center"/>
                </w:tcPr>
                <w:p w14:paraId="5EF387C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6个汽车罐车装载位</w:t>
                  </w:r>
                </w:p>
              </w:tc>
            </w:tr>
            <w:tr w14:paraId="5D7E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615DBA32">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3164163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2143" w:type="dxa"/>
                  <w:gridSpan w:val="2"/>
                  <w:tcBorders>
                    <w:tl2br w:val="nil"/>
                    <w:tr2bl w:val="nil"/>
                  </w:tcBorders>
                  <w:noWrap w:val="0"/>
                  <w:vAlign w:val="center"/>
                </w:tcPr>
                <w:p w14:paraId="00265F6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原料库房</w:t>
                  </w:r>
                </w:p>
              </w:tc>
              <w:tc>
                <w:tcPr>
                  <w:tcW w:w="4041" w:type="dxa"/>
                  <w:tcBorders>
                    <w:tl2br w:val="nil"/>
                    <w:tr2bl w:val="nil"/>
                  </w:tcBorders>
                  <w:noWrap w:val="0"/>
                  <w:vAlign w:val="center"/>
                </w:tcPr>
                <w:p w14:paraId="3DF0EBA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1座，1558m</w:t>
                  </w:r>
                  <w:r>
                    <w:rPr>
                      <w:rFonts w:hint="default" w:ascii="Times New Roman" w:hAnsi="Times New Roman" w:cs="Times New Roman"/>
                      <w:color w:val="auto"/>
                      <w:szCs w:val="21"/>
                      <w:highlight w:val="none"/>
                      <w:vertAlign w:val="superscript"/>
                    </w:rPr>
                    <w:t>2</w:t>
                  </w:r>
                </w:p>
              </w:tc>
            </w:tr>
            <w:tr w14:paraId="61EB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0E322BF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38AC183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2143" w:type="dxa"/>
                  <w:gridSpan w:val="2"/>
                  <w:tcBorders>
                    <w:tl2br w:val="nil"/>
                    <w:tr2bl w:val="nil"/>
                  </w:tcBorders>
                  <w:noWrap w:val="0"/>
                  <w:vAlign w:val="center"/>
                </w:tcPr>
                <w:p w14:paraId="649B51B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成品库房</w:t>
                  </w:r>
                </w:p>
              </w:tc>
              <w:tc>
                <w:tcPr>
                  <w:tcW w:w="4041" w:type="dxa"/>
                  <w:tcBorders>
                    <w:tl2br w:val="nil"/>
                    <w:tr2bl w:val="nil"/>
                  </w:tcBorders>
                  <w:noWrap w:val="0"/>
                  <w:vAlign w:val="center"/>
                </w:tcPr>
                <w:p w14:paraId="525207F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1座，3116m</w:t>
                  </w:r>
                  <w:r>
                    <w:rPr>
                      <w:rFonts w:hint="default" w:ascii="Times New Roman" w:hAnsi="Times New Roman" w:cs="Times New Roman"/>
                      <w:color w:val="auto"/>
                      <w:szCs w:val="21"/>
                      <w:highlight w:val="none"/>
                      <w:vertAlign w:val="superscript"/>
                    </w:rPr>
                    <w:t>2</w:t>
                  </w:r>
                </w:p>
              </w:tc>
            </w:tr>
            <w:tr w14:paraId="75CF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2B6124B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07B8128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2143" w:type="dxa"/>
                  <w:gridSpan w:val="2"/>
                  <w:tcBorders>
                    <w:tl2br w:val="nil"/>
                    <w:tr2bl w:val="nil"/>
                  </w:tcBorders>
                  <w:noWrap w:val="0"/>
                  <w:vAlign w:val="center"/>
                </w:tcPr>
                <w:p w14:paraId="235364E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库房办公区</w:t>
                  </w:r>
                </w:p>
              </w:tc>
              <w:tc>
                <w:tcPr>
                  <w:tcW w:w="4041" w:type="dxa"/>
                  <w:tcBorders>
                    <w:tl2br w:val="nil"/>
                    <w:tr2bl w:val="nil"/>
                  </w:tcBorders>
                  <w:noWrap w:val="0"/>
                  <w:vAlign w:val="center"/>
                </w:tcPr>
                <w:p w14:paraId="6C91E7B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1座，1558m</w:t>
                  </w:r>
                  <w:r>
                    <w:rPr>
                      <w:rFonts w:hint="default" w:ascii="Times New Roman" w:hAnsi="Times New Roman" w:cs="Times New Roman"/>
                      <w:color w:val="auto"/>
                      <w:szCs w:val="21"/>
                      <w:highlight w:val="none"/>
                      <w:vertAlign w:val="superscript"/>
                    </w:rPr>
                    <w:t>2</w:t>
                  </w:r>
                </w:p>
              </w:tc>
            </w:tr>
            <w:tr w14:paraId="156E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8" w:type="dxa"/>
                  <w:vMerge w:val="restart"/>
                  <w:tcBorders>
                    <w:tl2br w:val="nil"/>
                    <w:tr2bl w:val="nil"/>
                  </w:tcBorders>
                  <w:noWrap w:val="0"/>
                  <w:vAlign w:val="center"/>
                </w:tcPr>
                <w:p w14:paraId="69A7C65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公用工程</w:t>
                  </w:r>
                </w:p>
              </w:tc>
              <w:tc>
                <w:tcPr>
                  <w:tcW w:w="761" w:type="dxa"/>
                  <w:tcBorders>
                    <w:tl2br w:val="nil"/>
                    <w:tr2bl w:val="nil"/>
                  </w:tcBorders>
                  <w:noWrap w:val="0"/>
                  <w:vAlign w:val="center"/>
                </w:tcPr>
                <w:p w14:paraId="0D07181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143" w:type="dxa"/>
                  <w:gridSpan w:val="2"/>
                  <w:tcBorders>
                    <w:tl2br w:val="nil"/>
                    <w:tr2bl w:val="nil"/>
                  </w:tcBorders>
                  <w:noWrap w:val="0"/>
                  <w:vAlign w:val="center"/>
                </w:tcPr>
                <w:p w14:paraId="7045311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新鲜水</w:t>
                  </w:r>
                </w:p>
              </w:tc>
              <w:tc>
                <w:tcPr>
                  <w:tcW w:w="4041" w:type="dxa"/>
                  <w:tcBorders>
                    <w:tl2br w:val="nil"/>
                    <w:tr2bl w:val="nil"/>
                  </w:tcBorders>
                  <w:noWrap w:val="0"/>
                  <w:vAlign w:val="center"/>
                </w:tcPr>
                <w:p w14:paraId="1C5BA048">
                  <w:pPr>
                    <w:pStyle w:val="16"/>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依托抚顺高新技术产业开发区供水系统</w:t>
                  </w:r>
                </w:p>
              </w:tc>
            </w:tr>
            <w:tr w14:paraId="754F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8" w:type="dxa"/>
                  <w:vMerge w:val="continue"/>
                  <w:tcBorders>
                    <w:tl2br w:val="nil"/>
                    <w:tr2bl w:val="nil"/>
                  </w:tcBorders>
                  <w:noWrap w:val="0"/>
                  <w:vAlign w:val="center"/>
                </w:tcPr>
                <w:p w14:paraId="4CDED32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242D728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2</w:t>
                  </w:r>
                </w:p>
              </w:tc>
              <w:tc>
                <w:tcPr>
                  <w:tcW w:w="2143" w:type="dxa"/>
                  <w:gridSpan w:val="2"/>
                  <w:tcBorders>
                    <w:tl2br w:val="nil"/>
                    <w:tr2bl w:val="nil"/>
                  </w:tcBorders>
                  <w:noWrap w:val="0"/>
                  <w:vAlign w:val="center"/>
                </w:tcPr>
                <w:p w14:paraId="611F6F2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循环水</w:t>
                  </w:r>
                </w:p>
              </w:tc>
              <w:tc>
                <w:tcPr>
                  <w:tcW w:w="4041" w:type="dxa"/>
                  <w:tcBorders>
                    <w:tl2br w:val="nil"/>
                    <w:tr2bl w:val="nil"/>
                  </w:tcBorders>
                  <w:noWrap w:val="0"/>
                  <w:vAlign w:val="center"/>
                </w:tcPr>
                <w:p w14:paraId="5DA90682">
                  <w:pPr>
                    <w:pStyle w:val="16"/>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配套建设一座150t/h循环水系统</w:t>
                  </w:r>
                </w:p>
              </w:tc>
            </w:tr>
            <w:tr w14:paraId="11B3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8" w:type="dxa"/>
                  <w:vMerge w:val="continue"/>
                  <w:tcBorders>
                    <w:tl2br w:val="nil"/>
                    <w:tr2bl w:val="nil"/>
                  </w:tcBorders>
                  <w:noWrap w:val="0"/>
                  <w:vAlign w:val="center"/>
                </w:tcPr>
                <w:p w14:paraId="31CD979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064D5089">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w:t>
                  </w:r>
                </w:p>
              </w:tc>
              <w:tc>
                <w:tcPr>
                  <w:tcW w:w="533" w:type="dxa"/>
                  <w:vMerge w:val="restart"/>
                  <w:tcBorders>
                    <w:tl2br w:val="nil"/>
                    <w:tr2bl w:val="nil"/>
                  </w:tcBorders>
                  <w:noWrap w:val="0"/>
                  <w:vAlign w:val="center"/>
                </w:tcPr>
                <w:p w14:paraId="5472D6C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动</w:t>
                  </w:r>
                </w:p>
                <w:p w14:paraId="423AB82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力</w:t>
                  </w:r>
                </w:p>
                <w:p w14:paraId="172FD7D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房</w:t>
                  </w:r>
                </w:p>
              </w:tc>
              <w:tc>
                <w:tcPr>
                  <w:tcW w:w="1610" w:type="dxa"/>
                  <w:tcBorders>
                    <w:tl2br w:val="nil"/>
                    <w:tr2bl w:val="nil"/>
                  </w:tcBorders>
                  <w:noWrap w:val="0"/>
                  <w:vAlign w:val="center"/>
                </w:tcPr>
                <w:p w14:paraId="4178473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供电</w:t>
                  </w:r>
                </w:p>
              </w:tc>
              <w:tc>
                <w:tcPr>
                  <w:tcW w:w="4041" w:type="dxa"/>
                  <w:tcBorders>
                    <w:tl2br w:val="nil"/>
                    <w:tr2bl w:val="nil"/>
                  </w:tcBorders>
                  <w:noWrap w:val="0"/>
                  <w:vAlign w:val="center"/>
                </w:tcPr>
                <w:p w14:paraId="1625A06B">
                  <w:pPr>
                    <w:pStyle w:val="16"/>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自建变配电装置，依托开发区供电系统</w:t>
                  </w:r>
                </w:p>
              </w:tc>
            </w:tr>
            <w:tr w14:paraId="3C57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exact"/>
                <w:jc w:val="center"/>
              </w:trPr>
              <w:tc>
                <w:tcPr>
                  <w:tcW w:w="938" w:type="dxa"/>
                  <w:vMerge w:val="continue"/>
                  <w:tcBorders>
                    <w:tl2br w:val="nil"/>
                    <w:tr2bl w:val="nil"/>
                  </w:tcBorders>
                  <w:noWrap w:val="0"/>
                  <w:vAlign w:val="center"/>
                </w:tcPr>
                <w:p w14:paraId="3EEBE036">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761" w:type="dxa"/>
                  <w:tcBorders>
                    <w:tl2br w:val="nil"/>
                    <w:tr2bl w:val="nil"/>
                  </w:tcBorders>
                  <w:shd w:val="clear" w:color="auto" w:fill="auto"/>
                  <w:noWrap w:val="0"/>
                  <w:vAlign w:val="center"/>
                </w:tcPr>
                <w:p w14:paraId="114C57B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c>
                <w:tcPr>
                  <w:tcW w:w="533" w:type="dxa"/>
                  <w:vMerge w:val="continue"/>
                  <w:tcBorders>
                    <w:tl2br w:val="nil"/>
                    <w:tr2bl w:val="nil"/>
                  </w:tcBorders>
                  <w:noWrap w:val="0"/>
                  <w:vAlign w:val="center"/>
                </w:tcPr>
                <w:p w14:paraId="55931A69">
                  <w:pPr>
                    <w:pStyle w:val="16"/>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610" w:type="dxa"/>
                  <w:tcBorders>
                    <w:tl2br w:val="nil"/>
                    <w:tr2bl w:val="nil"/>
                  </w:tcBorders>
                  <w:noWrap w:val="0"/>
                  <w:vAlign w:val="center"/>
                </w:tcPr>
                <w:p w14:paraId="1783AB3D">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供热</w:t>
                  </w:r>
                </w:p>
              </w:tc>
              <w:tc>
                <w:tcPr>
                  <w:tcW w:w="4041" w:type="dxa"/>
                  <w:tcBorders>
                    <w:tl2br w:val="nil"/>
                    <w:tr2bl w:val="nil"/>
                  </w:tcBorders>
                  <w:noWrap w:val="0"/>
                  <w:vAlign w:val="center"/>
                </w:tcPr>
                <w:p w14:paraId="07906A5F">
                  <w:pPr>
                    <w:pStyle w:val="16"/>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自建一座导热油炉（导热油炉规模2×10</w:t>
                  </w:r>
                  <w:r>
                    <w:rPr>
                      <w:rFonts w:hint="default" w:ascii="Times New Roman" w:hAnsi="Times New Roman" w:cs="Times New Roman"/>
                      <w:color w:val="auto"/>
                      <w:szCs w:val="21"/>
                      <w:highlight w:val="none"/>
                      <w:vertAlign w:val="superscript"/>
                    </w:rPr>
                    <w:t>6</w:t>
                  </w:r>
                  <w:r>
                    <w:rPr>
                      <w:rFonts w:hint="default" w:ascii="Times New Roman" w:hAnsi="Times New Roman" w:cs="Times New Roman"/>
                      <w:color w:val="auto"/>
                      <w:szCs w:val="21"/>
                      <w:highlight w:val="none"/>
                    </w:rPr>
                    <w:t>Kcal/h），燃料为天然气，热载体为白油。</w:t>
                  </w:r>
                </w:p>
              </w:tc>
            </w:tr>
            <w:tr w14:paraId="0E18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938" w:type="dxa"/>
                  <w:vMerge w:val="continue"/>
                  <w:tcBorders>
                    <w:tl2br w:val="nil"/>
                    <w:tr2bl w:val="nil"/>
                  </w:tcBorders>
                  <w:noWrap w:val="0"/>
                  <w:vAlign w:val="center"/>
                </w:tcPr>
                <w:p w14:paraId="5C6E4492">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761" w:type="dxa"/>
                  <w:tcBorders>
                    <w:tl2br w:val="nil"/>
                    <w:tr2bl w:val="nil"/>
                  </w:tcBorders>
                  <w:shd w:val="clear" w:color="auto" w:fill="auto"/>
                  <w:noWrap w:val="0"/>
                  <w:vAlign w:val="center"/>
                </w:tcPr>
                <w:p w14:paraId="0AC1F40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5</w:t>
                  </w:r>
                </w:p>
              </w:tc>
              <w:tc>
                <w:tcPr>
                  <w:tcW w:w="533" w:type="dxa"/>
                  <w:vMerge w:val="continue"/>
                  <w:tcBorders>
                    <w:tl2br w:val="nil"/>
                    <w:tr2bl w:val="nil"/>
                  </w:tcBorders>
                  <w:noWrap w:val="0"/>
                  <w:vAlign w:val="center"/>
                </w:tcPr>
                <w:p w14:paraId="4518B9B2">
                  <w:pPr>
                    <w:pStyle w:val="16"/>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610" w:type="dxa"/>
                  <w:tcBorders>
                    <w:tl2br w:val="nil"/>
                    <w:tr2bl w:val="nil"/>
                  </w:tcBorders>
                  <w:noWrap w:val="0"/>
                  <w:vAlign w:val="center"/>
                </w:tcPr>
                <w:p w14:paraId="0A48B98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压缩空气</w:t>
                  </w:r>
                </w:p>
              </w:tc>
              <w:tc>
                <w:tcPr>
                  <w:tcW w:w="4041" w:type="dxa"/>
                  <w:tcBorders>
                    <w:tl2br w:val="nil"/>
                    <w:tr2bl w:val="nil"/>
                  </w:tcBorders>
                  <w:noWrap w:val="0"/>
                  <w:vAlign w:val="center"/>
                </w:tcPr>
                <w:p w14:paraId="3B538FA6">
                  <w:pPr>
                    <w:pStyle w:val="16"/>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配有2台240Nm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/h螺杆式空压机（一用一备）</w:t>
                  </w:r>
                </w:p>
              </w:tc>
            </w:tr>
            <w:tr w14:paraId="714A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38" w:type="dxa"/>
                  <w:vMerge w:val="continue"/>
                  <w:tcBorders>
                    <w:tl2br w:val="nil"/>
                    <w:tr2bl w:val="nil"/>
                  </w:tcBorders>
                  <w:noWrap w:val="0"/>
                  <w:vAlign w:val="center"/>
                </w:tcPr>
                <w:p w14:paraId="79B88280">
                  <w:pPr>
                    <w:pStyle w:val="8"/>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761" w:type="dxa"/>
                  <w:tcBorders>
                    <w:tl2br w:val="nil"/>
                    <w:tr2bl w:val="nil"/>
                  </w:tcBorders>
                  <w:shd w:val="clear" w:color="auto" w:fill="auto"/>
                  <w:noWrap w:val="0"/>
                  <w:vAlign w:val="center"/>
                </w:tcPr>
                <w:p w14:paraId="497DDC4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6</w:t>
                  </w:r>
                </w:p>
              </w:tc>
              <w:tc>
                <w:tcPr>
                  <w:tcW w:w="533" w:type="dxa"/>
                  <w:vMerge w:val="continue"/>
                  <w:tcBorders>
                    <w:tl2br w:val="nil"/>
                    <w:tr2bl w:val="nil"/>
                  </w:tcBorders>
                  <w:noWrap w:val="0"/>
                  <w:vAlign w:val="center"/>
                </w:tcPr>
                <w:p w14:paraId="0FA58B98">
                  <w:pPr>
                    <w:pStyle w:val="16"/>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1610" w:type="dxa"/>
                  <w:tcBorders>
                    <w:tl2br w:val="nil"/>
                    <w:tr2bl w:val="nil"/>
                  </w:tcBorders>
                  <w:noWrap w:val="0"/>
                  <w:vAlign w:val="center"/>
                </w:tcPr>
                <w:p w14:paraId="75175CA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制冷</w:t>
                  </w:r>
                </w:p>
              </w:tc>
              <w:tc>
                <w:tcPr>
                  <w:tcW w:w="4041" w:type="dxa"/>
                  <w:tcBorders>
                    <w:tl2br w:val="nil"/>
                    <w:tr2bl w:val="nil"/>
                  </w:tcBorders>
                  <w:noWrap w:val="0"/>
                  <w:vAlign w:val="center"/>
                </w:tcPr>
                <w:p w14:paraId="6F7E6EE2">
                  <w:pPr>
                    <w:pStyle w:val="16"/>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配有2台500KW冷冻机（一开一备）</w:t>
                  </w:r>
                </w:p>
              </w:tc>
            </w:tr>
            <w:tr w14:paraId="4F72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938" w:type="dxa"/>
                  <w:tcBorders>
                    <w:tl2br w:val="nil"/>
                    <w:tr2bl w:val="nil"/>
                  </w:tcBorders>
                  <w:noWrap w:val="0"/>
                  <w:vAlign w:val="center"/>
                </w:tcPr>
                <w:p w14:paraId="09C3381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辅助工程</w:t>
                  </w:r>
                </w:p>
              </w:tc>
              <w:tc>
                <w:tcPr>
                  <w:tcW w:w="761" w:type="dxa"/>
                  <w:tcBorders>
                    <w:tl2br w:val="nil"/>
                    <w:tr2bl w:val="nil"/>
                  </w:tcBorders>
                  <w:noWrap w:val="0"/>
                  <w:vAlign w:val="center"/>
                </w:tcPr>
                <w:p w14:paraId="115CB82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143" w:type="dxa"/>
                  <w:gridSpan w:val="2"/>
                  <w:tcBorders>
                    <w:tl2br w:val="nil"/>
                    <w:tr2bl w:val="nil"/>
                  </w:tcBorders>
                  <w:noWrap w:val="0"/>
                  <w:vAlign w:val="center"/>
                </w:tcPr>
                <w:p w14:paraId="519CBDF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综合办公楼</w:t>
                  </w:r>
                </w:p>
              </w:tc>
              <w:tc>
                <w:tcPr>
                  <w:tcW w:w="4041" w:type="dxa"/>
                  <w:tcBorders>
                    <w:tl2br w:val="nil"/>
                    <w:tr2bl w:val="nil"/>
                  </w:tcBorders>
                  <w:noWrap w:val="0"/>
                  <w:tcMar>
                    <w:left w:w="0" w:type="dxa"/>
                    <w:right w:w="0" w:type="dxa"/>
                  </w:tcMar>
                  <w:vAlign w:val="center"/>
                </w:tcPr>
                <w:p w14:paraId="11882DDD">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1座，占地面积517m</w:t>
                  </w:r>
                  <w:r>
                    <w:rPr>
                      <w:rFonts w:hint="default" w:ascii="Times New Roman" w:hAnsi="Times New Roman" w:cs="Times New Roman"/>
                      <w:color w:val="auto"/>
                      <w:szCs w:val="21"/>
                      <w:highlight w:val="none"/>
                      <w:vertAlign w:val="superscript"/>
                    </w:rPr>
                    <w:t>2</w:t>
                  </w:r>
                </w:p>
              </w:tc>
            </w:tr>
            <w:tr w14:paraId="0D36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restart"/>
                  <w:tcBorders>
                    <w:tl2br w:val="nil"/>
                    <w:tr2bl w:val="nil"/>
                  </w:tcBorders>
                  <w:noWrap w:val="0"/>
                  <w:vAlign w:val="center"/>
                </w:tcPr>
                <w:p w14:paraId="5FC04DF0">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环保工程</w:t>
                  </w:r>
                </w:p>
              </w:tc>
              <w:tc>
                <w:tcPr>
                  <w:tcW w:w="761" w:type="dxa"/>
                  <w:tcBorders>
                    <w:tl2br w:val="nil"/>
                    <w:tr2bl w:val="nil"/>
                  </w:tcBorders>
                  <w:noWrap w:val="0"/>
                  <w:vAlign w:val="center"/>
                </w:tcPr>
                <w:p w14:paraId="4232EA4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143" w:type="dxa"/>
                  <w:gridSpan w:val="2"/>
                  <w:tcBorders>
                    <w:tl2br w:val="nil"/>
                    <w:tr2bl w:val="nil"/>
                  </w:tcBorders>
                  <w:noWrap w:val="0"/>
                  <w:vAlign w:val="center"/>
                </w:tcPr>
                <w:p w14:paraId="1A88999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废气</w:t>
                  </w:r>
                </w:p>
              </w:tc>
              <w:tc>
                <w:tcPr>
                  <w:tcW w:w="4041" w:type="dxa"/>
                  <w:tcBorders>
                    <w:tl2br w:val="nil"/>
                    <w:tr2bl w:val="nil"/>
                  </w:tcBorders>
                  <w:noWrap w:val="0"/>
                  <w:vAlign w:val="center"/>
                </w:tcPr>
                <w:p w14:paraId="065ADC3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拱顶储罐全部采用氮封结构</w:t>
                  </w:r>
                </w:p>
              </w:tc>
            </w:tr>
            <w:tr w14:paraId="33EC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exact"/>
                <w:jc w:val="center"/>
              </w:trPr>
              <w:tc>
                <w:tcPr>
                  <w:tcW w:w="938" w:type="dxa"/>
                  <w:vMerge w:val="continue"/>
                  <w:tcBorders>
                    <w:tl2br w:val="nil"/>
                    <w:tr2bl w:val="nil"/>
                  </w:tcBorders>
                  <w:noWrap w:val="0"/>
                  <w:vAlign w:val="center"/>
                </w:tcPr>
                <w:p w14:paraId="1D0AA22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42E5E91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143" w:type="dxa"/>
                  <w:gridSpan w:val="2"/>
                  <w:tcBorders>
                    <w:tl2br w:val="nil"/>
                    <w:tr2bl w:val="nil"/>
                  </w:tcBorders>
                  <w:noWrap w:val="0"/>
                  <w:vAlign w:val="center"/>
                </w:tcPr>
                <w:p w14:paraId="35A16A0D">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废水</w:t>
                  </w:r>
                </w:p>
              </w:tc>
              <w:tc>
                <w:tcPr>
                  <w:tcW w:w="4041" w:type="dxa"/>
                  <w:tcBorders>
                    <w:tl2br w:val="nil"/>
                    <w:tr2bl w:val="nil"/>
                  </w:tcBorders>
                  <w:noWrap w:val="0"/>
                  <w:vAlign w:val="center"/>
                </w:tcPr>
                <w:p w14:paraId="4E338ACD">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left"/>
                    <w:textAlignment w:val="auto"/>
                    <w:rPr>
                      <w:rFonts w:hint="eastAsia" w:ascii="Times New Roman"/>
                      <w:color w:val="auto"/>
                      <w:highlight w:val="none"/>
                      <w:lang w:val="en-US" w:eastAsia="zh-CN"/>
                    </w:rPr>
                  </w:pPr>
                  <w:r>
                    <w:rPr>
                      <w:rFonts w:hint="eastAsia" w:ascii="Times New Roman"/>
                      <w:color w:val="auto"/>
                      <w:highlight w:val="none"/>
                      <w:lang w:val="en-US" w:eastAsia="zh-CN"/>
                    </w:rPr>
                    <w:t>项目雨污分流，雨水经厂区内部雨水管线排入园区配套雨水管网；生活污水经化粪池预处理后经污水管网排入东泽污水处理厂</w:t>
                  </w:r>
                </w:p>
                <w:p w14:paraId="298E9B5F">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r>
            <w:tr w14:paraId="0BCF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7DF9ED6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7FE83F0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2143" w:type="dxa"/>
                  <w:gridSpan w:val="2"/>
                  <w:tcBorders>
                    <w:tl2br w:val="nil"/>
                    <w:tr2bl w:val="nil"/>
                  </w:tcBorders>
                  <w:noWrap w:val="0"/>
                  <w:vAlign w:val="center"/>
                </w:tcPr>
                <w:p w14:paraId="22363F7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固废</w:t>
                  </w:r>
                </w:p>
              </w:tc>
              <w:tc>
                <w:tcPr>
                  <w:tcW w:w="4041" w:type="dxa"/>
                  <w:tcBorders>
                    <w:tl2br w:val="nil"/>
                    <w:tr2bl w:val="nil"/>
                  </w:tcBorders>
                  <w:noWrap w:val="0"/>
                  <w:vAlign w:val="center"/>
                </w:tcPr>
                <w:p w14:paraId="5473045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固废临时暂存间</w:t>
                  </w:r>
                </w:p>
              </w:tc>
            </w:tr>
            <w:tr w14:paraId="4716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6024F54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7F8A26B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2143" w:type="dxa"/>
                  <w:gridSpan w:val="2"/>
                  <w:tcBorders>
                    <w:tl2br w:val="nil"/>
                    <w:tr2bl w:val="nil"/>
                  </w:tcBorders>
                  <w:noWrap w:val="0"/>
                  <w:vAlign w:val="center"/>
                </w:tcPr>
                <w:p w14:paraId="168FB84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地下水</w:t>
                  </w:r>
                </w:p>
              </w:tc>
              <w:tc>
                <w:tcPr>
                  <w:tcW w:w="4041" w:type="dxa"/>
                  <w:tcBorders>
                    <w:tl2br w:val="nil"/>
                    <w:tr2bl w:val="nil"/>
                  </w:tcBorders>
                  <w:noWrap w:val="0"/>
                  <w:vAlign w:val="center"/>
                </w:tcPr>
                <w:p w14:paraId="549F790D">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地面分区防渗处理</w:t>
                  </w:r>
                </w:p>
              </w:tc>
            </w:tr>
            <w:tr w14:paraId="077A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5A96EC7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1F7DAD9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2143" w:type="dxa"/>
                  <w:gridSpan w:val="2"/>
                  <w:tcBorders>
                    <w:tl2br w:val="nil"/>
                    <w:tr2bl w:val="nil"/>
                  </w:tcBorders>
                  <w:noWrap w:val="0"/>
                  <w:vAlign w:val="center"/>
                </w:tcPr>
                <w:p w14:paraId="03A0CD52">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4041" w:type="dxa"/>
                  <w:tcBorders>
                    <w:tl2br w:val="nil"/>
                    <w:tr2bl w:val="nil"/>
                  </w:tcBorders>
                  <w:noWrap w:val="0"/>
                  <w:vAlign w:val="center"/>
                </w:tcPr>
                <w:p w14:paraId="52B6AEF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采取隔声、减振等降噪措施</w:t>
                  </w:r>
                </w:p>
              </w:tc>
            </w:tr>
            <w:tr w14:paraId="4BC0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2BFCE1B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26CCB17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2143" w:type="dxa"/>
                  <w:gridSpan w:val="2"/>
                  <w:tcBorders>
                    <w:tl2br w:val="nil"/>
                    <w:tr2bl w:val="nil"/>
                  </w:tcBorders>
                  <w:noWrap w:val="0"/>
                  <w:vAlign w:val="center"/>
                </w:tcPr>
                <w:p w14:paraId="49B80678">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环境风险</w:t>
                  </w:r>
                </w:p>
              </w:tc>
              <w:tc>
                <w:tcPr>
                  <w:tcW w:w="4041" w:type="dxa"/>
                  <w:tcBorders>
                    <w:tl2br w:val="nil"/>
                    <w:tr2bl w:val="nil"/>
                  </w:tcBorders>
                  <w:noWrap w:val="0"/>
                  <w:vAlign w:val="center"/>
                </w:tcPr>
                <w:p w14:paraId="311D4567">
                  <w:pPr>
                    <w:pStyle w:val="8"/>
                    <w:keepNext w:val="0"/>
                    <w:keepLines w:val="0"/>
                    <w:suppressLineNumbers w:val="0"/>
                    <w:adjustRightInd w:val="0"/>
                    <w:snapToGrid w:val="0"/>
                    <w:spacing w:before="0" w:beforeAutospacing="0" w:after="0" w:afterAutospacing="0" w:line="220" w:lineRule="exact"/>
                    <w:ind w:left="0" w:right="0"/>
                    <w:jc w:val="center"/>
                    <w:rPr>
                      <w:rFonts w:hint="default" w:ascii="Times New Roman" w:hAnsi="Times New Roman" w:cs="Times New Roman"/>
                      <w:color w:val="auto"/>
                      <w:szCs w:val="21"/>
                      <w:highlight w:val="none"/>
                    </w:rPr>
                  </w:pPr>
                </w:p>
              </w:tc>
            </w:tr>
            <w:tr w14:paraId="1D21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jc w:val="center"/>
              </w:trPr>
              <w:tc>
                <w:tcPr>
                  <w:tcW w:w="938" w:type="dxa"/>
                  <w:vMerge w:val="continue"/>
                  <w:tcBorders>
                    <w:tl2br w:val="nil"/>
                    <w:tr2bl w:val="nil"/>
                  </w:tcBorders>
                  <w:noWrap w:val="0"/>
                  <w:vAlign w:val="center"/>
                </w:tcPr>
                <w:p w14:paraId="1EB65DF9">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05623A0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6.1</w:t>
                  </w:r>
                </w:p>
              </w:tc>
              <w:tc>
                <w:tcPr>
                  <w:tcW w:w="2143" w:type="dxa"/>
                  <w:gridSpan w:val="2"/>
                  <w:tcBorders>
                    <w:tl2br w:val="nil"/>
                    <w:tr2bl w:val="nil"/>
                  </w:tcBorders>
                  <w:noWrap w:val="0"/>
                  <w:vAlign w:val="center"/>
                </w:tcPr>
                <w:p w14:paraId="26DF129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排水管网</w:t>
                  </w:r>
                </w:p>
              </w:tc>
              <w:tc>
                <w:tcPr>
                  <w:tcW w:w="4041" w:type="dxa"/>
                  <w:tcBorders>
                    <w:tl2br w:val="nil"/>
                    <w:tr2bl w:val="nil"/>
                  </w:tcBorders>
                  <w:noWrap w:val="0"/>
                  <w:vAlign w:val="center"/>
                </w:tcPr>
                <w:p w14:paraId="77200F49">
                  <w:pPr>
                    <w:pStyle w:val="24"/>
                    <w:keepNext w:val="0"/>
                    <w:keepLines w:val="0"/>
                    <w:suppressLineNumbers w:val="0"/>
                    <w:adjustRightInd w:val="0"/>
                    <w:snapToGrid w:val="0"/>
                    <w:spacing w:before="0" w:beforeAutospacing="0" w:after="0" w:afterAutospacing="0" w:line="220" w:lineRule="exact"/>
                    <w:ind w:left="0" w:leftChars="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污水管网、雨水管网及雨污切换阀门</w:t>
                  </w:r>
                </w:p>
              </w:tc>
            </w:tr>
            <w:tr w14:paraId="7B5C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776D000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19F2B844">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6.2</w:t>
                  </w:r>
                </w:p>
              </w:tc>
              <w:tc>
                <w:tcPr>
                  <w:tcW w:w="2143" w:type="dxa"/>
                  <w:gridSpan w:val="2"/>
                  <w:tcBorders>
                    <w:tl2br w:val="nil"/>
                    <w:tr2bl w:val="nil"/>
                  </w:tcBorders>
                  <w:noWrap w:val="0"/>
                  <w:vAlign w:val="center"/>
                </w:tcPr>
                <w:p w14:paraId="2E0D3AD9">
                  <w:pPr>
                    <w:pStyle w:val="7"/>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罐区围堰</w:t>
                  </w:r>
                </w:p>
              </w:tc>
              <w:tc>
                <w:tcPr>
                  <w:tcW w:w="4041" w:type="dxa"/>
                  <w:tcBorders>
                    <w:tl2br w:val="nil"/>
                    <w:tr2bl w:val="nil"/>
                  </w:tcBorders>
                  <w:noWrap w:val="0"/>
                  <w:vAlign w:val="center"/>
                </w:tcPr>
                <w:p w14:paraId="1422B5D0">
                  <w:pPr>
                    <w:pStyle w:val="8"/>
                    <w:keepNext w:val="0"/>
                    <w:keepLines w:val="0"/>
                    <w:suppressLineNumbers w:val="0"/>
                    <w:adjustRightInd w:val="0"/>
                    <w:snapToGrid w:val="0"/>
                    <w:spacing w:before="0" w:beforeAutospacing="0" w:after="0" w:afterAutospacing="0" w:line="2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围堰高度1m</w:t>
                  </w:r>
                </w:p>
              </w:tc>
            </w:tr>
            <w:tr w14:paraId="2CA4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jc w:val="center"/>
              </w:trPr>
              <w:tc>
                <w:tcPr>
                  <w:tcW w:w="938" w:type="dxa"/>
                  <w:vMerge w:val="continue"/>
                  <w:tcBorders>
                    <w:tl2br w:val="nil"/>
                    <w:tr2bl w:val="nil"/>
                  </w:tcBorders>
                  <w:noWrap w:val="0"/>
                  <w:vAlign w:val="center"/>
                </w:tcPr>
                <w:p w14:paraId="64B0ABA0">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3A3841FA">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6.3</w:t>
                  </w:r>
                </w:p>
              </w:tc>
              <w:tc>
                <w:tcPr>
                  <w:tcW w:w="2143" w:type="dxa"/>
                  <w:gridSpan w:val="2"/>
                  <w:tcBorders>
                    <w:tl2br w:val="nil"/>
                    <w:tr2bl w:val="nil"/>
                  </w:tcBorders>
                  <w:noWrap w:val="0"/>
                  <w:vAlign w:val="center"/>
                </w:tcPr>
                <w:p w14:paraId="26CFAE9A">
                  <w:pPr>
                    <w:pStyle w:val="7"/>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生产车间</w:t>
                  </w:r>
                </w:p>
              </w:tc>
              <w:tc>
                <w:tcPr>
                  <w:tcW w:w="4041" w:type="dxa"/>
                  <w:tcBorders>
                    <w:tl2br w:val="nil"/>
                    <w:tr2bl w:val="nil"/>
                  </w:tcBorders>
                  <w:noWrap w:val="0"/>
                  <w:vAlign w:val="center"/>
                </w:tcPr>
                <w:p w14:paraId="3FD3FA63">
                  <w:pPr>
                    <w:pStyle w:val="8"/>
                    <w:keepNext w:val="0"/>
                    <w:keepLines w:val="0"/>
                    <w:suppressLineNumbers w:val="0"/>
                    <w:adjustRightInd w:val="0"/>
                    <w:snapToGrid w:val="0"/>
                    <w:spacing w:before="0" w:beforeAutospacing="0" w:after="0" w:afterAutospacing="0" w:line="220" w:lineRule="exact"/>
                    <w:ind w:left="0" w:leftChars="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交通入口、检修通道处均设置梯形缓坡</w:t>
                  </w:r>
                </w:p>
              </w:tc>
            </w:tr>
            <w:tr w14:paraId="389E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106FE7C6">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34DDF235">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6.4</w:t>
                  </w:r>
                </w:p>
              </w:tc>
              <w:tc>
                <w:tcPr>
                  <w:tcW w:w="2143" w:type="dxa"/>
                  <w:gridSpan w:val="2"/>
                  <w:tcBorders>
                    <w:tl2br w:val="nil"/>
                    <w:tr2bl w:val="nil"/>
                  </w:tcBorders>
                  <w:noWrap w:val="0"/>
                  <w:vAlign w:val="center"/>
                </w:tcPr>
                <w:p w14:paraId="24649168">
                  <w:pPr>
                    <w:pStyle w:val="7"/>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事故池</w:t>
                  </w:r>
                </w:p>
              </w:tc>
              <w:tc>
                <w:tcPr>
                  <w:tcW w:w="4041" w:type="dxa"/>
                  <w:tcBorders>
                    <w:tl2br w:val="nil"/>
                    <w:tr2bl w:val="nil"/>
                  </w:tcBorders>
                  <w:noWrap w:val="0"/>
                  <w:vAlign w:val="center"/>
                </w:tcPr>
                <w:p w14:paraId="737AA4F7">
                  <w:pPr>
                    <w:pStyle w:val="8"/>
                    <w:keepNext w:val="0"/>
                    <w:keepLines w:val="0"/>
                    <w:suppressLineNumbers w:val="0"/>
                    <w:adjustRightInd w:val="0"/>
                    <w:snapToGrid w:val="0"/>
                    <w:spacing w:before="0" w:beforeAutospacing="0" w:after="0" w:afterAutospacing="0" w:line="2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1座1000m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事故池</w:t>
                  </w:r>
                </w:p>
              </w:tc>
            </w:tr>
            <w:tr w14:paraId="4260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7FD56A4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7E2230F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2143" w:type="dxa"/>
                  <w:gridSpan w:val="2"/>
                  <w:tcBorders>
                    <w:tl2br w:val="nil"/>
                    <w:tr2bl w:val="nil"/>
                  </w:tcBorders>
                  <w:noWrap w:val="0"/>
                  <w:vAlign w:val="center"/>
                </w:tcPr>
                <w:p w14:paraId="37D76EA1">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w:t>
                  </w:r>
                </w:p>
              </w:tc>
              <w:tc>
                <w:tcPr>
                  <w:tcW w:w="4041" w:type="dxa"/>
                  <w:tcBorders>
                    <w:tl2br w:val="nil"/>
                    <w:tr2bl w:val="nil"/>
                  </w:tcBorders>
                  <w:noWrap w:val="0"/>
                  <w:vAlign w:val="center"/>
                </w:tcPr>
                <w:p w14:paraId="76176FA4">
                  <w:pPr>
                    <w:pStyle w:val="8"/>
                    <w:keepNext w:val="0"/>
                    <w:keepLines w:val="0"/>
                    <w:suppressLineNumbers w:val="0"/>
                    <w:adjustRightInd w:val="0"/>
                    <w:snapToGrid w:val="0"/>
                    <w:spacing w:before="0" w:beforeAutospacing="0" w:after="0" w:afterAutospacing="0" w:line="220" w:lineRule="exact"/>
                    <w:ind w:left="0" w:right="0"/>
                    <w:jc w:val="center"/>
                    <w:rPr>
                      <w:rFonts w:hint="default" w:ascii="Times New Roman" w:hAnsi="Times New Roman" w:cs="Times New Roman"/>
                      <w:color w:val="auto"/>
                      <w:szCs w:val="21"/>
                      <w:highlight w:val="none"/>
                    </w:rPr>
                  </w:pPr>
                </w:p>
              </w:tc>
            </w:tr>
            <w:tr w14:paraId="26CE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28FCAAB7">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247A14FE">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7.1</w:t>
                  </w:r>
                </w:p>
              </w:tc>
              <w:tc>
                <w:tcPr>
                  <w:tcW w:w="2143" w:type="dxa"/>
                  <w:gridSpan w:val="2"/>
                  <w:tcBorders>
                    <w:tl2br w:val="nil"/>
                    <w:tr2bl w:val="nil"/>
                  </w:tcBorders>
                  <w:noWrap w:val="0"/>
                  <w:vAlign w:val="center"/>
                </w:tcPr>
                <w:p w14:paraId="0FC8ACA5">
                  <w:pPr>
                    <w:pStyle w:val="7"/>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排污口规范化</w:t>
                  </w:r>
                </w:p>
              </w:tc>
              <w:tc>
                <w:tcPr>
                  <w:tcW w:w="4041" w:type="dxa"/>
                  <w:tcBorders>
                    <w:tl2br w:val="nil"/>
                    <w:tr2bl w:val="nil"/>
                  </w:tcBorders>
                  <w:noWrap w:val="0"/>
                  <w:vAlign w:val="center"/>
                </w:tcPr>
                <w:p w14:paraId="3F6E5CF9">
                  <w:pPr>
                    <w:pStyle w:val="8"/>
                    <w:keepNext w:val="0"/>
                    <w:keepLines w:val="0"/>
                    <w:suppressLineNumbers w:val="0"/>
                    <w:adjustRightInd w:val="0"/>
                    <w:snapToGrid w:val="0"/>
                    <w:spacing w:before="0" w:beforeAutospacing="0" w:after="0" w:afterAutospacing="0" w:line="220" w:lineRule="exact"/>
                    <w:ind w:left="0" w:right="0"/>
                    <w:jc w:val="center"/>
                    <w:rPr>
                      <w:rFonts w:hint="default" w:ascii="Times New Roman" w:hAnsi="Times New Roman" w:cs="Times New Roman"/>
                      <w:color w:val="auto"/>
                      <w:szCs w:val="21"/>
                      <w:highlight w:val="none"/>
                    </w:rPr>
                  </w:pPr>
                </w:p>
              </w:tc>
            </w:tr>
            <w:tr w14:paraId="20FA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5151B173">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438C1AA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7.2</w:t>
                  </w:r>
                </w:p>
              </w:tc>
              <w:tc>
                <w:tcPr>
                  <w:tcW w:w="2143" w:type="dxa"/>
                  <w:gridSpan w:val="2"/>
                  <w:tcBorders>
                    <w:tl2br w:val="nil"/>
                    <w:tr2bl w:val="nil"/>
                  </w:tcBorders>
                  <w:noWrap w:val="0"/>
                  <w:vAlign w:val="center"/>
                </w:tcPr>
                <w:p w14:paraId="22A39396">
                  <w:pPr>
                    <w:pStyle w:val="7"/>
                    <w:keepNext w:val="0"/>
                    <w:keepLines w:val="0"/>
                    <w:suppressLineNumbers w:val="0"/>
                    <w:adjustRightInd w:val="0"/>
                    <w:snapToGrid w:val="0"/>
                    <w:spacing w:before="0" w:beforeAutospacing="0" w:after="0" w:afterAutospacing="0" w:line="240" w:lineRule="exact"/>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污水总排口</w:t>
                  </w:r>
                </w:p>
              </w:tc>
              <w:tc>
                <w:tcPr>
                  <w:tcW w:w="4041" w:type="dxa"/>
                  <w:tcBorders>
                    <w:tl2br w:val="nil"/>
                    <w:tr2bl w:val="nil"/>
                  </w:tcBorders>
                  <w:noWrap w:val="0"/>
                  <w:vAlign w:val="center"/>
                </w:tcPr>
                <w:p w14:paraId="5555561E">
                  <w:pPr>
                    <w:pStyle w:val="8"/>
                    <w:keepNext w:val="0"/>
                    <w:keepLines w:val="0"/>
                    <w:suppressLineNumbers w:val="0"/>
                    <w:adjustRightInd w:val="0"/>
                    <w:snapToGrid w:val="0"/>
                    <w:spacing w:before="0" w:beforeAutospacing="0" w:after="0" w:afterAutospacing="0" w:line="2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流量计</w:t>
                  </w:r>
                </w:p>
              </w:tc>
            </w:tr>
            <w:tr w14:paraId="074B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38" w:type="dxa"/>
                  <w:vMerge w:val="continue"/>
                  <w:tcBorders>
                    <w:tl2br w:val="nil"/>
                    <w:tr2bl w:val="nil"/>
                  </w:tcBorders>
                  <w:noWrap w:val="0"/>
                  <w:vAlign w:val="center"/>
                </w:tcPr>
                <w:p w14:paraId="772F469B">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p>
              </w:tc>
              <w:tc>
                <w:tcPr>
                  <w:tcW w:w="761" w:type="dxa"/>
                  <w:tcBorders>
                    <w:tl2br w:val="nil"/>
                    <w:tr2bl w:val="nil"/>
                  </w:tcBorders>
                  <w:noWrap w:val="0"/>
                  <w:vAlign w:val="center"/>
                </w:tcPr>
                <w:p w14:paraId="16F933A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7.3</w:t>
                  </w:r>
                </w:p>
              </w:tc>
              <w:tc>
                <w:tcPr>
                  <w:tcW w:w="2143" w:type="dxa"/>
                  <w:gridSpan w:val="2"/>
                  <w:tcBorders>
                    <w:tl2br w:val="nil"/>
                    <w:tr2bl w:val="nil"/>
                  </w:tcBorders>
                  <w:noWrap w:val="0"/>
                  <w:vAlign w:val="center"/>
                </w:tcPr>
                <w:p w14:paraId="7964F62C">
                  <w:pPr>
                    <w:pStyle w:val="8"/>
                    <w:keepNext w:val="0"/>
                    <w:keepLines w:val="0"/>
                    <w:suppressLineNumbers w:val="0"/>
                    <w:adjustRightInd w:val="0"/>
                    <w:snapToGrid w:val="0"/>
                    <w:spacing w:before="0" w:beforeAutospacing="0" w:after="0" w:afterAutospacing="0" w:line="240" w:lineRule="exact"/>
                    <w:ind w:left="0" w:right="0"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绿化</w:t>
                  </w:r>
                </w:p>
              </w:tc>
              <w:tc>
                <w:tcPr>
                  <w:tcW w:w="4041" w:type="dxa"/>
                  <w:tcBorders>
                    <w:tl2br w:val="nil"/>
                    <w:tr2bl w:val="nil"/>
                  </w:tcBorders>
                  <w:noWrap w:val="0"/>
                  <w:vAlign w:val="center"/>
                </w:tcPr>
                <w:p w14:paraId="58449CD6">
                  <w:pPr>
                    <w:pStyle w:val="8"/>
                    <w:keepNext w:val="0"/>
                    <w:keepLines w:val="0"/>
                    <w:suppressLineNumbers w:val="0"/>
                    <w:adjustRightInd w:val="0"/>
                    <w:snapToGrid w:val="0"/>
                    <w:spacing w:before="0" w:beforeAutospacing="0" w:after="0" w:afterAutospacing="0" w:line="2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绿化率11%</w:t>
                  </w:r>
                </w:p>
              </w:tc>
            </w:tr>
          </w:tbl>
          <w:p w14:paraId="1B5BBA6A">
            <w:pPr>
              <w:keepNext w:val="0"/>
              <w:keepLines w:val="0"/>
              <w:suppressLineNumbers w:val="0"/>
              <w:snapToGrid w:val="0"/>
              <w:spacing w:before="0" w:beforeAutospacing="0" w:after="0" w:afterAutospacing="0" w:line="360" w:lineRule="auto"/>
              <w:ind w:left="0" w:right="0" w:firstLine="480" w:firstLineChars="200"/>
              <w:rPr>
                <w:b/>
                <w:bCs/>
                <w:color w:val="auto"/>
                <w:szCs w:val="21"/>
                <w:highlight w:val="none"/>
              </w:rPr>
            </w:pPr>
            <w:r>
              <w:rPr>
                <w:rFonts w:hint="eastAsia"/>
                <w:color w:val="auto"/>
                <w:sz w:val="24"/>
                <w:highlight w:val="none"/>
              </w:rPr>
              <w:t xml:space="preserve">生产设备情况详见下表。 </w:t>
            </w:r>
          </w:p>
          <w:p w14:paraId="290B26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rPr>
            </w:pPr>
            <w:r>
              <w:rPr>
                <w:rFonts w:hint="eastAsia"/>
                <w:color w:val="auto"/>
                <w:sz w:val="24"/>
                <w:highlight w:val="none"/>
              </w:rPr>
              <w:t>表2-1</w:t>
            </w:r>
            <w:r>
              <w:rPr>
                <w:rFonts w:hint="eastAsia"/>
                <w:color w:val="auto"/>
                <w:sz w:val="24"/>
                <w:highlight w:val="none"/>
                <w:lang w:val="en-US" w:eastAsia="zh-CN"/>
              </w:rPr>
              <w:t xml:space="preserve">7  </w:t>
            </w:r>
            <w:r>
              <w:rPr>
                <w:rFonts w:hint="eastAsia"/>
                <w:color w:val="auto"/>
                <w:sz w:val="24"/>
                <w:highlight w:val="none"/>
              </w:rPr>
              <w:t>生产设备情况</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34"/>
              <w:gridCol w:w="4089"/>
              <w:gridCol w:w="2757"/>
            </w:tblGrid>
            <w:tr w14:paraId="2F27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noWrap/>
                  <w:tcMar>
                    <w:top w:w="10" w:type="dxa"/>
                    <w:left w:w="10" w:type="dxa"/>
                    <w:bottom w:w="0" w:type="dxa"/>
                    <w:right w:w="10" w:type="dxa"/>
                  </w:tcMar>
                  <w:vAlign w:val="center"/>
                </w:tcPr>
                <w:p w14:paraId="67BF7A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2594" w:type="pct"/>
                  <w:tcBorders>
                    <w:tl2br w:val="nil"/>
                    <w:tr2bl w:val="nil"/>
                  </w:tcBorders>
                  <w:noWrap w:val="0"/>
                  <w:vAlign w:val="center"/>
                </w:tcPr>
                <w:p w14:paraId="23BCBB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名称</w:t>
                  </w:r>
                </w:p>
              </w:tc>
              <w:tc>
                <w:tcPr>
                  <w:tcW w:w="1749" w:type="pct"/>
                  <w:tcBorders>
                    <w:tl2br w:val="nil"/>
                    <w:tr2bl w:val="nil"/>
                  </w:tcBorders>
                  <w:noWrap/>
                  <w:tcMar>
                    <w:top w:w="10" w:type="dxa"/>
                    <w:left w:w="10" w:type="dxa"/>
                    <w:bottom w:w="0" w:type="dxa"/>
                    <w:right w:w="10" w:type="dxa"/>
                  </w:tcMar>
                  <w:vAlign w:val="center"/>
                </w:tcPr>
                <w:p w14:paraId="330C6C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数量（台）</w:t>
                  </w:r>
                </w:p>
              </w:tc>
            </w:tr>
            <w:tr w14:paraId="4BF4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1BE7DD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color w:val="auto"/>
                      <w:kern w:val="2"/>
                      <w:sz w:val="21"/>
                      <w:szCs w:val="21"/>
                      <w:highlight w:val="none"/>
                      <w:lang w:val="en-US" w:eastAsia="zh-CN" w:bidi="ar-SA"/>
                    </w:rPr>
                  </w:pPr>
                  <w:r>
                    <w:rPr>
                      <w:rFonts w:hint="eastAsia" w:cs="Times New Roman"/>
                      <w:b/>
                      <w:color w:val="auto"/>
                      <w:szCs w:val="21"/>
                      <w:highlight w:val="none"/>
                      <w:lang w:val="en-US" w:eastAsia="zh-CN"/>
                    </w:rPr>
                    <w:t>一</w:t>
                  </w:r>
                </w:p>
              </w:tc>
              <w:tc>
                <w:tcPr>
                  <w:tcW w:w="2594" w:type="pct"/>
                  <w:tcBorders>
                    <w:tl2br w:val="nil"/>
                    <w:tr2bl w:val="nil"/>
                  </w:tcBorders>
                  <w:shd w:val="clear" w:color="auto" w:fill="auto"/>
                  <w:noWrap w:val="0"/>
                  <w:vAlign w:val="center"/>
                </w:tcPr>
                <w:p w14:paraId="5C67B3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szCs w:val="21"/>
                      <w:highlight w:val="none"/>
                    </w:rPr>
                    <w:t>橡胶防护蜡生产线</w:t>
                  </w:r>
                </w:p>
              </w:tc>
              <w:tc>
                <w:tcPr>
                  <w:tcW w:w="1749" w:type="pct"/>
                  <w:tcBorders>
                    <w:tl2br w:val="nil"/>
                    <w:tr2bl w:val="nil"/>
                  </w:tcBorders>
                  <w:shd w:val="clear" w:color="auto" w:fill="auto"/>
                  <w:noWrap/>
                  <w:tcMar>
                    <w:top w:w="10" w:type="dxa"/>
                    <w:left w:w="10" w:type="dxa"/>
                    <w:bottom w:w="0" w:type="dxa"/>
                    <w:right w:w="10" w:type="dxa"/>
                  </w:tcMar>
                  <w:vAlign w:val="center"/>
                </w:tcPr>
                <w:p w14:paraId="7C7190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349B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1EC34B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2594" w:type="pct"/>
                  <w:tcBorders>
                    <w:tl2br w:val="nil"/>
                    <w:tr2bl w:val="nil"/>
                  </w:tcBorders>
                  <w:shd w:val="clear" w:color="auto" w:fill="auto"/>
                  <w:noWrap w:val="0"/>
                  <w:vAlign w:val="center"/>
                </w:tcPr>
                <w:p w14:paraId="31074D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调和罐</w:t>
                  </w:r>
                </w:p>
              </w:tc>
              <w:tc>
                <w:tcPr>
                  <w:tcW w:w="1749" w:type="pct"/>
                  <w:tcBorders>
                    <w:tl2br w:val="nil"/>
                    <w:tr2bl w:val="nil"/>
                  </w:tcBorders>
                  <w:shd w:val="clear" w:color="auto" w:fill="auto"/>
                  <w:noWrap/>
                  <w:tcMar>
                    <w:top w:w="10" w:type="dxa"/>
                    <w:left w:w="10" w:type="dxa"/>
                    <w:bottom w:w="0" w:type="dxa"/>
                    <w:right w:w="10" w:type="dxa"/>
                  </w:tcMar>
                  <w:vAlign w:val="center"/>
                </w:tcPr>
                <w:p w14:paraId="6A1F6C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r>
            <w:tr w14:paraId="544A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205B5D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c>
                <w:tcPr>
                  <w:tcW w:w="2594" w:type="pct"/>
                  <w:tcBorders>
                    <w:tl2br w:val="nil"/>
                    <w:tr2bl w:val="nil"/>
                  </w:tcBorders>
                  <w:shd w:val="clear" w:color="auto" w:fill="auto"/>
                  <w:noWrap w:val="0"/>
                  <w:vAlign w:val="center"/>
                </w:tcPr>
                <w:p w14:paraId="637BD0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石蜡输送泵</w:t>
                  </w:r>
                </w:p>
              </w:tc>
              <w:tc>
                <w:tcPr>
                  <w:tcW w:w="1749" w:type="pct"/>
                  <w:tcBorders>
                    <w:tl2br w:val="nil"/>
                    <w:tr2bl w:val="nil"/>
                  </w:tcBorders>
                  <w:shd w:val="clear" w:color="auto" w:fill="auto"/>
                  <w:noWrap/>
                  <w:tcMar>
                    <w:top w:w="10" w:type="dxa"/>
                    <w:left w:w="10" w:type="dxa"/>
                    <w:bottom w:w="0" w:type="dxa"/>
                    <w:right w:w="10" w:type="dxa"/>
                  </w:tcMar>
                  <w:vAlign w:val="center"/>
                </w:tcPr>
                <w:p w14:paraId="1B70B4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r>
            <w:tr w14:paraId="4EB7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129544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3</w:t>
                  </w:r>
                </w:p>
              </w:tc>
              <w:tc>
                <w:tcPr>
                  <w:tcW w:w="2594" w:type="pct"/>
                  <w:tcBorders>
                    <w:tl2br w:val="nil"/>
                    <w:tr2bl w:val="nil"/>
                  </w:tcBorders>
                  <w:shd w:val="clear" w:color="auto" w:fill="auto"/>
                  <w:noWrap w:val="0"/>
                  <w:vAlign w:val="center"/>
                </w:tcPr>
                <w:p w14:paraId="3D7C47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造粒机</w:t>
                  </w:r>
                </w:p>
              </w:tc>
              <w:tc>
                <w:tcPr>
                  <w:tcW w:w="1749" w:type="pct"/>
                  <w:tcBorders>
                    <w:tl2br w:val="nil"/>
                    <w:tr2bl w:val="nil"/>
                  </w:tcBorders>
                  <w:shd w:val="clear" w:color="auto" w:fill="auto"/>
                  <w:noWrap/>
                  <w:tcMar>
                    <w:top w:w="10" w:type="dxa"/>
                    <w:left w:w="10" w:type="dxa"/>
                    <w:bottom w:w="0" w:type="dxa"/>
                    <w:right w:w="10" w:type="dxa"/>
                  </w:tcMar>
                  <w:vAlign w:val="center"/>
                </w:tcPr>
                <w:p w14:paraId="1FD4E4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r>
            <w:tr w14:paraId="1B93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3C4BAE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c>
                <w:tcPr>
                  <w:tcW w:w="2594" w:type="pct"/>
                  <w:tcBorders>
                    <w:tl2br w:val="nil"/>
                    <w:tr2bl w:val="nil"/>
                  </w:tcBorders>
                  <w:shd w:val="clear" w:color="auto" w:fill="auto"/>
                  <w:noWrap w:val="0"/>
                  <w:vAlign w:val="center"/>
                </w:tcPr>
                <w:p w14:paraId="72CEF8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包装机</w:t>
                  </w:r>
                </w:p>
              </w:tc>
              <w:tc>
                <w:tcPr>
                  <w:tcW w:w="1749" w:type="pct"/>
                  <w:tcBorders>
                    <w:tl2br w:val="nil"/>
                    <w:tr2bl w:val="nil"/>
                  </w:tcBorders>
                  <w:shd w:val="clear" w:color="auto" w:fill="auto"/>
                  <w:noWrap/>
                  <w:tcMar>
                    <w:top w:w="10" w:type="dxa"/>
                    <w:left w:w="10" w:type="dxa"/>
                    <w:bottom w:w="0" w:type="dxa"/>
                    <w:right w:w="10" w:type="dxa"/>
                  </w:tcMar>
                  <w:vAlign w:val="center"/>
                </w:tcPr>
                <w:p w14:paraId="24B401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r>
            <w:tr w14:paraId="6F1C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noWrap/>
                  <w:tcMar>
                    <w:top w:w="10" w:type="dxa"/>
                    <w:left w:w="10" w:type="dxa"/>
                    <w:bottom w:w="0" w:type="dxa"/>
                    <w:right w:w="10" w:type="dxa"/>
                  </w:tcMar>
                  <w:vAlign w:val="center"/>
                </w:tcPr>
                <w:p w14:paraId="09947B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2594" w:type="pct"/>
                  <w:tcBorders>
                    <w:tl2br w:val="nil"/>
                    <w:tr2bl w:val="nil"/>
                  </w:tcBorders>
                  <w:shd w:val="clear" w:color="auto" w:fill="auto"/>
                  <w:noWrap w:val="0"/>
                  <w:vAlign w:val="center"/>
                </w:tcPr>
                <w:p w14:paraId="7DBBC8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风机</w:t>
                  </w:r>
                </w:p>
              </w:tc>
              <w:tc>
                <w:tcPr>
                  <w:tcW w:w="1749" w:type="pct"/>
                  <w:tcBorders>
                    <w:tl2br w:val="nil"/>
                    <w:tr2bl w:val="nil"/>
                  </w:tcBorders>
                  <w:shd w:val="clear" w:color="auto" w:fill="auto"/>
                  <w:noWrap/>
                  <w:tcMar>
                    <w:top w:w="10" w:type="dxa"/>
                    <w:left w:w="10" w:type="dxa"/>
                    <w:bottom w:w="0" w:type="dxa"/>
                    <w:right w:w="10" w:type="dxa"/>
                  </w:tcMar>
                  <w:vAlign w:val="center"/>
                </w:tcPr>
                <w:p w14:paraId="1B09BE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r>
            <w:tr w14:paraId="4004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noWrap/>
                  <w:tcMar>
                    <w:top w:w="10" w:type="dxa"/>
                    <w:left w:w="10" w:type="dxa"/>
                    <w:bottom w:w="0" w:type="dxa"/>
                    <w:right w:w="10" w:type="dxa"/>
                  </w:tcMar>
                  <w:vAlign w:val="center"/>
                </w:tcPr>
                <w:p w14:paraId="38821E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2594" w:type="pct"/>
                  <w:tcBorders>
                    <w:tl2br w:val="nil"/>
                    <w:tr2bl w:val="nil"/>
                  </w:tcBorders>
                  <w:shd w:val="clear" w:color="auto" w:fill="auto"/>
                  <w:noWrap w:val="0"/>
                  <w:vAlign w:val="center"/>
                </w:tcPr>
                <w:p w14:paraId="145858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提升机</w:t>
                  </w:r>
                </w:p>
              </w:tc>
              <w:tc>
                <w:tcPr>
                  <w:tcW w:w="1749" w:type="pct"/>
                  <w:tcBorders>
                    <w:tl2br w:val="nil"/>
                    <w:tr2bl w:val="nil"/>
                  </w:tcBorders>
                  <w:shd w:val="clear" w:color="auto" w:fill="auto"/>
                  <w:noWrap/>
                  <w:tcMar>
                    <w:top w:w="10" w:type="dxa"/>
                    <w:left w:w="10" w:type="dxa"/>
                    <w:bottom w:w="0" w:type="dxa"/>
                    <w:right w:w="10" w:type="dxa"/>
                  </w:tcMar>
                  <w:vAlign w:val="center"/>
                </w:tcPr>
                <w:p w14:paraId="724972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r>
            <w:tr w14:paraId="7BA3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noWrap/>
                  <w:tcMar>
                    <w:top w:w="10" w:type="dxa"/>
                    <w:left w:w="10" w:type="dxa"/>
                    <w:bottom w:w="0" w:type="dxa"/>
                    <w:right w:w="10" w:type="dxa"/>
                  </w:tcMar>
                  <w:vAlign w:val="center"/>
                </w:tcPr>
                <w:p w14:paraId="438526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7</w:t>
                  </w:r>
                </w:p>
              </w:tc>
              <w:tc>
                <w:tcPr>
                  <w:tcW w:w="2594" w:type="pct"/>
                  <w:tcBorders>
                    <w:tl2br w:val="nil"/>
                    <w:tr2bl w:val="nil"/>
                  </w:tcBorders>
                  <w:shd w:val="clear" w:color="auto" w:fill="auto"/>
                  <w:noWrap w:val="0"/>
                  <w:vAlign w:val="center"/>
                </w:tcPr>
                <w:p w14:paraId="7DB6D0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过滤器</w:t>
                  </w:r>
                </w:p>
              </w:tc>
              <w:tc>
                <w:tcPr>
                  <w:tcW w:w="1749" w:type="pct"/>
                  <w:tcBorders>
                    <w:tl2br w:val="nil"/>
                    <w:tr2bl w:val="nil"/>
                  </w:tcBorders>
                  <w:shd w:val="clear" w:color="auto" w:fill="auto"/>
                  <w:noWrap/>
                  <w:tcMar>
                    <w:top w:w="10" w:type="dxa"/>
                    <w:left w:w="10" w:type="dxa"/>
                    <w:bottom w:w="0" w:type="dxa"/>
                    <w:right w:w="10" w:type="dxa"/>
                  </w:tcMar>
                  <w:vAlign w:val="center"/>
                </w:tcPr>
                <w:p w14:paraId="1A571C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r>
            <w:tr w14:paraId="4D04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79EFF0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color w:val="auto"/>
                      <w:kern w:val="2"/>
                      <w:sz w:val="21"/>
                      <w:szCs w:val="21"/>
                      <w:highlight w:val="none"/>
                      <w:lang w:val="en-US" w:eastAsia="zh-CN" w:bidi="ar-SA"/>
                    </w:rPr>
                  </w:pPr>
                  <w:r>
                    <w:rPr>
                      <w:rFonts w:hint="eastAsia" w:cs="Times New Roman"/>
                      <w:b/>
                      <w:color w:val="auto"/>
                      <w:szCs w:val="21"/>
                      <w:highlight w:val="none"/>
                      <w:lang w:val="en-US" w:eastAsia="zh-CN"/>
                    </w:rPr>
                    <w:t>二</w:t>
                  </w:r>
                </w:p>
              </w:tc>
              <w:tc>
                <w:tcPr>
                  <w:tcW w:w="2594" w:type="pct"/>
                  <w:tcBorders>
                    <w:tl2br w:val="nil"/>
                    <w:tr2bl w:val="nil"/>
                  </w:tcBorders>
                  <w:shd w:val="clear" w:color="auto" w:fill="auto"/>
                  <w:noWrap w:val="0"/>
                  <w:vAlign w:val="center"/>
                </w:tcPr>
                <w:p w14:paraId="1EB822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szCs w:val="21"/>
                      <w:highlight w:val="none"/>
                    </w:rPr>
                    <w:t>包装蜡生产线</w:t>
                  </w:r>
                </w:p>
              </w:tc>
              <w:tc>
                <w:tcPr>
                  <w:tcW w:w="1749" w:type="pct"/>
                  <w:tcBorders>
                    <w:tl2br w:val="nil"/>
                    <w:tr2bl w:val="nil"/>
                  </w:tcBorders>
                  <w:shd w:val="clear" w:color="auto" w:fill="auto"/>
                  <w:noWrap/>
                  <w:tcMar>
                    <w:top w:w="10" w:type="dxa"/>
                    <w:left w:w="10" w:type="dxa"/>
                    <w:bottom w:w="0" w:type="dxa"/>
                    <w:right w:w="10" w:type="dxa"/>
                  </w:tcMar>
                  <w:vAlign w:val="center"/>
                </w:tcPr>
                <w:p w14:paraId="37A844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kern w:val="2"/>
                      <w:sz w:val="21"/>
                      <w:szCs w:val="21"/>
                      <w:highlight w:val="none"/>
                      <w:lang w:val="en-US" w:eastAsia="zh-CN" w:bidi="ar-SA"/>
                    </w:rPr>
                  </w:pPr>
                </w:p>
              </w:tc>
            </w:tr>
            <w:tr w14:paraId="099F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51D944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2594" w:type="pct"/>
                  <w:tcBorders>
                    <w:tl2br w:val="nil"/>
                    <w:tr2bl w:val="nil"/>
                  </w:tcBorders>
                  <w:shd w:val="clear" w:color="auto" w:fill="auto"/>
                  <w:noWrap w:val="0"/>
                  <w:vAlign w:val="center"/>
                </w:tcPr>
                <w:p w14:paraId="43CF49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调和罐</w:t>
                  </w:r>
                </w:p>
              </w:tc>
              <w:tc>
                <w:tcPr>
                  <w:tcW w:w="1749" w:type="pct"/>
                  <w:tcBorders>
                    <w:tl2br w:val="nil"/>
                    <w:tr2bl w:val="nil"/>
                  </w:tcBorders>
                  <w:shd w:val="clear" w:color="auto" w:fill="auto"/>
                  <w:noWrap/>
                  <w:tcMar>
                    <w:top w:w="10" w:type="dxa"/>
                    <w:left w:w="10" w:type="dxa"/>
                    <w:bottom w:w="0" w:type="dxa"/>
                    <w:right w:w="10" w:type="dxa"/>
                  </w:tcMar>
                  <w:vAlign w:val="center"/>
                </w:tcPr>
                <w:p w14:paraId="03BC37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8</w:t>
                  </w:r>
                </w:p>
              </w:tc>
            </w:tr>
            <w:tr w14:paraId="6926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2EE5D0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c>
                <w:tcPr>
                  <w:tcW w:w="2594" w:type="pct"/>
                  <w:tcBorders>
                    <w:tl2br w:val="nil"/>
                    <w:tr2bl w:val="nil"/>
                  </w:tcBorders>
                  <w:shd w:val="clear" w:color="auto" w:fill="auto"/>
                  <w:noWrap w:val="0"/>
                  <w:vAlign w:val="center"/>
                </w:tcPr>
                <w:p w14:paraId="5E9639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输送泵</w:t>
                  </w:r>
                </w:p>
              </w:tc>
              <w:tc>
                <w:tcPr>
                  <w:tcW w:w="1749" w:type="pct"/>
                  <w:tcBorders>
                    <w:tl2br w:val="nil"/>
                    <w:tr2bl w:val="nil"/>
                  </w:tcBorders>
                  <w:shd w:val="clear" w:color="auto" w:fill="auto"/>
                  <w:noWrap/>
                  <w:tcMar>
                    <w:top w:w="10" w:type="dxa"/>
                    <w:left w:w="10" w:type="dxa"/>
                    <w:bottom w:w="0" w:type="dxa"/>
                    <w:right w:w="10" w:type="dxa"/>
                  </w:tcMar>
                  <w:vAlign w:val="center"/>
                </w:tcPr>
                <w:p w14:paraId="3F7AAA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w:t>
                  </w:r>
                </w:p>
              </w:tc>
            </w:tr>
            <w:tr w14:paraId="45FD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50D3C2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3</w:t>
                  </w:r>
                </w:p>
              </w:tc>
              <w:tc>
                <w:tcPr>
                  <w:tcW w:w="2594" w:type="pct"/>
                  <w:tcBorders>
                    <w:tl2br w:val="nil"/>
                    <w:tr2bl w:val="nil"/>
                  </w:tcBorders>
                  <w:shd w:val="clear" w:color="auto" w:fill="auto"/>
                  <w:noWrap w:val="0"/>
                  <w:vAlign w:val="center"/>
                </w:tcPr>
                <w:p w14:paraId="749A90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成型机</w:t>
                  </w:r>
                </w:p>
              </w:tc>
              <w:tc>
                <w:tcPr>
                  <w:tcW w:w="1749" w:type="pct"/>
                  <w:tcBorders>
                    <w:tl2br w:val="nil"/>
                    <w:tr2bl w:val="nil"/>
                  </w:tcBorders>
                  <w:shd w:val="clear" w:color="auto" w:fill="auto"/>
                  <w:noWrap/>
                  <w:tcMar>
                    <w:top w:w="10" w:type="dxa"/>
                    <w:left w:w="10" w:type="dxa"/>
                    <w:bottom w:w="0" w:type="dxa"/>
                    <w:right w:w="10" w:type="dxa"/>
                  </w:tcMar>
                  <w:vAlign w:val="center"/>
                </w:tcPr>
                <w:p w14:paraId="07C825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3</w:t>
                  </w:r>
                </w:p>
              </w:tc>
            </w:tr>
            <w:tr w14:paraId="7C06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5A9CBD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w:t>
                  </w:r>
                </w:p>
              </w:tc>
              <w:tc>
                <w:tcPr>
                  <w:tcW w:w="2594" w:type="pct"/>
                  <w:tcBorders>
                    <w:tl2br w:val="nil"/>
                    <w:tr2bl w:val="nil"/>
                  </w:tcBorders>
                  <w:shd w:val="clear" w:color="auto" w:fill="auto"/>
                  <w:noWrap w:val="0"/>
                  <w:vAlign w:val="center"/>
                </w:tcPr>
                <w:p w14:paraId="293612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预冷器</w:t>
                  </w:r>
                </w:p>
              </w:tc>
              <w:tc>
                <w:tcPr>
                  <w:tcW w:w="1749" w:type="pct"/>
                  <w:tcBorders>
                    <w:tl2br w:val="nil"/>
                    <w:tr2bl w:val="nil"/>
                  </w:tcBorders>
                  <w:shd w:val="clear" w:color="auto" w:fill="auto"/>
                  <w:noWrap/>
                  <w:tcMar>
                    <w:top w:w="10" w:type="dxa"/>
                    <w:left w:w="10" w:type="dxa"/>
                    <w:bottom w:w="0" w:type="dxa"/>
                    <w:right w:w="10" w:type="dxa"/>
                  </w:tcMar>
                  <w:vAlign w:val="center"/>
                </w:tcPr>
                <w:p w14:paraId="73599A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2</w:t>
                  </w:r>
                </w:p>
              </w:tc>
            </w:tr>
            <w:tr w14:paraId="0735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48EFB8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w:t>
                  </w:r>
                </w:p>
              </w:tc>
              <w:tc>
                <w:tcPr>
                  <w:tcW w:w="2594" w:type="pct"/>
                  <w:tcBorders>
                    <w:tl2br w:val="nil"/>
                    <w:tr2bl w:val="nil"/>
                  </w:tcBorders>
                  <w:shd w:val="clear" w:color="auto" w:fill="auto"/>
                  <w:noWrap w:val="0"/>
                  <w:vAlign w:val="center"/>
                </w:tcPr>
                <w:p w14:paraId="070C37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成型器</w:t>
                  </w:r>
                </w:p>
              </w:tc>
              <w:tc>
                <w:tcPr>
                  <w:tcW w:w="1749" w:type="pct"/>
                  <w:tcBorders>
                    <w:tl2br w:val="nil"/>
                    <w:tr2bl w:val="nil"/>
                  </w:tcBorders>
                  <w:shd w:val="clear" w:color="auto" w:fill="auto"/>
                  <w:noWrap/>
                  <w:tcMar>
                    <w:top w:w="10" w:type="dxa"/>
                    <w:left w:w="10" w:type="dxa"/>
                    <w:bottom w:w="0" w:type="dxa"/>
                    <w:right w:w="10" w:type="dxa"/>
                  </w:tcMar>
                  <w:vAlign w:val="center"/>
                </w:tcPr>
                <w:p w14:paraId="0F9295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2</w:t>
                  </w:r>
                </w:p>
              </w:tc>
            </w:tr>
            <w:tr w14:paraId="58C7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29AF25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color w:val="auto"/>
                      <w:kern w:val="2"/>
                      <w:sz w:val="21"/>
                      <w:szCs w:val="21"/>
                      <w:highlight w:val="none"/>
                      <w:lang w:val="en-US" w:eastAsia="zh-CN" w:bidi="ar-SA"/>
                    </w:rPr>
                  </w:pPr>
                  <w:r>
                    <w:rPr>
                      <w:rFonts w:hint="eastAsia" w:cs="Times New Roman"/>
                      <w:b/>
                      <w:color w:val="auto"/>
                      <w:szCs w:val="21"/>
                      <w:highlight w:val="none"/>
                      <w:lang w:val="en-US" w:eastAsia="zh-CN"/>
                    </w:rPr>
                    <w:t>三</w:t>
                  </w:r>
                </w:p>
              </w:tc>
              <w:tc>
                <w:tcPr>
                  <w:tcW w:w="2594" w:type="pct"/>
                  <w:tcBorders>
                    <w:tl2br w:val="nil"/>
                    <w:tr2bl w:val="nil"/>
                  </w:tcBorders>
                  <w:shd w:val="clear" w:color="auto" w:fill="auto"/>
                  <w:noWrap w:val="0"/>
                  <w:vAlign w:val="center"/>
                </w:tcPr>
                <w:p w14:paraId="635427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szCs w:val="21"/>
                      <w:highlight w:val="none"/>
                    </w:rPr>
                    <w:t>凡士林生产线</w:t>
                  </w:r>
                </w:p>
              </w:tc>
              <w:tc>
                <w:tcPr>
                  <w:tcW w:w="1749" w:type="pct"/>
                  <w:tcBorders>
                    <w:tl2br w:val="nil"/>
                    <w:tr2bl w:val="nil"/>
                  </w:tcBorders>
                  <w:shd w:val="clear" w:color="auto" w:fill="auto"/>
                  <w:noWrap/>
                  <w:tcMar>
                    <w:top w:w="10" w:type="dxa"/>
                    <w:left w:w="10" w:type="dxa"/>
                    <w:bottom w:w="0" w:type="dxa"/>
                    <w:right w:w="10" w:type="dxa"/>
                  </w:tcMar>
                  <w:vAlign w:val="center"/>
                </w:tcPr>
                <w:p w14:paraId="1DDDAC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36C6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70E584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2594" w:type="pct"/>
                  <w:tcBorders>
                    <w:tl2br w:val="nil"/>
                    <w:tr2bl w:val="nil"/>
                  </w:tcBorders>
                  <w:shd w:val="clear" w:color="auto" w:fill="auto"/>
                  <w:noWrap w:val="0"/>
                  <w:vAlign w:val="center"/>
                </w:tcPr>
                <w:p w14:paraId="551BF3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调和罐</w:t>
                  </w:r>
                </w:p>
              </w:tc>
              <w:tc>
                <w:tcPr>
                  <w:tcW w:w="1749" w:type="pct"/>
                  <w:tcBorders>
                    <w:tl2br w:val="nil"/>
                    <w:tr2bl w:val="nil"/>
                  </w:tcBorders>
                  <w:shd w:val="clear" w:color="auto" w:fill="auto"/>
                  <w:noWrap/>
                  <w:tcMar>
                    <w:top w:w="10" w:type="dxa"/>
                    <w:left w:w="10" w:type="dxa"/>
                    <w:bottom w:w="0" w:type="dxa"/>
                    <w:right w:w="10" w:type="dxa"/>
                  </w:tcMar>
                  <w:vAlign w:val="center"/>
                </w:tcPr>
                <w:p w14:paraId="0B4C20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r>
            <w:tr w14:paraId="4457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00FCA5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c>
                <w:tcPr>
                  <w:tcW w:w="2594" w:type="pct"/>
                  <w:tcBorders>
                    <w:tl2br w:val="nil"/>
                    <w:tr2bl w:val="nil"/>
                  </w:tcBorders>
                  <w:shd w:val="clear" w:color="auto" w:fill="auto"/>
                  <w:noWrap w:val="0"/>
                  <w:vAlign w:val="center"/>
                </w:tcPr>
                <w:p w14:paraId="78EE0F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输送泵</w:t>
                  </w:r>
                </w:p>
              </w:tc>
              <w:tc>
                <w:tcPr>
                  <w:tcW w:w="1749" w:type="pct"/>
                  <w:tcBorders>
                    <w:tl2br w:val="nil"/>
                    <w:tr2bl w:val="nil"/>
                  </w:tcBorders>
                  <w:shd w:val="clear" w:color="auto" w:fill="auto"/>
                  <w:noWrap/>
                  <w:tcMar>
                    <w:top w:w="10" w:type="dxa"/>
                    <w:left w:w="10" w:type="dxa"/>
                    <w:bottom w:w="0" w:type="dxa"/>
                    <w:right w:w="10" w:type="dxa"/>
                  </w:tcMar>
                  <w:vAlign w:val="center"/>
                </w:tcPr>
                <w:p w14:paraId="22C211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w:t>
                  </w:r>
                </w:p>
              </w:tc>
            </w:tr>
            <w:tr w14:paraId="3119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05178A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3</w:t>
                  </w:r>
                </w:p>
              </w:tc>
              <w:tc>
                <w:tcPr>
                  <w:tcW w:w="2594" w:type="pct"/>
                  <w:tcBorders>
                    <w:tl2br w:val="nil"/>
                    <w:tr2bl w:val="nil"/>
                  </w:tcBorders>
                  <w:shd w:val="clear" w:color="auto" w:fill="auto"/>
                  <w:noWrap w:val="0"/>
                  <w:vAlign w:val="center"/>
                </w:tcPr>
                <w:p w14:paraId="03BBAC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灌装系统</w:t>
                  </w:r>
                </w:p>
              </w:tc>
              <w:tc>
                <w:tcPr>
                  <w:tcW w:w="1749" w:type="pct"/>
                  <w:tcBorders>
                    <w:tl2br w:val="nil"/>
                    <w:tr2bl w:val="nil"/>
                  </w:tcBorders>
                  <w:shd w:val="clear" w:color="auto" w:fill="auto"/>
                  <w:noWrap/>
                  <w:tcMar>
                    <w:top w:w="10" w:type="dxa"/>
                    <w:left w:w="10" w:type="dxa"/>
                    <w:bottom w:w="0" w:type="dxa"/>
                    <w:right w:w="10" w:type="dxa"/>
                  </w:tcMar>
                  <w:vAlign w:val="center"/>
                </w:tcPr>
                <w:p w14:paraId="26B4A0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r>
            <w:tr w14:paraId="0947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2270BD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w:t>
                  </w:r>
                </w:p>
              </w:tc>
              <w:tc>
                <w:tcPr>
                  <w:tcW w:w="2594" w:type="pct"/>
                  <w:tcBorders>
                    <w:tl2br w:val="nil"/>
                    <w:tr2bl w:val="nil"/>
                  </w:tcBorders>
                  <w:shd w:val="clear" w:color="auto" w:fill="auto"/>
                  <w:noWrap w:val="0"/>
                  <w:vAlign w:val="center"/>
                </w:tcPr>
                <w:p w14:paraId="4BDF57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预冷器</w:t>
                  </w:r>
                </w:p>
              </w:tc>
              <w:tc>
                <w:tcPr>
                  <w:tcW w:w="1749" w:type="pct"/>
                  <w:tcBorders>
                    <w:tl2br w:val="nil"/>
                    <w:tr2bl w:val="nil"/>
                  </w:tcBorders>
                  <w:shd w:val="clear" w:color="auto" w:fill="auto"/>
                  <w:noWrap/>
                  <w:tcMar>
                    <w:top w:w="10" w:type="dxa"/>
                    <w:left w:w="10" w:type="dxa"/>
                    <w:bottom w:w="0" w:type="dxa"/>
                    <w:right w:w="10" w:type="dxa"/>
                  </w:tcMar>
                  <w:vAlign w:val="center"/>
                </w:tcPr>
                <w:p w14:paraId="09C0C9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r>
            <w:tr w14:paraId="1693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576A84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2594" w:type="pct"/>
                  <w:tcBorders>
                    <w:tl2br w:val="nil"/>
                    <w:tr2bl w:val="nil"/>
                  </w:tcBorders>
                  <w:shd w:val="clear" w:color="auto" w:fill="auto"/>
                  <w:noWrap w:val="0"/>
                  <w:vAlign w:val="center"/>
                </w:tcPr>
                <w:p w14:paraId="255076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成型器</w:t>
                  </w:r>
                </w:p>
              </w:tc>
              <w:tc>
                <w:tcPr>
                  <w:tcW w:w="1749" w:type="pct"/>
                  <w:tcBorders>
                    <w:tl2br w:val="nil"/>
                    <w:tr2bl w:val="nil"/>
                  </w:tcBorders>
                  <w:shd w:val="clear" w:color="auto" w:fill="auto"/>
                  <w:noWrap/>
                  <w:tcMar>
                    <w:top w:w="10" w:type="dxa"/>
                    <w:left w:w="10" w:type="dxa"/>
                    <w:bottom w:w="0" w:type="dxa"/>
                    <w:right w:w="10" w:type="dxa"/>
                  </w:tcMar>
                  <w:vAlign w:val="center"/>
                </w:tcPr>
                <w:p w14:paraId="3DD38B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r>
            <w:tr w14:paraId="6BB2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2A1A04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color w:val="auto"/>
                      <w:kern w:val="2"/>
                      <w:sz w:val="21"/>
                      <w:szCs w:val="21"/>
                      <w:highlight w:val="none"/>
                      <w:lang w:val="en-US" w:eastAsia="zh-CN" w:bidi="ar-SA"/>
                    </w:rPr>
                  </w:pPr>
                  <w:r>
                    <w:rPr>
                      <w:rFonts w:hint="eastAsia" w:cs="Times New Roman"/>
                      <w:b/>
                      <w:color w:val="auto"/>
                      <w:szCs w:val="21"/>
                      <w:highlight w:val="none"/>
                      <w:lang w:val="en-US" w:eastAsia="zh-CN"/>
                    </w:rPr>
                    <w:t>四</w:t>
                  </w:r>
                </w:p>
              </w:tc>
              <w:tc>
                <w:tcPr>
                  <w:tcW w:w="2594" w:type="pct"/>
                  <w:tcBorders>
                    <w:tl2br w:val="nil"/>
                    <w:tr2bl w:val="nil"/>
                  </w:tcBorders>
                  <w:shd w:val="clear" w:color="auto" w:fill="auto"/>
                  <w:noWrap w:val="0"/>
                  <w:vAlign w:val="center"/>
                </w:tcPr>
                <w:p w14:paraId="11A7DF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szCs w:val="21"/>
                      <w:highlight w:val="none"/>
                    </w:rPr>
                    <w:t>公用工程</w:t>
                  </w:r>
                </w:p>
              </w:tc>
              <w:tc>
                <w:tcPr>
                  <w:tcW w:w="1749" w:type="pct"/>
                  <w:tcBorders>
                    <w:tl2br w:val="nil"/>
                    <w:tr2bl w:val="nil"/>
                  </w:tcBorders>
                  <w:shd w:val="clear" w:color="auto" w:fill="auto"/>
                  <w:noWrap/>
                  <w:tcMar>
                    <w:top w:w="10" w:type="dxa"/>
                    <w:left w:w="10" w:type="dxa"/>
                    <w:bottom w:w="0" w:type="dxa"/>
                    <w:right w:w="10" w:type="dxa"/>
                  </w:tcMar>
                  <w:vAlign w:val="center"/>
                </w:tcPr>
                <w:p w14:paraId="10FFE9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28BF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59433F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w:t>
                  </w:r>
                </w:p>
              </w:tc>
              <w:tc>
                <w:tcPr>
                  <w:tcW w:w="2594" w:type="pct"/>
                  <w:tcBorders>
                    <w:tl2br w:val="nil"/>
                    <w:tr2bl w:val="nil"/>
                  </w:tcBorders>
                  <w:shd w:val="clear" w:color="auto" w:fill="auto"/>
                  <w:noWrap w:val="0"/>
                  <w:vAlign w:val="center"/>
                </w:tcPr>
                <w:p w14:paraId="1DA775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循环水系统</w:t>
                  </w:r>
                </w:p>
              </w:tc>
              <w:tc>
                <w:tcPr>
                  <w:tcW w:w="1749" w:type="pct"/>
                  <w:tcBorders>
                    <w:tl2br w:val="nil"/>
                    <w:tr2bl w:val="nil"/>
                  </w:tcBorders>
                  <w:shd w:val="clear" w:color="auto" w:fill="auto"/>
                  <w:noWrap/>
                  <w:tcMar>
                    <w:top w:w="10" w:type="dxa"/>
                    <w:left w:w="10" w:type="dxa"/>
                    <w:bottom w:w="0" w:type="dxa"/>
                    <w:right w:w="10" w:type="dxa"/>
                  </w:tcMar>
                  <w:vAlign w:val="center"/>
                </w:tcPr>
                <w:p w14:paraId="7F628C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1套</w:t>
                  </w:r>
                </w:p>
              </w:tc>
            </w:tr>
            <w:tr w14:paraId="14F7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01541D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c>
                <w:tcPr>
                  <w:tcW w:w="2594" w:type="pct"/>
                  <w:tcBorders>
                    <w:tl2br w:val="nil"/>
                    <w:tr2bl w:val="nil"/>
                  </w:tcBorders>
                  <w:shd w:val="clear" w:color="auto" w:fill="auto"/>
                  <w:noWrap w:val="0"/>
                  <w:vAlign w:val="center"/>
                </w:tcPr>
                <w:p w14:paraId="3BC434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冷冻机</w:t>
                  </w:r>
                </w:p>
              </w:tc>
              <w:tc>
                <w:tcPr>
                  <w:tcW w:w="1749" w:type="pct"/>
                  <w:tcBorders>
                    <w:tl2br w:val="nil"/>
                    <w:tr2bl w:val="nil"/>
                  </w:tcBorders>
                  <w:shd w:val="clear" w:color="auto" w:fill="auto"/>
                  <w:noWrap/>
                  <w:tcMar>
                    <w:top w:w="10" w:type="dxa"/>
                    <w:left w:w="10" w:type="dxa"/>
                    <w:bottom w:w="0" w:type="dxa"/>
                    <w:right w:w="10" w:type="dxa"/>
                  </w:tcMar>
                  <w:vAlign w:val="center"/>
                </w:tcPr>
                <w:p w14:paraId="2C240F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2（一开一备）</w:t>
                  </w:r>
                </w:p>
              </w:tc>
            </w:tr>
            <w:tr w14:paraId="3294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5C976A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3</w:t>
                  </w:r>
                </w:p>
              </w:tc>
              <w:tc>
                <w:tcPr>
                  <w:tcW w:w="2594" w:type="pct"/>
                  <w:tcBorders>
                    <w:tl2br w:val="nil"/>
                    <w:tr2bl w:val="nil"/>
                  </w:tcBorders>
                  <w:shd w:val="clear" w:color="auto" w:fill="auto"/>
                  <w:noWrap w:val="0"/>
                  <w:vAlign w:val="center"/>
                </w:tcPr>
                <w:p w14:paraId="50188F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软水处理系统</w:t>
                  </w:r>
                </w:p>
              </w:tc>
              <w:tc>
                <w:tcPr>
                  <w:tcW w:w="1749" w:type="pct"/>
                  <w:tcBorders>
                    <w:tl2br w:val="nil"/>
                    <w:tr2bl w:val="nil"/>
                  </w:tcBorders>
                  <w:shd w:val="clear" w:color="auto" w:fill="auto"/>
                  <w:noWrap/>
                  <w:tcMar>
                    <w:top w:w="10" w:type="dxa"/>
                    <w:left w:w="10" w:type="dxa"/>
                    <w:bottom w:w="0" w:type="dxa"/>
                    <w:right w:w="10" w:type="dxa"/>
                  </w:tcMar>
                  <w:vAlign w:val="center"/>
                </w:tcPr>
                <w:p w14:paraId="548844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1套</w:t>
                  </w:r>
                </w:p>
              </w:tc>
            </w:tr>
            <w:tr w14:paraId="3CAC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192A08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4</w:t>
                  </w:r>
                </w:p>
              </w:tc>
              <w:tc>
                <w:tcPr>
                  <w:tcW w:w="2594" w:type="pct"/>
                  <w:tcBorders>
                    <w:tl2br w:val="nil"/>
                    <w:tr2bl w:val="nil"/>
                  </w:tcBorders>
                  <w:shd w:val="clear" w:color="auto" w:fill="auto"/>
                  <w:noWrap w:val="0"/>
                  <w:vAlign w:val="center"/>
                </w:tcPr>
                <w:p w14:paraId="010B50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变压器</w:t>
                  </w:r>
                </w:p>
              </w:tc>
              <w:tc>
                <w:tcPr>
                  <w:tcW w:w="1749" w:type="pct"/>
                  <w:tcBorders>
                    <w:tl2br w:val="nil"/>
                    <w:tr2bl w:val="nil"/>
                  </w:tcBorders>
                  <w:shd w:val="clear" w:color="auto" w:fill="auto"/>
                  <w:noWrap/>
                  <w:tcMar>
                    <w:top w:w="10" w:type="dxa"/>
                    <w:left w:w="10" w:type="dxa"/>
                    <w:bottom w:w="0" w:type="dxa"/>
                    <w:right w:w="10" w:type="dxa"/>
                  </w:tcMar>
                  <w:vAlign w:val="center"/>
                </w:tcPr>
                <w:p w14:paraId="5C7147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w:t>
                  </w:r>
                </w:p>
              </w:tc>
            </w:tr>
            <w:tr w14:paraId="6147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132BFC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5</w:t>
                  </w:r>
                </w:p>
              </w:tc>
              <w:tc>
                <w:tcPr>
                  <w:tcW w:w="2594" w:type="pct"/>
                  <w:tcBorders>
                    <w:tl2br w:val="nil"/>
                    <w:tr2bl w:val="nil"/>
                  </w:tcBorders>
                  <w:shd w:val="clear" w:color="auto" w:fill="auto"/>
                  <w:noWrap w:val="0"/>
                  <w:vAlign w:val="center"/>
                </w:tcPr>
                <w:p w14:paraId="071FDE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导热油系统</w:t>
                  </w:r>
                </w:p>
              </w:tc>
              <w:tc>
                <w:tcPr>
                  <w:tcW w:w="1749" w:type="pct"/>
                  <w:tcBorders>
                    <w:tl2br w:val="nil"/>
                    <w:tr2bl w:val="nil"/>
                  </w:tcBorders>
                  <w:shd w:val="clear" w:color="auto" w:fill="auto"/>
                  <w:noWrap/>
                  <w:tcMar>
                    <w:top w:w="10" w:type="dxa"/>
                    <w:left w:w="10" w:type="dxa"/>
                    <w:bottom w:w="0" w:type="dxa"/>
                    <w:right w:w="10" w:type="dxa"/>
                  </w:tcMar>
                  <w:vAlign w:val="center"/>
                </w:tcPr>
                <w:p w14:paraId="1A0881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1套</w:t>
                  </w:r>
                </w:p>
              </w:tc>
            </w:tr>
            <w:tr w14:paraId="7A3E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4B3822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6</w:t>
                  </w:r>
                </w:p>
              </w:tc>
              <w:tc>
                <w:tcPr>
                  <w:tcW w:w="2594" w:type="pct"/>
                  <w:tcBorders>
                    <w:tl2br w:val="nil"/>
                    <w:tr2bl w:val="nil"/>
                  </w:tcBorders>
                  <w:shd w:val="clear" w:color="auto" w:fill="auto"/>
                  <w:noWrap w:val="0"/>
                  <w:vAlign w:val="center"/>
                </w:tcPr>
                <w:p w14:paraId="6A588B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供风系统</w:t>
                  </w:r>
                </w:p>
              </w:tc>
              <w:tc>
                <w:tcPr>
                  <w:tcW w:w="1749" w:type="pct"/>
                  <w:tcBorders>
                    <w:tl2br w:val="nil"/>
                    <w:tr2bl w:val="nil"/>
                  </w:tcBorders>
                  <w:shd w:val="clear" w:color="auto" w:fill="auto"/>
                  <w:noWrap/>
                  <w:tcMar>
                    <w:top w:w="10" w:type="dxa"/>
                    <w:left w:w="10" w:type="dxa"/>
                    <w:bottom w:w="0" w:type="dxa"/>
                    <w:right w:w="10" w:type="dxa"/>
                  </w:tcMar>
                  <w:vAlign w:val="center"/>
                </w:tcPr>
                <w:p w14:paraId="7CF3ED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1套</w:t>
                  </w:r>
                </w:p>
              </w:tc>
            </w:tr>
            <w:tr w14:paraId="0B2F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exact"/>
                <w:jc w:val="center"/>
              </w:trPr>
              <w:tc>
                <w:tcPr>
                  <w:tcW w:w="656" w:type="pct"/>
                  <w:tcBorders>
                    <w:tl2br w:val="nil"/>
                    <w:tr2bl w:val="nil"/>
                  </w:tcBorders>
                  <w:shd w:val="clear" w:color="auto" w:fill="auto"/>
                  <w:noWrap/>
                  <w:tcMar>
                    <w:top w:w="10" w:type="dxa"/>
                    <w:left w:w="10" w:type="dxa"/>
                    <w:bottom w:w="0" w:type="dxa"/>
                    <w:right w:w="10" w:type="dxa"/>
                  </w:tcMar>
                  <w:vAlign w:val="center"/>
                </w:tcPr>
                <w:p w14:paraId="5FBB00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7</w:t>
                  </w:r>
                </w:p>
              </w:tc>
              <w:tc>
                <w:tcPr>
                  <w:tcW w:w="2594" w:type="pct"/>
                  <w:tcBorders>
                    <w:tl2br w:val="nil"/>
                    <w:tr2bl w:val="nil"/>
                  </w:tcBorders>
                  <w:shd w:val="clear" w:color="auto" w:fill="auto"/>
                  <w:noWrap w:val="0"/>
                  <w:vAlign w:val="center"/>
                </w:tcPr>
                <w:p w14:paraId="533AA8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控制系统</w:t>
                  </w:r>
                </w:p>
              </w:tc>
              <w:tc>
                <w:tcPr>
                  <w:tcW w:w="1749" w:type="pct"/>
                  <w:tcBorders>
                    <w:tl2br w:val="nil"/>
                    <w:tr2bl w:val="nil"/>
                  </w:tcBorders>
                  <w:shd w:val="clear" w:color="auto" w:fill="auto"/>
                  <w:noWrap/>
                  <w:tcMar>
                    <w:top w:w="10" w:type="dxa"/>
                    <w:left w:w="10" w:type="dxa"/>
                    <w:bottom w:w="0" w:type="dxa"/>
                    <w:right w:w="10" w:type="dxa"/>
                  </w:tcMar>
                  <w:vAlign w:val="center"/>
                </w:tcPr>
                <w:p w14:paraId="717BE9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1套</w:t>
                  </w:r>
                </w:p>
              </w:tc>
            </w:tr>
          </w:tbl>
          <w:p w14:paraId="475D9B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olor w:val="auto"/>
                <w:highlight w:val="none"/>
              </w:rPr>
            </w:pPr>
            <w:r>
              <w:rPr>
                <w:rFonts w:hint="eastAsia"/>
                <w:color w:val="auto"/>
                <w:sz w:val="24"/>
                <w:highlight w:val="none"/>
              </w:rPr>
              <w:t>表2-1</w:t>
            </w:r>
            <w:r>
              <w:rPr>
                <w:rFonts w:hint="eastAsia"/>
                <w:color w:val="auto"/>
                <w:sz w:val="24"/>
                <w:highlight w:val="none"/>
                <w:lang w:val="en-US" w:eastAsia="zh-CN"/>
              </w:rPr>
              <w:t xml:space="preserve">8  </w:t>
            </w:r>
            <w:r>
              <w:rPr>
                <w:rFonts w:hint="eastAsia"/>
                <w:color w:val="auto"/>
                <w:sz w:val="24"/>
                <w:highlight w:val="none"/>
              </w:rPr>
              <w:t>本项目储罐参数一览表</w:t>
            </w:r>
          </w:p>
          <w:tbl>
            <w:tblPr>
              <w:tblStyle w:val="27"/>
              <w:tblW w:w="4996"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717"/>
              <w:gridCol w:w="478"/>
              <w:gridCol w:w="1094"/>
              <w:gridCol w:w="845"/>
              <w:gridCol w:w="640"/>
              <w:gridCol w:w="1239"/>
              <w:gridCol w:w="845"/>
              <w:gridCol w:w="1708"/>
            </w:tblGrid>
            <w:tr w14:paraId="679321F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12" w:hRule="exact"/>
                <w:jc w:val="center"/>
              </w:trPr>
              <w:tc>
                <w:tcPr>
                  <w:tcW w:w="203" w:type="pct"/>
                  <w:tcBorders>
                    <w:top w:val="single" w:color="auto" w:sz="4" w:space="0"/>
                    <w:left w:val="single" w:color="auto" w:sz="0" w:space="0"/>
                  </w:tcBorders>
                  <w:noWrap w:val="0"/>
                  <w:tcMar>
                    <w:left w:w="0" w:type="dxa"/>
                    <w:right w:w="0" w:type="dxa"/>
                  </w:tcMar>
                  <w:vAlign w:val="center"/>
                </w:tcPr>
                <w:p w14:paraId="2F5DA3E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455" w:type="pct"/>
                  <w:tcBorders>
                    <w:top w:val="single" w:color="auto" w:sz="4" w:space="0"/>
                  </w:tcBorders>
                  <w:noWrap w:val="0"/>
                  <w:tcMar>
                    <w:left w:w="0" w:type="dxa"/>
                    <w:right w:w="0" w:type="dxa"/>
                  </w:tcMar>
                  <w:vAlign w:val="center"/>
                </w:tcPr>
                <w:p w14:paraId="01E9065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名称</w:t>
                  </w:r>
                </w:p>
              </w:tc>
              <w:tc>
                <w:tcPr>
                  <w:tcW w:w="995" w:type="pct"/>
                  <w:gridSpan w:val="2"/>
                  <w:tcBorders>
                    <w:top w:val="single" w:color="auto" w:sz="4" w:space="0"/>
                  </w:tcBorders>
                  <w:noWrap w:val="0"/>
                  <w:tcMar>
                    <w:left w:w="0" w:type="dxa"/>
                    <w:right w:w="0" w:type="dxa"/>
                  </w:tcMar>
                  <w:vAlign w:val="center"/>
                </w:tcPr>
                <w:p w14:paraId="052F9A9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物料</w:t>
                  </w:r>
                </w:p>
                <w:p w14:paraId="0F4EADD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名称</w:t>
                  </w:r>
                </w:p>
              </w:tc>
              <w:tc>
                <w:tcPr>
                  <w:tcW w:w="535" w:type="pct"/>
                  <w:tcBorders>
                    <w:top w:val="single" w:color="auto" w:sz="4" w:space="0"/>
                  </w:tcBorders>
                  <w:noWrap w:val="0"/>
                  <w:tcMar>
                    <w:left w:w="0" w:type="dxa"/>
                    <w:right w:w="0" w:type="dxa"/>
                  </w:tcMar>
                  <w:vAlign w:val="center"/>
                </w:tcPr>
                <w:p w14:paraId="53D32E3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单罐容积</w:t>
                  </w:r>
                </w:p>
                <w:p w14:paraId="32AD87F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p>
              </w:tc>
              <w:tc>
                <w:tcPr>
                  <w:tcW w:w="405" w:type="pct"/>
                  <w:tcBorders>
                    <w:top w:val="single" w:color="auto" w:sz="4" w:space="0"/>
                  </w:tcBorders>
                  <w:noWrap w:val="0"/>
                  <w:tcMar>
                    <w:left w:w="0" w:type="dxa"/>
                    <w:right w:w="0" w:type="dxa"/>
                  </w:tcMar>
                  <w:vAlign w:val="center"/>
                </w:tcPr>
                <w:p w14:paraId="16AA3929">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个数</w:t>
                  </w:r>
                </w:p>
                <w:p w14:paraId="250958F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785" w:type="pct"/>
                  <w:tcBorders>
                    <w:top w:val="single" w:color="auto" w:sz="4" w:space="0"/>
                  </w:tcBorders>
                  <w:noWrap w:val="0"/>
                  <w:tcMar>
                    <w:left w:w="0" w:type="dxa"/>
                    <w:right w:w="0" w:type="dxa"/>
                  </w:tcMar>
                  <w:vAlign w:val="center"/>
                </w:tcPr>
                <w:p w14:paraId="397B698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规格</w:t>
                  </w:r>
                </w:p>
                <w:p w14:paraId="6DA659D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（直径</w:t>
                  </w:r>
                  <w:r>
                    <w:rPr>
                      <w:rFonts w:hint="default" w:ascii="Times New Roman" w:hAnsi="Times New Roman" w:cs="Times New Roman"/>
                      <w:color w:val="auto"/>
                      <w:kern w:val="0"/>
                      <w:szCs w:val="21"/>
                      <w:highlight w:val="none"/>
                    </w:rPr>
                    <w:t>×高度</w:t>
                  </w:r>
                  <w:r>
                    <w:rPr>
                      <w:rFonts w:hint="default" w:ascii="Times New Roman" w:hAnsi="Times New Roman" w:cs="Times New Roman"/>
                      <w:color w:val="auto"/>
                      <w:szCs w:val="21"/>
                      <w:highlight w:val="none"/>
                    </w:rPr>
                    <w:t>）</w:t>
                  </w:r>
                </w:p>
              </w:tc>
              <w:tc>
                <w:tcPr>
                  <w:tcW w:w="535" w:type="pct"/>
                  <w:tcBorders>
                    <w:top w:val="single" w:color="auto" w:sz="4" w:space="0"/>
                  </w:tcBorders>
                  <w:noWrap w:val="0"/>
                  <w:tcMar>
                    <w:left w:w="0" w:type="dxa"/>
                    <w:right w:w="0" w:type="dxa"/>
                  </w:tcMar>
                  <w:vAlign w:val="center"/>
                </w:tcPr>
                <w:p w14:paraId="6A43F1A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储存温度</w:t>
                  </w:r>
                </w:p>
                <w:p w14:paraId="2A0AD1C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082" w:type="pct"/>
                  <w:tcBorders>
                    <w:top w:val="single" w:color="auto" w:sz="4" w:space="0"/>
                    <w:right w:val="single" w:color="auto" w:sz="4" w:space="0"/>
                  </w:tcBorders>
                  <w:noWrap w:val="0"/>
                  <w:tcMar>
                    <w:left w:w="0" w:type="dxa"/>
                    <w:right w:w="0" w:type="dxa"/>
                  </w:tcMar>
                  <w:vAlign w:val="center"/>
                </w:tcPr>
                <w:p w14:paraId="510BA16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储罐</w:t>
                  </w:r>
                </w:p>
                <w:p w14:paraId="1AD20FCD">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形式</w:t>
                  </w:r>
                </w:p>
              </w:tc>
            </w:tr>
            <w:tr w14:paraId="070589A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72" w:hRule="exact"/>
                <w:jc w:val="center"/>
              </w:trPr>
              <w:tc>
                <w:tcPr>
                  <w:tcW w:w="203" w:type="pct"/>
                  <w:vMerge w:val="restart"/>
                  <w:tcBorders>
                    <w:left w:val="single" w:color="auto" w:sz="4" w:space="0"/>
                  </w:tcBorders>
                  <w:noWrap w:val="0"/>
                  <w:vAlign w:val="center"/>
                </w:tcPr>
                <w:p w14:paraId="3992E4E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455" w:type="pct"/>
                  <w:vMerge w:val="restart"/>
                  <w:noWrap w:val="0"/>
                  <w:vAlign w:val="center"/>
                </w:tcPr>
                <w:p w14:paraId="551D0F9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罐区A</w:t>
                  </w:r>
                </w:p>
              </w:tc>
              <w:tc>
                <w:tcPr>
                  <w:tcW w:w="995" w:type="pct"/>
                  <w:gridSpan w:val="2"/>
                  <w:noWrap w:val="0"/>
                  <w:vAlign w:val="center"/>
                </w:tcPr>
                <w:p w14:paraId="5F12D83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混合石蜡</w:t>
                  </w:r>
                </w:p>
              </w:tc>
              <w:tc>
                <w:tcPr>
                  <w:tcW w:w="535" w:type="pct"/>
                  <w:noWrap w:val="0"/>
                  <w:vAlign w:val="center"/>
                </w:tcPr>
                <w:p w14:paraId="330365D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340</w:t>
                  </w:r>
                </w:p>
              </w:tc>
              <w:tc>
                <w:tcPr>
                  <w:tcW w:w="405" w:type="pct"/>
                  <w:noWrap w:val="0"/>
                  <w:vAlign w:val="center"/>
                </w:tcPr>
                <w:p w14:paraId="5995026A">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val="en-US" w:eastAsia="zh-CN"/>
                    </w:rPr>
                    <w:t>3</w:t>
                  </w:r>
                </w:p>
              </w:tc>
              <w:tc>
                <w:tcPr>
                  <w:tcW w:w="785" w:type="pct"/>
                  <w:noWrap w:val="0"/>
                  <w:vAlign w:val="center"/>
                </w:tcPr>
                <w:p w14:paraId="267FC45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6m×14.5m</w:t>
                  </w:r>
                </w:p>
              </w:tc>
              <w:tc>
                <w:tcPr>
                  <w:tcW w:w="535" w:type="pct"/>
                  <w:noWrap w:val="0"/>
                  <w:vAlign w:val="center"/>
                </w:tcPr>
                <w:p w14:paraId="305710A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70-85</w:t>
                  </w:r>
                </w:p>
              </w:tc>
              <w:tc>
                <w:tcPr>
                  <w:tcW w:w="1082" w:type="pct"/>
                  <w:tcBorders>
                    <w:right w:val="single" w:color="auto" w:sz="4" w:space="0"/>
                  </w:tcBorders>
                  <w:noWrap w:val="0"/>
                  <w:tcMar>
                    <w:left w:w="0" w:type="dxa"/>
                    <w:right w:w="0" w:type="dxa"/>
                  </w:tcMar>
                  <w:vAlign w:val="center"/>
                </w:tcPr>
                <w:p w14:paraId="5EF7E3D6">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拱顶</w:t>
                  </w:r>
                  <w:r>
                    <w:rPr>
                      <w:rFonts w:hint="eastAsia" w:ascii="Times New Roman" w:hAnsi="Times New Roman" w:cs="Times New Roman"/>
                      <w:color w:val="auto"/>
                      <w:szCs w:val="21"/>
                      <w:highlight w:val="none"/>
                      <w:lang w:val="en-US" w:eastAsia="zh-CN"/>
                    </w:rPr>
                    <w:t>罐</w:t>
                  </w:r>
                  <w:r>
                    <w:rPr>
                      <w:rFonts w:hint="default" w:ascii="Times New Roman" w:hAnsi="Times New Roman" w:cs="Times New Roman"/>
                      <w:color w:val="auto"/>
                      <w:szCs w:val="21"/>
                      <w:highlight w:val="none"/>
                    </w:rPr>
                    <w:t xml:space="preserve"> </w:t>
                  </w:r>
                </w:p>
              </w:tc>
            </w:tr>
            <w:tr w14:paraId="36EE151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7" w:hRule="exact"/>
                <w:jc w:val="center"/>
              </w:trPr>
              <w:tc>
                <w:tcPr>
                  <w:tcW w:w="203" w:type="pct"/>
                  <w:vMerge w:val="continue"/>
                  <w:tcBorders>
                    <w:left w:val="single" w:color="auto" w:sz="4" w:space="0"/>
                  </w:tcBorders>
                  <w:noWrap w:val="0"/>
                  <w:vAlign w:val="center"/>
                </w:tcPr>
                <w:p w14:paraId="40D73BD5">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5" w:type="pct"/>
                  <w:vMerge w:val="continue"/>
                  <w:noWrap w:val="0"/>
                  <w:vAlign w:val="center"/>
                </w:tcPr>
                <w:p w14:paraId="29EF01B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995" w:type="pct"/>
                  <w:gridSpan w:val="2"/>
                  <w:noWrap w:val="0"/>
                  <w:vAlign w:val="center"/>
                </w:tcPr>
                <w:p w14:paraId="49BCC5C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混合石蜡</w:t>
                  </w:r>
                </w:p>
              </w:tc>
              <w:tc>
                <w:tcPr>
                  <w:tcW w:w="535" w:type="pct"/>
                  <w:noWrap w:val="0"/>
                  <w:vAlign w:val="center"/>
                </w:tcPr>
                <w:p w14:paraId="41010F2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137</w:t>
                  </w:r>
                </w:p>
              </w:tc>
              <w:tc>
                <w:tcPr>
                  <w:tcW w:w="405" w:type="pct"/>
                  <w:noWrap w:val="0"/>
                  <w:vAlign w:val="center"/>
                </w:tcPr>
                <w:p w14:paraId="68871A7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10</w:t>
                  </w:r>
                </w:p>
              </w:tc>
              <w:tc>
                <w:tcPr>
                  <w:tcW w:w="785" w:type="pct"/>
                  <w:noWrap w:val="0"/>
                  <w:vAlign w:val="center"/>
                </w:tcPr>
                <w:p w14:paraId="1D047FE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4m×12m</w:t>
                  </w:r>
                </w:p>
              </w:tc>
              <w:tc>
                <w:tcPr>
                  <w:tcW w:w="535" w:type="pct"/>
                  <w:noWrap w:val="0"/>
                  <w:vAlign w:val="center"/>
                </w:tcPr>
                <w:p w14:paraId="0C69E04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70-85</w:t>
                  </w:r>
                </w:p>
              </w:tc>
              <w:tc>
                <w:tcPr>
                  <w:tcW w:w="1082" w:type="pct"/>
                  <w:tcBorders>
                    <w:right w:val="single" w:color="auto" w:sz="4" w:space="0"/>
                  </w:tcBorders>
                  <w:noWrap w:val="0"/>
                  <w:tcMar>
                    <w:left w:w="0" w:type="dxa"/>
                    <w:right w:w="0" w:type="dxa"/>
                  </w:tcMar>
                  <w:vAlign w:val="center"/>
                </w:tcPr>
                <w:p w14:paraId="0C91482E">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立式</w:t>
                  </w:r>
                  <w:r>
                    <w:rPr>
                      <w:rFonts w:hint="eastAsia" w:ascii="Times New Roman" w:hAnsi="Times New Roman" w:cs="Times New Roman"/>
                      <w:color w:val="auto"/>
                      <w:szCs w:val="21"/>
                      <w:highlight w:val="none"/>
                      <w:lang w:val="en-US" w:eastAsia="zh-CN"/>
                    </w:rPr>
                    <w:t>罐</w:t>
                  </w:r>
                </w:p>
              </w:tc>
            </w:tr>
            <w:tr w14:paraId="65BDF8A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exact"/>
                <w:jc w:val="center"/>
              </w:trPr>
              <w:tc>
                <w:tcPr>
                  <w:tcW w:w="203" w:type="pct"/>
                  <w:vMerge w:val="restart"/>
                  <w:tcBorders>
                    <w:left w:val="single" w:color="auto" w:sz="4" w:space="0"/>
                  </w:tcBorders>
                  <w:noWrap w:val="0"/>
                  <w:vAlign w:val="center"/>
                </w:tcPr>
                <w:p w14:paraId="2487692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455" w:type="pct"/>
                  <w:vMerge w:val="restart"/>
                  <w:noWrap w:val="0"/>
                  <w:vAlign w:val="center"/>
                </w:tcPr>
                <w:p w14:paraId="089D1DC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罐区B</w:t>
                  </w:r>
                </w:p>
              </w:tc>
              <w:tc>
                <w:tcPr>
                  <w:tcW w:w="303" w:type="pct"/>
                  <w:vMerge w:val="restart"/>
                  <w:noWrap w:val="0"/>
                  <w:tcMar>
                    <w:left w:w="0" w:type="dxa"/>
                    <w:right w:w="0" w:type="dxa"/>
                  </w:tcMar>
                  <w:vAlign w:val="center"/>
                </w:tcPr>
                <w:p w14:paraId="5B78C0C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原料</w:t>
                  </w:r>
                </w:p>
              </w:tc>
              <w:tc>
                <w:tcPr>
                  <w:tcW w:w="691" w:type="pct"/>
                  <w:vMerge w:val="restart"/>
                  <w:noWrap w:val="0"/>
                  <w:tcMar>
                    <w:left w:w="0" w:type="dxa"/>
                    <w:right w:w="0" w:type="dxa"/>
                  </w:tcMar>
                  <w:vAlign w:val="center"/>
                </w:tcPr>
                <w:p w14:paraId="25D24D9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全精炼石蜡</w:t>
                  </w:r>
                </w:p>
              </w:tc>
              <w:tc>
                <w:tcPr>
                  <w:tcW w:w="535" w:type="pct"/>
                  <w:noWrap w:val="0"/>
                  <w:vAlign w:val="center"/>
                </w:tcPr>
                <w:p w14:paraId="045680C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2650</w:t>
                  </w:r>
                </w:p>
              </w:tc>
              <w:tc>
                <w:tcPr>
                  <w:tcW w:w="405" w:type="pct"/>
                  <w:noWrap w:val="0"/>
                  <w:vAlign w:val="center"/>
                </w:tcPr>
                <w:p w14:paraId="5365347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785" w:type="pct"/>
                  <w:noWrap w:val="0"/>
                  <w:vAlign w:val="center"/>
                </w:tcPr>
                <w:p w14:paraId="4E56FE1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15m×15m</w:t>
                  </w:r>
                </w:p>
              </w:tc>
              <w:tc>
                <w:tcPr>
                  <w:tcW w:w="535" w:type="pct"/>
                  <w:noWrap w:val="0"/>
                  <w:vAlign w:val="center"/>
                </w:tcPr>
                <w:p w14:paraId="272137C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70-85</w:t>
                  </w:r>
                </w:p>
              </w:tc>
              <w:tc>
                <w:tcPr>
                  <w:tcW w:w="1082" w:type="pct"/>
                  <w:vMerge w:val="restart"/>
                  <w:tcBorders>
                    <w:right w:val="single" w:color="auto" w:sz="4" w:space="0"/>
                  </w:tcBorders>
                  <w:noWrap w:val="0"/>
                  <w:vAlign w:val="center"/>
                </w:tcPr>
                <w:p w14:paraId="762B191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拱顶</w:t>
                  </w:r>
                </w:p>
              </w:tc>
            </w:tr>
            <w:tr w14:paraId="1CA6651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exact"/>
                <w:jc w:val="center"/>
              </w:trPr>
              <w:tc>
                <w:tcPr>
                  <w:tcW w:w="203" w:type="pct"/>
                  <w:vMerge w:val="continue"/>
                  <w:tcBorders>
                    <w:left w:val="single" w:color="auto" w:sz="4" w:space="0"/>
                  </w:tcBorders>
                  <w:noWrap w:val="0"/>
                  <w:vAlign w:val="center"/>
                </w:tcPr>
                <w:p w14:paraId="15C6FB4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5" w:type="pct"/>
                  <w:vMerge w:val="continue"/>
                  <w:noWrap w:val="0"/>
                  <w:vAlign w:val="center"/>
                </w:tcPr>
                <w:p w14:paraId="7F4EFBCD">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303" w:type="pct"/>
                  <w:vMerge w:val="continue"/>
                  <w:noWrap w:val="0"/>
                  <w:tcMar>
                    <w:left w:w="0" w:type="dxa"/>
                    <w:right w:w="0" w:type="dxa"/>
                  </w:tcMar>
                  <w:vAlign w:val="center"/>
                </w:tcPr>
                <w:p w14:paraId="11EE7FA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691" w:type="pct"/>
                  <w:vMerge w:val="continue"/>
                  <w:noWrap w:val="0"/>
                  <w:tcMar>
                    <w:left w:w="0" w:type="dxa"/>
                    <w:right w:w="0" w:type="dxa"/>
                  </w:tcMar>
                  <w:vAlign w:val="center"/>
                </w:tcPr>
                <w:p w14:paraId="32CB15B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535" w:type="pct"/>
                  <w:noWrap w:val="0"/>
                  <w:vAlign w:val="center"/>
                </w:tcPr>
                <w:p w14:paraId="3D0C02E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2000</w:t>
                  </w:r>
                </w:p>
              </w:tc>
              <w:tc>
                <w:tcPr>
                  <w:tcW w:w="405" w:type="pct"/>
                  <w:noWrap w:val="0"/>
                  <w:vAlign w:val="center"/>
                </w:tcPr>
                <w:p w14:paraId="7AB6B65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785" w:type="pct"/>
                  <w:noWrap w:val="0"/>
                  <w:vAlign w:val="center"/>
                </w:tcPr>
                <w:p w14:paraId="3EB8C33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13m×15m</w:t>
                  </w:r>
                </w:p>
              </w:tc>
              <w:tc>
                <w:tcPr>
                  <w:tcW w:w="535" w:type="pct"/>
                  <w:noWrap w:val="0"/>
                  <w:vAlign w:val="center"/>
                </w:tcPr>
                <w:p w14:paraId="2D34652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70-85</w:t>
                  </w:r>
                </w:p>
              </w:tc>
              <w:tc>
                <w:tcPr>
                  <w:tcW w:w="1082" w:type="pct"/>
                  <w:vMerge w:val="continue"/>
                  <w:tcBorders>
                    <w:right w:val="single" w:color="auto" w:sz="4" w:space="0"/>
                  </w:tcBorders>
                  <w:noWrap w:val="0"/>
                  <w:vAlign w:val="center"/>
                </w:tcPr>
                <w:p w14:paraId="51151DF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r>
            <w:tr w14:paraId="2562B14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exact"/>
                <w:jc w:val="center"/>
              </w:trPr>
              <w:tc>
                <w:tcPr>
                  <w:tcW w:w="203" w:type="pct"/>
                  <w:vMerge w:val="continue"/>
                  <w:tcBorders>
                    <w:left w:val="single" w:color="auto" w:sz="4" w:space="0"/>
                  </w:tcBorders>
                  <w:noWrap w:val="0"/>
                  <w:vAlign w:val="center"/>
                </w:tcPr>
                <w:p w14:paraId="2C5FADE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5" w:type="pct"/>
                  <w:vMerge w:val="continue"/>
                  <w:noWrap w:val="0"/>
                  <w:vAlign w:val="center"/>
                </w:tcPr>
                <w:p w14:paraId="116AF7A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303" w:type="pct"/>
                  <w:vMerge w:val="continue"/>
                  <w:noWrap w:val="0"/>
                  <w:tcMar>
                    <w:left w:w="0" w:type="dxa"/>
                    <w:right w:w="0" w:type="dxa"/>
                  </w:tcMar>
                  <w:vAlign w:val="center"/>
                </w:tcPr>
                <w:p w14:paraId="0A49F81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691" w:type="pct"/>
                  <w:noWrap w:val="0"/>
                  <w:tcMar>
                    <w:left w:w="0" w:type="dxa"/>
                    <w:right w:w="0" w:type="dxa"/>
                  </w:tcMar>
                  <w:vAlign w:val="center"/>
                </w:tcPr>
                <w:p w14:paraId="7044661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特种油</w:t>
                  </w:r>
                </w:p>
              </w:tc>
              <w:tc>
                <w:tcPr>
                  <w:tcW w:w="535" w:type="pct"/>
                  <w:noWrap w:val="0"/>
                  <w:vAlign w:val="center"/>
                </w:tcPr>
                <w:p w14:paraId="7A86FFD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2000</w:t>
                  </w:r>
                </w:p>
              </w:tc>
              <w:tc>
                <w:tcPr>
                  <w:tcW w:w="405" w:type="pct"/>
                  <w:noWrap w:val="0"/>
                  <w:vAlign w:val="center"/>
                </w:tcPr>
                <w:p w14:paraId="187CD83D">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785" w:type="pct"/>
                  <w:noWrap w:val="0"/>
                  <w:vAlign w:val="center"/>
                </w:tcPr>
                <w:p w14:paraId="786E155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13m×15m</w:t>
                  </w:r>
                </w:p>
              </w:tc>
              <w:tc>
                <w:tcPr>
                  <w:tcW w:w="535" w:type="pct"/>
                  <w:noWrap w:val="0"/>
                  <w:vAlign w:val="center"/>
                </w:tcPr>
                <w:p w14:paraId="3986B36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70-85</w:t>
                  </w:r>
                </w:p>
              </w:tc>
              <w:tc>
                <w:tcPr>
                  <w:tcW w:w="1082" w:type="pct"/>
                  <w:vMerge w:val="continue"/>
                  <w:tcBorders>
                    <w:right w:val="single" w:color="auto" w:sz="4" w:space="0"/>
                  </w:tcBorders>
                  <w:noWrap w:val="0"/>
                  <w:vAlign w:val="center"/>
                </w:tcPr>
                <w:p w14:paraId="7CD04CE6">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r>
            <w:tr w14:paraId="6653912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exact"/>
                <w:jc w:val="center"/>
              </w:trPr>
              <w:tc>
                <w:tcPr>
                  <w:tcW w:w="203" w:type="pct"/>
                  <w:vMerge w:val="continue"/>
                  <w:tcBorders>
                    <w:left w:val="single" w:color="auto" w:sz="4" w:space="0"/>
                  </w:tcBorders>
                  <w:noWrap w:val="0"/>
                  <w:vAlign w:val="center"/>
                </w:tcPr>
                <w:p w14:paraId="3C1E49A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5" w:type="pct"/>
                  <w:vMerge w:val="continue"/>
                  <w:noWrap w:val="0"/>
                  <w:vAlign w:val="center"/>
                </w:tcPr>
                <w:p w14:paraId="24C6B16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303" w:type="pct"/>
                  <w:vMerge w:val="restart"/>
                  <w:noWrap w:val="0"/>
                  <w:tcMar>
                    <w:left w:w="0" w:type="dxa"/>
                    <w:right w:w="0" w:type="dxa"/>
                  </w:tcMar>
                  <w:vAlign w:val="center"/>
                </w:tcPr>
                <w:p w14:paraId="25288C3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中间</w:t>
                  </w:r>
                </w:p>
                <w:p w14:paraId="388E115F">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原料</w:t>
                  </w:r>
                </w:p>
              </w:tc>
              <w:tc>
                <w:tcPr>
                  <w:tcW w:w="691" w:type="pct"/>
                  <w:vMerge w:val="restart"/>
                  <w:noWrap w:val="0"/>
                  <w:tcMar>
                    <w:left w:w="0" w:type="dxa"/>
                    <w:right w:w="0" w:type="dxa"/>
                  </w:tcMar>
                  <w:vAlign w:val="center"/>
                </w:tcPr>
                <w:p w14:paraId="25AC8E26">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全精炼石蜡</w:t>
                  </w:r>
                </w:p>
              </w:tc>
              <w:tc>
                <w:tcPr>
                  <w:tcW w:w="535" w:type="pct"/>
                  <w:noWrap w:val="0"/>
                  <w:vAlign w:val="center"/>
                </w:tcPr>
                <w:p w14:paraId="3118922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2650</w:t>
                  </w:r>
                </w:p>
              </w:tc>
              <w:tc>
                <w:tcPr>
                  <w:tcW w:w="405" w:type="pct"/>
                  <w:noWrap w:val="0"/>
                  <w:vAlign w:val="center"/>
                </w:tcPr>
                <w:p w14:paraId="60A2CB69">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val="en-US" w:eastAsia="zh-CN"/>
                    </w:rPr>
                    <w:t>2</w:t>
                  </w:r>
                </w:p>
              </w:tc>
              <w:tc>
                <w:tcPr>
                  <w:tcW w:w="785" w:type="pct"/>
                  <w:noWrap w:val="0"/>
                  <w:vAlign w:val="center"/>
                </w:tcPr>
                <w:p w14:paraId="1E721B6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15m×15m</w:t>
                  </w:r>
                </w:p>
              </w:tc>
              <w:tc>
                <w:tcPr>
                  <w:tcW w:w="535" w:type="pct"/>
                  <w:noWrap w:val="0"/>
                  <w:vAlign w:val="center"/>
                </w:tcPr>
                <w:p w14:paraId="2190246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70-85</w:t>
                  </w:r>
                </w:p>
              </w:tc>
              <w:tc>
                <w:tcPr>
                  <w:tcW w:w="1082" w:type="pct"/>
                  <w:vMerge w:val="continue"/>
                  <w:tcBorders>
                    <w:right w:val="single" w:color="auto" w:sz="4" w:space="0"/>
                  </w:tcBorders>
                  <w:noWrap w:val="0"/>
                  <w:vAlign w:val="center"/>
                </w:tcPr>
                <w:p w14:paraId="015ABA19">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r>
            <w:tr w14:paraId="670C5B6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exact"/>
                <w:jc w:val="center"/>
              </w:trPr>
              <w:tc>
                <w:tcPr>
                  <w:tcW w:w="203" w:type="pct"/>
                  <w:vMerge w:val="continue"/>
                  <w:tcBorders>
                    <w:left w:val="single" w:color="auto" w:sz="4" w:space="0"/>
                  </w:tcBorders>
                  <w:noWrap w:val="0"/>
                  <w:vAlign w:val="center"/>
                </w:tcPr>
                <w:p w14:paraId="340C2E0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5" w:type="pct"/>
                  <w:vMerge w:val="continue"/>
                  <w:noWrap w:val="0"/>
                  <w:vAlign w:val="center"/>
                </w:tcPr>
                <w:p w14:paraId="476A01F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303" w:type="pct"/>
                  <w:vMerge w:val="continue"/>
                  <w:noWrap w:val="0"/>
                  <w:tcMar>
                    <w:left w:w="0" w:type="dxa"/>
                    <w:right w:w="0" w:type="dxa"/>
                  </w:tcMar>
                  <w:vAlign w:val="center"/>
                </w:tcPr>
                <w:p w14:paraId="4FE71D0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691" w:type="pct"/>
                  <w:vMerge w:val="continue"/>
                  <w:noWrap w:val="0"/>
                  <w:tcMar>
                    <w:left w:w="0" w:type="dxa"/>
                    <w:right w:w="0" w:type="dxa"/>
                  </w:tcMar>
                  <w:vAlign w:val="center"/>
                </w:tcPr>
                <w:p w14:paraId="7824B5C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535" w:type="pct"/>
                  <w:noWrap w:val="0"/>
                  <w:vAlign w:val="center"/>
                </w:tcPr>
                <w:p w14:paraId="1D7F7B2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2000</w:t>
                  </w:r>
                </w:p>
              </w:tc>
              <w:tc>
                <w:tcPr>
                  <w:tcW w:w="405" w:type="pct"/>
                  <w:noWrap w:val="0"/>
                  <w:vAlign w:val="center"/>
                </w:tcPr>
                <w:p w14:paraId="284323E2">
                  <w:pPr>
                    <w:keepNext w:val="0"/>
                    <w:keepLines w:val="0"/>
                    <w:suppressLineNumbers w:val="0"/>
                    <w:adjustRightInd w:val="0"/>
                    <w:snapToGrid w:val="0"/>
                    <w:spacing w:before="0" w:beforeAutospacing="0" w:after="0" w:afterAutospacing="0" w:line="240" w:lineRule="exact"/>
                    <w:ind w:left="0" w:right="0"/>
                    <w:jc w:val="center"/>
                    <w:rPr>
                      <w:rFonts w:hint="eastAsia" w:ascii="Times New Roman" w:hAnsi="Times New Roman" w:eastAsia="宋体" w:cs="Times New Roman"/>
                      <w:color w:val="auto"/>
                      <w:szCs w:val="21"/>
                      <w:highlight w:val="none"/>
                      <w:lang w:eastAsia="zh-CN"/>
                    </w:rPr>
                  </w:pPr>
                  <w:r>
                    <w:rPr>
                      <w:rFonts w:hint="eastAsia" w:ascii="Times New Roman" w:hAnsi="Times New Roman" w:cs="Times New Roman"/>
                      <w:color w:val="auto"/>
                      <w:szCs w:val="21"/>
                      <w:highlight w:val="none"/>
                      <w:lang w:val="en-US" w:eastAsia="zh-CN"/>
                    </w:rPr>
                    <w:t>2</w:t>
                  </w:r>
                </w:p>
              </w:tc>
              <w:tc>
                <w:tcPr>
                  <w:tcW w:w="785" w:type="pct"/>
                  <w:noWrap w:val="0"/>
                  <w:vAlign w:val="center"/>
                </w:tcPr>
                <w:p w14:paraId="2A87177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13m×15m</w:t>
                  </w:r>
                </w:p>
              </w:tc>
              <w:tc>
                <w:tcPr>
                  <w:tcW w:w="535" w:type="pct"/>
                  <w:noWrap w:val="0"/>
                  <w:vAlign w:val="center"/>
                </w:tcPr>
                <w:p w14:paraId="26F0FDD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70-85</w:t>
                  </w:r>
                </w:p>
              </w:tc>
              <w:tc>
                <w:tcPr>
                  <w:tcW w:w="1082" w:type="pct"/>
                  <w:vMerge w:val="continue"/>
                  <w:tcBorders>
                    <w:right w:val="single" w:color="auto" w:sz="4" w:space="0"/>
                  </w:tcBorders>
                  <w:noWrap w:val="0"/>
                  <w:vAlign w:val="center"/>
                </w:tcPr>
                <w:p w14:paraId="3333E66E">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r>
            <w:tr w14:paraId="4CCEEFB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exact"/>
                <w:jc w:val="center"/>
              </w:trPr>
              <w:tc>
                <w:tcPr>
                  <w:tcW w:w="203" w:type="pct"/>
                  <w:vMerge w:val="continue"/>
                  <w:tcBorders>
                    <w:left w:val="single" w:color="auto" w:sz="4" w:space="0"/>
                  </w:tcBorders>
                  <w:noWrap w:val="0"/>
                  <w:vAlign w:val="center"/>
                </w:tcPr>
                <w:p w14:paraId="11B15F8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455" w:type="pct"/>
                  <w:vMerge w:val="continue"/>
                  <w:noWrap w:val="0"/>
                  <w:vAlign w:val="center"/>
                </w:tcPr>
                <w:p w14:paraId="29FD1293">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c>
                <w:tcPr>
                  <w:tcW w:w="303" w:type="pct"/>
                  <w:noWrap w:val="0"/>
                  <w:tcMar>
                    <w:left w:w="0" w:type="dxa"/>
                    <w:right w:w="0" w:type="dxa"/>
                  </w:tcMar>
                  <w:vAlign w:val="center"/>
                </w:tcPr>
                <w:p w14:paraId="5C7A8BB8">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产品</w:t>
                  </w:r>
                </w:p>
              </w:tc>
              <w:tc>
                <w:tcPr>
                  <w:tcW w:w="691" w:type="pct"/>
                  <w:noWrap w:val="0"/>
                  <w:tcMar>
                    <w:left w:w="0" w:type="dxa"/>
                    <w:right w:w="0" w:type="dxa"/>
                  </w:tcMar>
                  <w:vAlign w:val="center"/>
                </w:tcPr>
                <w:p w14:paraId="1A32D567">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乳化蜡</w:t>
                  </w:r>
                </w:p>
              </w:tc>
              <w:tc>
                <w:tcPr>
                  <w:tcW w:w="535" w:type="pct"/>
                  <w:noWrap w:val="0"/>
                  <w:vAlign w:val="center"/>
                </w:tcPr>
                <w:p w14:paraId="705C215B">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2650</w:t>
                  </w:r>
                </w:p>
              </w:tc>
              <w:tc>
                <w:tcPr>
                  <w:tcW w:w="405" w:type="pct"/>
                  <w:noWrap w:val="0"/>
                  <w:vAlign w:val="center"/>
                </w:tcPr>
                <w:p w14:paraId="4541F99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785" w:type="pct"/>
                  <w:noWrap w:val="0"/>
                  <w:vAlign w:val="center"/>
                </w:tcPr>
                <w:p w14:paraId="7E01DC21">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15m×15m</w:t>
                  </w:r>
                </w:p>
              </w:tc>
              <w:tc>
                <w:tcPr>
                  <w:tcW w:w="535" w:type="pct"/>
                  <w:noWrap w:val="0"/>
                  <w:vAlign w:val="center"/>
                </w:tcPr>
                <w:p w14:paraId="6D8A6485">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w:t>
                  </w:r>
                </w:p>
              </w:tc>
              <w:tc>
                <w:tcPr>
                  <w:tcW w:w="1082" w:type="pct"/>
                  <w:vMerge w:val="continue"/>
                  <w:tcBorders>
                    <w:right w:val="single" w:color="auto" w:sz="4" w:space="0"/>
                  </w:tcBorders>
                  <w:noWrap w:val="0"/>
                  <w:vAlign w:val="center"/>
                </w:tcPr>
                <w:p w14:paraId="33D83A6A">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p>
              </w:tc>
            </w:tr>
            <w:tr w14:paraId="645C4C1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2" w:hRule="exact"/>
                <w:jc w:val="center"/>
              </w:trPr>
              <w:tc>
                <w:tcPr>
                  <w:tcW w:w="203" w:type="pct"/>
                  <w:tcBorders>
                    <w:left w:val="single" w:color="auto" w:sz="4" w:space="0"/>
                    <w:bottom w:val="single" w:color="auto" w:sz="4" w:space="0"/>
                  </w:tcBorders>
                  <w:noWrap w:val="0"/>
                  <w:vAlign w:val="center"/>
                </w:tcPr>
                <w:p w14:paraId="02836195">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451" w:type="pct"/>
                  <w:gridSpan w:val="3"/>
                  <w:tcBorders>
                    <w:bottom w:val="single" w:color="auto" w:sz="4" w:space="0"/>
                  </w:tcBorders>
                  <w:noWrap w:val="0"/>
                  <w:vAlign w:val="center"/>
                </w:tcPr>
                <w:p w14:paraId="361C51F5">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液化天然气</w:t>
                  </w:r>
                </w:p>
              </w:tc>
              <w:tc>
                <w:tcPr>
                  <w:tcW w:w="535" w:type="pct"/>
                  <w:tcBorders>
                    <w:bottom w:val="single" w:color="auto" w:sz="4" w:space="0"/>
                  </w:tcBorders>
                  <w:noWrap w:val="0"/>
                  <w:vAlign w:val="center"/>
                </w:tcPr>
                <w:p w14:paraId="6B66D25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w:t>
                  </w:r>
                </w:p>
              </w:tc>
              <w:tc>
                <w:tcPr>
                  <w:tcW w:w="405" w:type="pct"/>
                  <w:tcBorders>
                    <w:bottom w:val="single" w:color="auto" w:sz="4" w:space="0"/>
                  </w:tcBorders>
                  <w:noWrap w:val="0"/>
                  <w:vAlign w:val="center"/>
                </w:tcPr>
                <w:p w14:paraId="45FDF82C">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785" w:type="pct"/>
                  <w:tcBorders>
                    <w:bottom w:val="single" w:color="auto" w:sz="4" w:space="0"/>
                  </w:tcBorders>
                  <w:noWrap w:val="0"/>
                  <w:vAlign w:val="center"/>
                </w:tcPr>
                <w:p w14:paraId="03D131D4">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2.56m×12m</w:t>
                  </w:r>
                </w:p>
              </w:tc>
              <w:tc>
                <w:tcPr>
                  <w:tcW w:w="535" w:type="pct"/>
                  <w:tcBorders>
                    <w:bottom w:val="single" w:color="auto" w:sz="4" w:space="0"/>
                  </w:tcBorders>
                  <w:noWrap w:val="0"/>
                  <w:vAlign w:val="center"/>
                </w:tcPr>
                <w:p w14:paraId="405314D0">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常温</w:t>
                  </w:r>
                </w:p>
              </w:tc>
              <w:tc>
                <w:tcPr>
                  <w:tcW w:w="1082" w:type="pct"/>
                  <w:tcBorders>
                    <w:bottom w:val="single" w:color="auto" w:sz="4" w:space="0"/>
                    <w:right w:val="single" w:color="auto" w:sz="4" w:space="0"/>
                  </w:tcBorders>
                  <w:noWrap w:val="0"/>
                  <w:vAlign w:val="center"/>
                </w:tcPr>
                <w:p w14:paraId="05645D22">
                  <w:pPr>
                    <w:keepNext w:val="0"/>
                    <w:keepLines w:val="0"/>
                    <w:suppressLineNumbers w:val="0"/>
                    <w:adjustRightInd w:val="0"/>
                    <w:snapToGrid w:val="0"/>
                    <w:spacing w:before="0" w:beforeAutospacing="0" w:after="0" w:afterAutospacing="0" w:line="24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卧式</w:t>
                  </w:r>
                </w:p>
              </w:tc>
            </w:tr>
          </w:tbl>
          <w:p w14:paraId="6E34F9D8">
            <w:pPr>
              <w:pStyle w:val="1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82" w:firstLineChars="200"/>
              <w:textAlignment w:val="auto"/>
              <w:rPr>
                <w:b/>
                <w:bCs/>
                <w:color w:val="auto"/>
                <w:szCs w:val="24"/>
                <w:highlight w:val="none"/>
              </w:rPr>
            </w:pPr>
            <w:r>
              <w:rPr>
                <w:rFonts w:hint="eastAsia"/>
                <w:b/>
                <w:bCs/>
                <w:color w:val="auto"/>
                <w:szCs w:val="24"/>
                <w:highlight w:val="none"/>
              </w:rPr>
              <w:t>3、原有工程工艺流程</w:t>
            </w:r>
          </w:p>
          <w:p w14:paraId="44255995">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bCs/>
                <w:color w:val="auto"/>
                <w:sz w:val="24"/>
                <w:highlight w:val="none"/>
                <w:lang w:eastAsia="zh-CN"/>
              </w:rPr>
            </w:pPr>
            <w:bookmarkStart w:id="1" w:name="_Toc346796975"/>
            <w:r>
              <w:rPr>
                <w:rFonts w:hint="eastAsia" w:ascii="Times New Roman" w:hAnsi="Times New Roman" w:cs="Times New Roman"/>
                <w:bCs/>
                <w:color w:val="auto"/>
                <w:sz w:val="24"/>
                <w:highlight w:val="none"/>
                <w:lang w:eastAsia="zh-CN"/>
              </w:rPr>
              <w:t>（</w:t>
            </w:r>
            <w:r>
              <w:rPr>
                <w:rFonts w:hint="eastAsia" w:cs="Times New Roman"/>
                <w:bCs/>
                <w:color w:val="auto"/>
                <w:sz w:val="24"/>
                <w:highlight w:val="none"/>
                <w:lang w:val="en-US" w:eastAsia="zh-CN"/>
              </w:rPr>
              <w:t>1</w:t>
            </w:r>
            <w:r>
              <w:rPr>
                <w:rFonts w:hint="eastAsia" w:ascii="Times New Roman" w:hAnsi="Times New Roman" w:cs="Times New Roman"/>
                <w:bCs/>
                <w:color w:val="auto"/>
                <w:sz w:val="24"/>
                <w:highlight w:val="none"/>
                <w:lang w:eastAsia="zh-CN"/>
              </w:rPr>
              <w:t>）橡胶防护蜡</w:t>
            </w:r>
            <w:bookmarkEnd w:id="1"/>
          </w:p>
          <w:p w14:paraId="6C3C2BF4">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bCs/>
                <w:color w:val="auto"/>
                <w:sz w:val="24"/>
                <w:highlight w:val="none"/>
                <w:lang w:eastAsia="zh-CN"/>
              </w:rPr>
            </w:pPr>
            <w:r>
              <w:rPr>
                <w:rFonts w:hint="eastAsia" w:ascii="Times New Roman" w:hAnsi="Times New Roman" w:cs="Times New Roman"/>
                <w:bCs/>
                <w:color w:val="auto"/>
                <w:sz w:val="24"/>
                <w:highlight w:val="none"/>
                <w:lang w:eastAsia="zh-CN"/>
              </w:rPr>
              <w:t>橡胶防护蜡生产使用的原料为全精炼石蜡和微晶蜡。</w:t>
            </w:r>
          </w:p>
          <w:p w14:paraId="57DCE3E8">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bCs/>
                <w:color w:val="auto"/>
                <w:sz w:val="24"/>
                <w:highlight w:val="none"/>
                <w:lang w:eastAsia="zh-CN"/>
              </w:rPr>
            </w:pPr>
            <w:r>
              <w:rPr>
                <w:rFonts w:hint="eastAsia" w:ascii="Times New Roman" w:hAnsi="Times New Roman" w:cs="Times New Roman"/>
                <w:bCs/>
                <w:color w:val="auto"/>
                <w:sz w:val="24"/>
                <w:highlight w:val="none"/>
                <w:lang w:eastAsia="zh-CN"/>
              </w:rPr>
              <w:t>在罐区调和好的56-66#全精炼石蜡，通过齿轮泵由罐区输送至石蜡调和罐，同时将一定比例的70-85#微晶蜡经计量后通过加料口，人工加入调和罐。调和罐配有搅拌器，将全精炼石蜡、微晶蜡搅拌均匀并加热至85-90℃（采用导热油间接加热）。调和好的全精炼石蜡及微晶蜡，经过滤器过滤其中的杂质后，用输送泵泵入造粒成型机头，经机头物料分布器产生蜡滴，落在以一定速度前进的钢带上，在前移的过程中逐渐被钢带下的冷冻水冷却固化，钢带表面用风机鼓风，加速蜡粒固化。固化后的蜡粒移至机尾，被刮板刮下，落入集粒槽，再经输送带送往包装机。包装好的橡胶防护蜡蜡粒由叉车送往成品库房。</w:t>
            </w:r>
          </w:p>
          <w:p w14:paraId="014E824B">
            <w:pPr>
              <w:pStyle w:val="8"/>
              <w:keepNext w:val="0"/>
              <w:keepLines w:val="0"/>
              <w:suppressLineNumbers w:val="0"/>
              <w:adjustRightInd w:val="0"/>
              <w:snapToGrid w:val="0"/>
              <w:spacing w:before="156" w:beforeLines="50" w:beforeAutospacing="0" w:after="0" w:afterAutospacing="0" w:line="300" w:lineRule="auto"/>
              <w:ind w:left="0" w:right="0" w:firstLine="0" w:firstLineChars="0"/>
              <w:rPr>
                <w:rFonts w:hint="eastAsia" w:ascii="宋体" w:hAnsi="宋体" w:eastAsia="宋体"/>
                <w:bCs/>
                <w:color w:val="auto"/>
                <w:sz w:val="24"/>
                <w:highlight w:val="none"/>
                <w:lang w:eastAsia="zh-CN"/>
              </w:rPr>
            </w:pPr>
            <w:r>
              <w:rPr>
                <w:rFonts w:hint="eastAsia" w:ascii="宋体" w:hAnsi="宋体" w:eastAsia="宋体"/>
                <w:bCs/>
                <w:color w:val="auto"/>
                <w:sz w:val="24"/>
                <w:highlight w:val="none"/>
                <w:lang w:eastAsia="zh-CN"/>
              </w:rPr>
              <w:drawing>
                <wp:inline distT="0" distB="0" distL="114300" distR="114300">
                  <wp:extent cx="4923790" cy="1294765"/>
                  <wp:effectExtent l="0" t="0" r="10160" b="635"/>
                  <wp:docPr id="34" name="图片 3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
                          <pic:cNvPicPr>
                            <a:picLocks noChangeAspect="1"/>
                          </pic:cNvPicPr>
                        </pic:nvPicPr>
                        <pic:blipFill>
                          <a:blip r:embed="rId15"/>
                          <a:stretch>
                            <a:fillRect/>
                          </a:stretch>
                        </pic:blipFill>
                        <pic:spPr>
                          <a:xfrm>
                            <a:off x="0" y="0"/>
                            <a:ext cx="4923790" cy="1294765"/>
                          </a:xfrm>
                          <a:prstGeom prst="rect">
                            <a:avLst/>
                          </a:prstGeom>
                        </pic:spPr>
                      </pic:pic>
                    </a:graphicData>
                  </a:graphic>
                </wp:inline>
              </w:drawing>
            </w:r>
          </w:p>
          <w:p w14:paraId="51FCFDF6">
            <w:pPr>
              <w:pStyle w:val="8"/>
              <w:keepNext w:val="0"/>
              <w:keepLines w:val="0"/>
              <w:suppressLineNumbers w:val="0"/>
              <w:adjustRightInd w:val="0"/>
              <w:snapToGrid w:val="0"/>
              <w:spacing w:before="156" w:beforeLines="50" w:beforeAutospacing="0" w:after="0" w:afterAutospacing="0" w:line="300" w:lineRule="auto"/>
              <w:ind w:left="0" w:right="0" w:firstLine="0" w:firstLineChars="0"/>
              <w:jc w:val="center"/>
              <w:rPr>
                <w:rFonts w:hint="eastAsia" w:ascii="宋体" w:hAnsi="宋体"/>
                <w:bCs/>
                <w:color w:val="auto"/>
                <w:sz w:val="24"/>
                <w:highlight w:val="none"/>
              </w:rPr>
            </w:pPr>
            <w:r>
              <w:rPr>
                <w:rFonts w:hint="eastAsia" w:ascii="Times New Roman" w:hAnsi="Times New Roman" w:cs="Times New Roman"/>
                <w:b/>
                <w:bCs/>
                <w:color w:val="auto"/>
                <w:sz w:val="24"/>
                <w:highlight w:val="none"/>
              </w:rPr>
              <w:t>图</w:t>
            </w:r>
            <w:r>
              <w:rPr>
                <w:rFonts w:hint="eastAsia" w:cs="Times New Roman"/>
                <w:b/>
                <w:bCs/>
                <w:color w:val="auto"/>
                <w:sz w:val="24"/>
                <w:highlight w:val="none"/>
                <w:lang w:val="en-US" w:eastAsia="zh-CN"/>
              </w:rPr>
              <w:t xml:space="preserve">11 </w:t>
            </w:r>
            <w:r>
              <w:rPr>
                <w:rFonts w:hint="eastAsia" w:ascii="Times New Roman" w:hAnsi="Times New Roman" w:cs="Times New Roman"/>
                <w:b/>
                <w:bCs/>
                <w:color w:val="auto"/>
                <w:sz w:val="24"/>
                <w:highlight w:val="none"/>
              </w:rPr>
              <w:t xml:space="preserve"> 橡胶防护蜡产品生产工艺流程示意图</w:t>
            </w:r>
          </w:p>
          <w:p w14:paraId="73B0B3BA">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bCs/>
                <w:color w:val="auto"/>
                <w:sz w:val="24"/>
                <w:highlight w:val="none"/>
                <w:lang w:eastAsia="zh-CN"/>
              </w:rPr>
            </w:pPr>
            <w:bookmarkStart w:id="2" w:name="_Toc346796976"/>
            <w:r>
              <w:rPr>
                <w:rFonts w:hint="eastAsia" w:ascii="Times New Roman" w:hAnsi="Times New Roman" w:cs="Times New Roman"/>
                <w:bCs/>
                <w:color w:val="auto"/>
                <w:sz w:val="24"/>
                <w:highlight w:val="none"/>
                <w:lang w:eastAsia="zh-CN"/>
              </w:rPr>
              <w:t>（</w:t>
            </w:r>
            <w:r>
              <w:rPr>
                <w:rFonts w:hint="eastAsia" w:cs="Times New Roman"/>
                <w:bCs/>
                <w:color w:val="auto"/>
                <w:sz w:val="24"/>
                <w:highlight w:val="none"/>
                <w:lang w:val="en-US" w:eastAsia="zh-CN"/>
              </w:rPr>
              <w:t>2</w:t>
            </w:r>
            <w:r>
              <w:rPr>
                <w:rFonts w:hint="eastAsia" w:ascii="Times New Roman" w:hAnsi="Times New Roman" w:cs="Times New Roman"/>
                <w:bCs/>
                <w:color w:val="auto"/>
                <w:sz w:val="24"/>
                <w:highlight w:val="none"/>
                <w:lang w:eastAsia="zh-CN"/>
              </w:rPr>
              <w:t>）包装蜡</w:t>
            </w:r>
            <w:bookmarkEnd w:id="2"/>
          </w:p>
          <w:p w14:paraId="30FA1487">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bCs/>
                <w:color w:val="auto"/>
                <w:sz w:val="24"/>
                <w:highlight w:val="none"/>
                <w:lang w:eastAsia="zh-CN"/>
              </w:rPr>
            </w:pPr>
            <w:r>
              <w:rPr>
                <w:rFonts w:hint="eastAsia" w:ascii="Times New Roman" w:hAnsi="Times New Roman" w:cs="Times New Roman"/>
                <w:bCs/>
                <w:color w:val="auto"/>
                <w:sz w:val="24"/>
                <w:highlight w:val="none"/>
                <w:lang w:eastAsia="zh-CN"/>
              </w:rPr>
              <w:t>包装蜡生产使用的原料为全精炼石蜡、EVA蜡和抗氧剂。</w:t>
            </w:r>
          </w:p>
          <w:p w14:paraId="061E2CCA">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cs="Times New Roman"/>
                <w:bCs/>
                <w:color w:val="auto"/>
                <w:sz w:val="24"/>
                <w:highlight w:val="none"/>
                <w:lang w:eastAsia="zh-CN"/>
              </w:rPr>
            </w:pPr>
            <w:r>
              <w:rPr>
                <w:rFonts w:hint="eastAsia" w:ascii="Times New Roman" w:hAnsi="Times New Roman" w:cs="Times New Roman"/>
                <w:bCs/>
                <w:color w:val="auto"/>
                <w:sz w:val="24"/>
                <w:highlight w:val="none"/>
                <w:lang w:eastAsia="zh-CN"/>
              </w:rPr>
              <w:t>在罐区调和好的56-66#全精炼石蜡，通过齿轮泵由罐区输送至石蜡调和罐，同时将一定比例的EVA蜡、抗氧剂经计量后通过加料口，人工加入调和罐。调和罐配有搅拌器，将全精炼石蜡、EVA蜡、抗氧剂搅拌均匀并加热至85-90℃（采用导热油间接加热）。调和好的全精炼石蜡、EVA蜡及抗氧剂先经预冷器用循环水预冷，然后经过滤器过滤杂质后进入成型机。在成型机中，先由定量注油器按每盘5kg的重量注入到蜡盘中；蜡盘随传动链条进入冷室，经往返平移十四层后冷却到30℃以下后出冷室；冷室采用冷冻机组提供的冷冻水制冷；最后经脱膜机构将蜡板脱出，进入自动包装码垛系统，包装后进入成品库。</w:t>
            </w:r>
          </w:p>
          <w:p w14:paraId="6A2E5C05">
            <w:pPr>
              <w:pStyle w:val="8"/>
              <w:keepNext w:val="0"/>
              <w:keepLines w:val="0"/>
              <w:suppressLineNumbers w:val="0"/>
              <w:adjustRightInd w:val="0"/>
              <w:snapToGrid w:val="0"/>
              <w:spacing w:before="156" w:beforeLines="50" w:beforeAutospacing="0" w:after="0" w:afterAutospacing="0" w:line="300" w:lineRule="auto"/>
              <w:ind w:left="0" w:right="0" w:firstLine="0" w:firstLineChars="0"/>
              <w:jc w:val="center"/>
              <w:rPr>
                <w:rFonts w:hint="eastAsia" w:ascii="宋体" w:hAnsi="宋体" w:eastAsia="宋体"/>
                <w:bCs/>
                <w:color w:val="auto"/>
                <w:sz w:val="24"/>
                <w:highlight w:val="none"/>
                <w:lang w:eastAsia="zh-CN"/>
              </w:rPr>
            </w:pPr>
            <w:r>
              <w:rPr>
                <w:rFonts w:hint="eastAsia" w:ascii="宋体" w:hAnsi="宋体" w:eastAsia="宋体"/>
                <w:bCs/>
                <w:color w:val="auto"/>
                <w:sz w:val="24"/>
                <w:highlight w:val="none"/>
                <w:lang w:eastAsia="zh-CN"/>
              </w:rPr>
              <w:drawing>
                <wp:inline distT="0" distB="0" distL="114300" distR="114300">
                  <wp:extent cx="4991735" cy="1290955"/>
                  <wp:effectExtent l="0" t="0" r="18415" b="4445"/>
                  <wp:docPr id="35" name="图片 3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2"/>
                          <pic:cNvPicPr>
                            <a:picLocks noChangeAspect="1"/>
                          </pic:cNvPicPr>
                        </pic:nvPicPr>
                        <pic:blipFill>
                          <a:blip r:embed="rId16"/>
                          <a:stretch>
                            <a:fillRect/>
                          </a:stretch>
                        </pic:blipFill>
                        <pic:spPr>
                          <a:xfrm>
                            <a:off x="0" y="0"/>
                            <a:ext cx="4991735" cy="1290955"/>
                          </a:xfrm>
                          <a:prstGeom prst="rect">
                            <a:avLst/>
                          </a:prstGeom>
                        </pic:spPr>
                      </pic:pic>
                    </a:graphicData>
                  </a:graphic>
                </wp:inline>
              </w:drawing>
            </w:r>
          </w:p>
          <w:p w14:paraId="64D1EF29">
            <w:pPr>
              <w:pStyle w:val="8"/>
              <w:keepNext w:val="0"/>
              <w:keepLines w:val="0"/>
              <w:suppressLineNumbers w:val="0"/>
              <w:adjustRightInd w:val="0"/>
              <w:snapToGrid w:val="0"/>
              <w:spacing w:before="156" w:beforeLines="50" w:beforeAutospacing="0" w:after="0" w:afterAutospacing="0" w:line="300" w:lineRule="auto"/>
              <w:ind w:left="0" w:right="0" w:firstLine="0" w:firstLineChars="0"/>
              <w:jc w:val="center"/>
              <w:rPr>
                <w:rFonts w:hint="eastAsia"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图</w:t>
            </w:r>
            <w:r>
              <w:rPr>
                <w:rFonts w:hint="eastAsia" w:cs="Times New Roman"/>
                <w:b/>
                <w:bCs/>
                <w:color w:val="auto"/>
                <w:sz w:val="24"/>
                <w:highlight w:val="none"/>
                <w:lang w:val="en-US" w:eastAsia="zh-CN"/>
              </w:rPr>
              <w:t xml:space="preserve">12  </w:t>
            </w:r>
            <w:r>
              <w:rPr>
                <w:rFonts w:hint="eastAsia" w:ascii="Times New Roman" w:hAnsi="Times New Roman" w:cs="Times New Roman"/>
                <w:b/>
                <w:bCs/>
                <w:color w:val="auto"/>
                <w:sz w:val="24"/>
                <w:highlight w:val="none"/>
              </w:rPr>
              <w:t>包装蜡产品生产工艺流程示意图</w:t>
            </w:r>
          </w:p>
          <w:p w14:paraId="727376E3">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cs="Times New Roman"/>
                <w:bCs/>
                <w:color w:val="auto"/>
                <w:sz w:val="24"/>
                <w:highlight w:val="none"/>
                <w:lang w:eastAsia="zh-CN"/>
              </w:rPr>
            </w:pPr>
            <w:bookmarkStart w:id="3" w:name="_Toc346796978"/>
            <w:r>
              <w:rPr>
                <w:rFonts w:hint="eastAsia" w:ascii="Times New Roman" w:hAnsi="Times New Roman" w:cs="Times New Roman"/>
                <w:bCs/>
                <w:color w:val="auto"/>
                <w:sz w:val="24"/>
                <w:highlight w:val="none"/>
                <w:lang w:eastAsia="zh-CN"/>
              </w:rPr>
              <w:t>（</w:t>
            </w:r>
            <w:r>
              <w:rPr>
                <w:rFonts w:hint="eastAsia" w:cs="Times New Roman"/>
                <w:bCs/>
                <w:color w:val="auto"/>
                <w:sz w:val="24"/>
                <w:highlight w:val="none"/>
                <w:lang w:val="en-US" w:eastAsia="zh-CN"/>
              </w:rPr>
              <w:t>3</w:t>
            </w:r>
            <w:r>
              <w:rPr>
                <w:rFonts w:hint="eastAsia" w:ascii="Times New Roman" w:hAnsi="Times New Roman" w:cs="Times New Roman"/>
                <w:bCs/>
                <w:color w:val="auto"/>
                <w:sz w:val="24"/>
                <w:highlight w:val="none"/>
                <w:lang w:eastAsia="zh-CN"/>
              </w:rPr>
              <w:t>）凡士林</w:t>
            </w:r>
            <w:bookmarkEnd w:id="3"/>
          </w:p>
          <w:p w14:paraId="3125C79D">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cs="Times New Roman"/>
                <w:bCs/>
                <w:color w:val="auto"/>
                <w:sz w:val="24"/>
                <w:highlight w:val="none"/>
              </w:rPr>
            </w:pPr>
            <w:r>
              <w:rPr>
                <w:rFonts w:hint="eastAsia" w:ascii="Times New Roman" w:hAnsi="Times New Roman" w:cs="Times New Roman"/>
                <w:bCs/>
                <w:color w:val="auto"/>
                <w:sz w:val="24"/>
                <w:highlight w:val="none"/>
              </w:rPr>
              <w:t>凡士林生产使用的原料为全精炼石蜡、特种油和香精。</w:t>
            </w:r>
          </w:p>
          <w:p w14:paraId="7F393ADB">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bCs/>
                <w:color w:val="auto"/>
                <w:sz w:val="24"/>
                <w:highlight w:val="none"/>
              </w:rPr>
            </w:pPr>
            <w:r>
              <w:rPr>
                <w:rFonts w:hint="eastAsia" w:ascii="Times New Roman" w:hAnsi="Times New Roman" w:cs="Times New Roman"/>
                <w:bCs/>
                <w:color w:val="auto"/>
                <w:sz w:val="24"/>
                <w:highlight w:val="none"/>
              </w:rPr>
              <w:t>在罐区调和好的56-66#全精炼石蜡，通过齿轮泵由罐区输送至石蜡调和罐；将罐区的特种油通过齿轮泵由罐区输送至石蜡调和罐；同时将一定比例香精经计量后通过加料口，人工加入调和罐。调和罐配有搅拌器，将全精炼石蜡、特种油、香精搅拌均匀并加热至85-90℃（采用导热油间接加热）。调和好的全精炼石蜡、特种油、香精先经预冷器用循环水预冷，然后经过滤器过滤其中杂质后，进入自动灌装机灌入小桶或纸盒内，自然冷却后，包装入库。</w:t>
            </w:r>
          </w:p>
          <w:p w14:paraId="3675B140">
            <w:pPr>
              <w:pStyle w:val="8"/>
              <w:keepNext w:val="0"/>
              <w:keepLines w:val="0"/>
              <w:suppressLineNumbers w:val="0"/>
              <w:spacing w:before="0" w:beforeAutospacing="0" w:after="0" w:afterAutospacing="0" w:line="300" w:lineRule="auto"/>
              <w:ind w:left="0" w:right="0" w:firstLine="0" w:firstLineChars="0"/>
              <w:rPr>
                <w:rFonts w:hint="eastAsia" w:ascii="宋体" w:hAnsi="宋体" w:eastAsia="宋体"/>
                <w:bCs/>
                <w:color w:val="auto"/>
                <w:sz w:val="24"/>
                <w:highlight w:val="none"/>
                <w:lang w:eastAsia="zh-CN"/>
              </w:rPr>
            </w:pPr>
            <w:r>
              <w:rPr>
                <w:rFonts w:hint="eastAsia" w:ascii="宋体" w:hAnsi="宋体" w:eastAsia="宋体"/>
                <w:bCs/>
                <w:color w:val="auto"/>
                <w:sz w:val="24"/>
                <w:highlight w:val="none"/>
                <w:lang w:eastAsia="zh-CN"/>
              </w:rPr>
              <w:drawing>
                <wp:inline distT="0" distB="0" distL="114300" distR="114300">
                  <wp:extent cx="5003800" cy="1309370"/>
                  <wp:effectExtent l="0" t="0" r="6350" b="5080"/>
                  <wp:docPr id="48" name="图片 4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4"/>
                          <pic:cNvPicPr>
                            <a:picLocks noChangeAspect="1"/>
                          </pic:cNvPicPr>
                        </pic:nvPicPr>
                        <pic:blipFill>
                          <a:blip r:embed="rId17"/>
                          <a:stretch>
                            <a:fillRect/>
                          </a:stretch>
                        </pic:blipFill>
                        <pic:spPr>
                          <a:xfrm>
                            <a:off x="0" y="0"/>
                            <a:ext cx="5003800" cy="1309370"/>
                          </a:xfrm>
                          <a:prstGeom prst="rect">
                            <a:avLst/>
                          </a:prstGeom>
                        </pic:spPr>
                      </pic:pic>
                    </a:graphicData>
                  </a:graphic>
                </wp:inline>
              </w:drawing>
            </w:r>
          </w:p>
          <w:p w14:paraId="4ED9D6A7">
            <w:pPr>
              <w:pStyle w:val="8"/>
              <w:keepNext w:val="0"/>
              <w:keepLines w:val="0"/>
              <w:suppressLineNumbers w:val="0"/>
              <w:adjustRightInd w:val="0"/>
              <w:snapToGrid w:val="0"/>
              <w:spacing w:before="156" w:beforeLines="50" w:beforeAutospacing="0" w:after="0" w:afterAutospacing="0" w:line="300" w:lineRule="auto"/>
              <w:ind w:left="0" w:right="0" w:firstLine="0" w:firstLineChars="0"/>
              <w:jc w:val="center"/>
              <w:rPr>
                <w:rFonts w:hint="eastAsia"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图</w:t>
            </w:r>
            <w:r>
              <w:rPr>
                <w:rFonts w:hint="eastAsia" w:cs="Times New Roman"/>
                <w:b/>
                <w:bCs/>
                <w:color w:val="auto"/>
                <w:sz w:val="24"/>
                <w:highlight w:val="none"/>
                <w:lang w:val="en-US" w:eastAsia="zh-CN"/>
              </w:rPr>
              <w:t xml:space="preserve">13  </w:t>
            </w:r>
            <w:r>
              <w:rPr>
                <w:rFonts w:hint="eastAsia" w:ascii="Times New Roman" w:hAnsi="Times New Roman" w:cs="Times New Roman"/>
                <w:b/>
                <w:bCs/>
                <w:color w:val="auto"/>
                <w:sz w:val="24"/>
                <w:highlight w:val="none"/>
              </w:rPr>
              <w:t>凡士林产品生产工艺流程示意图</w:t>
            </w:r>
          </w:p>
          <w:p w14:paraId="0E627350">
            <w:pPr>
              <w:pStyle w:val="10"/>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82" w:firstLineChars="200"/>
              <w:textAlignment w:val="auto"/>
              <w:rPr>
                <w:b/>
                <w:bCs/>
                <w:color w:val="auto"/>
                <w:szCs w:val="24"/>
                <w:highlight w:val="none"/>
              </w:rPr>
            </w:pPr>
            <w:r>
              <w:rPr>
                <w:rFonts w:hint="eastAsia"/>
                <w:b/>
                <w:bCs/>
                <w:color w:val="auto"/>
                <w:szCs w:val="24"/>
                <w:highlight w:val="none"/>
              </w:rPr>
              <w:t>4、原有项目产污分析</w:t>
            </w:r>
          </w:p>
          <w:p w14:paraId="71EE8FA0">
            <w:pPr>
              <w:pStyle w:val="10"/>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80" w:firstLineChars="200"/>
              <w:textAlignment w:val="auto"/>
              <w:rPr>
                <w:color w:val="auto"/>
                <w:szCs w:val="24"/>
                <w:highlight w:val="none"/>
              </w:rPr>
            </w:pPr>
            <w:r>
              <w:rPr>
                <w:rFonts w:hint="eastAsia"/>
                <w:color w:val="auto"/>
                <w:szCs w:val="24"/>
                <w:highlight w:val="none"/>
              </w:rPr>
              <w:t>（1）废气</w:t>
            </w:r>
          </w:p>
          <w:p w14:paraId="3133D070">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eastAsia" w:eastAsia="宋体" w:cs="宋体"/>
                <w:color w:val="auto"/>
                <w:sz w:val="24"/>
                <w:szCs w:val="24"/>
                <w:highlight w:val="none"/>
                <w:lang w:val="en-US" w:eastAsia="zh-CN"/>
              </w:rPr>
            </w:pPr>
            <w:r>
              <w:rPr>
                <w:rFonts w:hint="eastAsia" w:eastAsia="宋体" w:cs="宋体"/>
                <w:color w:val="auto"/>
                <w:sz w:val="24"/>
                <w:szCs w:val="24"/>
                <w:highlight w:val="none"/>
                <w:lang w:val="en-US" w:eastAsia="zh-CN"/>
              </w:rPr>
              <w:t>①有组织</w:t>
            </w:r>
          </w:p>
          <w:p w14:paraId="56C176D3">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default" w:eastAsia="宋体" w:cs="宋体"/>
                <w:color w:val="auto"/>
                <w:sz w:val="24"/>
                <w:szCs w:val="24"/>
                <w:highlight w:val="none"/>
                <w:lang w:val="en-US" w:eastAsia="zh-CN"/>
              </w:rPr>
            </w:pPr>
            <w:r>
              <w:rPr>
                <w:rFonts w:hint="default" w:eastAsia="宋体" w:cs="宋体"/>
                <w:color w:val="auto"/>
                <w:sz w:val="24"/>
                <w:szCs w:val="24"/>
                <w:highlight w:val="none"/>
                <w:lang w:val="en-US" w:eastAsia="zh-CN"/>
              </w:rPr>
              <w:t>有组织废气排放源为导热油加热炉燃料燃烧废气，</w:t>
            </w:r>
            <w:r>
              <w:rPr>
                <w:rFonts w:hint="eastAsia" w:eastAsia="宋体" w:cs="宋体"/>
                <w:color w:val="auto"/>
                <w:sz w:val="24"/>
                <w:szCs w:val="24"/>
                <w:highlight w:val="none"/>
                <w:lang w:val="en-US" w:eastAsia="zh-CN"/>
              </w:rPr>
              <w:t>导热油炉燃料为天然气、介质为白油。导热油炉经低氮燃烧后热烟气通过1根15m高排气筒排放。</w:t>
            </w:r>
          </w:p>
          <w:p w14:paraId="50AB30FD">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default" w:eastAsia="宋体" w:cs="宋体"/>
                <w:color w:val="auto"/>
                <w:sz w:val="24"/>
                <w:szCs w:val="24"/>
                <w:highlight w:val="none"/>
                <w:lang w:val="en-US" w:eastAsia="zh-CN"/>
              </w:rPr>
            </w:pPr>
            <w:r>
              <w:rPr>
                <w:rFonts w:hint="default" w:eastAsia="宋体" w:cs="宋体"/>
                <w:color w:val="auto"/>
                <w:sz w:val="24"/>
                <w:szCs w:val="24"/>
                <w:highlight w:val="none"/>
                <w:lang w:val="en-US" w:eastAsia="zh-CN"/>
              </w:rPr>
              <w:t>根据</w:t>
            </w:r>
            <w:r>
              <w:rPr>
                <w:rFonts w:hint="eastAsia" w:eastAsia="宋体" w:cs="宋体"/>
                <w:color w:val="auto"/>
                <w:sz w:val="24"/>
                <w:szCs w:val="24"/>
                <w:highlight w:val="none"/>
                <w:lang w:val="en-US" w:eastAsia="zh-CN"/>
              </w:rPr>
              <w:t>抚顺市绿谷源环境检测有限公司于</w:t>
            </w:r>
            <w:r>
              <w:rPr>
                <w:rFonts w:hint="default" w:eastAsia="宋体" w:cs="宋体"/>
                <w:color w:val="auto"/>
                <w:sz w:val="24"/>
                <w:szCs w:val="24"/>
                <w:highlight w:val="none"/>
                <w:lang w:val="en-US" w:eastAsia="zh-CN"/>
              </w:rPr>
              <w:t>202</w:t>
            </w:r>
            <w:r>
              <w:rPr>
                <w:rFonts w:hint="eastAsia" w:eastAsia="宋体" w:cs="宋体"/>
                <w:color w:val="auto"/>
                <w:sz w:val="24"/>
                <w:szCs w:val="24"/>
                <w:highlight w:val="none"/>
                <w:lang w:val="en-US" w:eastAsia="zh-CN"/>
              </w:rPr>
              <w:t>6</w:t>
            </w:r>
            <w:r>
              <w:rPr>
                <w:rFonts w:hint="default" w:eastAsia="宋体" w:cs="宋体"/>
                <w:color w:val="auto"/>
                <w:sz w:val="24"/>
                <w:szCs w:val="24"/>
                <w:highlight w:val="none"/>
                <w:lang w:val="en-US" w:eastAsia="zh-CN"/>
              </w:rPr>
              <w:t>年</w:t>
            </w:r>
            <w:r>
              <w:rPr>
                <w:rFonts w:hint="eastAsia" w:eastAsia="宋体" w:cs="宋体"/>
                <w:color w:val="auto"/>
                <w:sz w:val="24"/>
                <w:szCs w:val="24"/>
                <w:highlight w:val="none"/>
                <w:lang w:val="en-US" w:eastAsia="zh-CN"/>
              </w:rPr>
              <w:t>3</w:t>
            </w:r>
            <w:r>
              <w:rPr>
                <w:rFonts w:hint="default" w:eastAsia="宋体" w:cs="宋体"/>
                <w:color w:val="auto"/>
                <w:sz w:val="24"/>
                <w:szCs w:val="24"/>
                <w:highlight w:val="none"/>
                <w:lang w:val="en-US" w:eastAsia="zh-CN"/>
              </w:rPr>
              <w:t>月对汉圣化工（抚顺）有限公司</w:t>
            </w:r>
            <w:r>
              <w:rPr>
                <w:rFonts w:hint="eastAsia" w:eastAsia="宋体" w:cs="宋体"/>
                <w:color w:val="auto"/>
                <w:sz w:val="24"/>
                <w:szCs w:val="24"/>
                <w:highlight w:val="none"/>
                <w:lang w:val="en-US" w:eastAsia="zh-CN"/>
              </w:rPr>
              <w:t>的例行检测报告（检测文件编号：绿谷源（环检）字2026第03-019号）导热油炉排气筒出口：颗粒物7.1-12.0mg/m</w:t>
            </w:r>
            <w:r>
              <w:rPr>
                <w:rFonts w:hint="eastAsia" w:eastAsia="宋体" w:cs="宋体"/>
                <w:color w:val="auto"/>
                <w:sz w:val="24"/>
                <w:szCs w:val="24"/>
                <w:highlight w:val="none"/>
                <w:vertAlign w:val="superscript"/>
                <w:lang w:val="en-US" w:eastAsia="zh-CN"/>
              </w:rPr>
              <w:t>3</w:t>
            </w:r>
            <w:r>
              <w:rPr>
                <w:rFonts w:hint="eastAsia" w:eastAsia="宋体" w:cs="宋体"/>
                <w:color w:val="auto"/>
                <w:sz w:val="24"/>
                <w:szCs w:val="24"/>
                <w:highlight w:val="none"/>
                <w:lang w:val="en-US" w:eastAsia="zh-CN"/>
              </w:rPr>
              <w:t>、SO</w:t>
            </w:r>
            <w:r>
              <w:rPr>
                <w:rFonts w:hint="eastAsia" w:eastAsia="宋体" w:cs="宋体"/>
                <w:color w:val="auto"/>
                <w:sz w:val="24"/>
                <w:szCs w:val="24"/>
                <w:highlight w:val="none"/>
                <w:vertAlign w:val="subscript"/>
                <w:lang w:val="en-US" w:eastAsia="zh-CN"/>
              </w:rPr>
              <w:t>2</w:t>
            </w:r>
            <w:r>
              <w:rPr>
                <w:rFonts w:hint="eastAsia" w:eastAsia="宋体" w:cs="宋体"/>
                <w:color w:val="auto"/>
                <w:sz w:val="24"/>
                <w:szCs w:val="24"/>
                <w:highlight w:val="none"/>
                <w:lang w:val="en-US" w:eastAsia="zh-CN"/>
              </w:rPr>
              <w:t xml:space="preserve"> 3ND（未检出）、NO</w:t>
            </w:r>
            <w:r>
              <w:rPr>
                <w:rFonts w:hint="eastAsia" w:eastAsia="宋体" w:cs="宋体"/>
                <w:color w:val="auto"/>
                <w:sz w:val="24"/>
                <w:szCs w:val="24"/>
                <w:highlight w:val="none"/>
                <w:vertAlign w:val="subscript"/>
                <w:lang w:val="en-US" w:eastAsia="zh-CN"/>
              </w:rPr>
              <w:t>x</w:t>
            </w:r>
            <w:r>
              <w:rPr>
                <w:rFonts w:hint="eastAsia" w:eastAsia="宋体" w:cs="宋体"/>
                <w:color w:val="auto"/>
                <w:sz w:val="24"/>
                <w:szCs w:val="24"/>
                <w:highlight w:val="none"/>
                <w:lang w:val="en-US" w:eastAsia="zh-CN"/>
              </w:rPr>
              <w:t xml:space="preserve"> 43-45 mg/m</w:t>
            </w:r>
            <w:r>
              <w:rPr>
                <w:rFonts w:hint="eastAsia" w:eastAsia="宋体" w:cs="宋体"/>
                <w:color w:val="auto"/>
                <w:sz w:val="24"/>
                <w:szCs w:val="24"/>
                <w:highlight w:val="none"/>
                <w:vertAlign w:val="superscript"/>
                <w:lang w:val="en-US" w:eastAsia="zh-CN"/>
              </w:rPr>
              <w:t>3</w:t>
            </w:r>
            <w:r>
              <w:rPr>
                <w:rFonts w:hint="eastAsia" w:eastAsia="宋体" w:cs="宋体"/>
                <w:color w:val="auto"/>
                <w:sz w:val="24"/>
                <w:szCs w:val="24"/>
                <w:highlight w:val="none"/>
                <w:lang w:val="en-US" w:eastAsia="zh-CN"/>
              </w:rPr>
              <w:t>，符合《锅炉大气污染物排放标准》（GB13271-2014）中表2标准限值。</w:t>
            </w:r>
          </w:p>
          <w:p w14:paraId="74735415">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default" w:eastAsia="宋体" w:cs="宋体"/>
                <w:color w:val="auto"/>
                <w:sz w:val="24"/>
                <w:szCs w:val="24"/>
                <w:highlight w:val="none"/>
                <w:lang w:val="en-US" w:eastAsia="zh-CN"/>
              </w:rPr>
            </w:pPr>
            <w:r>
              <w:rPr>
                <w:rFonts w:hint="eastAsia" w:eastAsia="宋体" w:cs="宋体"/>
                <w:color w:val="auto"/>
                <w:sz w:val="24"/>
                <w:szCs w:val="24"/>
                <w:highlight w:val="none"/>
                <w:lang w:val="en-US" w:eastAsia="zh-CN"/>
              </w:rPr>
              <w:t>②无组织</w:t>
            </w:r>
          </w:p>
          <w:p w14:paraId="254EA85E">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default" w:eastAsia="宋体" w:cs="宋体"/>
                <w:color w:val="auto"/>
                <w:sz w:val="24"/>
                <w:szCs w:val="24"/>
                <w:highlight w:val="none"/>
                <w:lang w:val="en-US" w:eastAsia="zh-CN"/>
              </w:rPr>
            </w:pPr>
            <w:r>
              <w:rPr>
                <w:rFonts w:hint="eastAsia" w:eastAsia="宋体" w:cs="宋体"/>
                <w:color w:val="auto"/>
                <w:sz w:val="24"/>
                <w:szCs w:val="24"/>
                <w:highlight w:val="none"/>
                <w:lang w:val="en-US" w:eastAsia="zh-CN"/>
              </w:rPr>
              <w:t>1）罐区大小呼吸</w:t>
            </w:r>
          </w:p>
          <w:p w14:paraId="0A577A3D">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eastAsia" w:eastAsia="宋体" w:cs="宋体"/>
                <w:color w:val="auto"/>
                <w:sz w:val="24"/>
                <w:szCs w:val="24"/>
                <w:highlight w:val="none"/>
              </w:rPr>
            </w:pPr>
            <w:r>
              <w:rPr>
                <w:rFonts w:hint="eastAsia" w:eastAsia="宋体" w:cs="宋体"/>
                <w:color w:val="auto"/>
                <w:sz w:val="24"/>
                <w:szCs w:val="24"/>
                <w:highlight w:val="none"/>
              </w:rPr>
              <w:t>原有项目在厂区</w:t>
            </w:r>
            <w:r>
              <w:rPr>
                <w:rFonts w:hint="eastAsia" w:eastAsia="宋体" w:cs="宋体"/>
                <w:color w:val="auto"/>
                <w:sz w:val="24"/>
                <w:szCs w:val="24"/>
                <w:highlight w:val="none"/>
                <w:lang w:val="en-US" w:eastAsia="zh-CN"/>
              </w:rPr>
              <w:t>内设A、B两处储罐区，其中A区储存混合石蜡（有效容积340m</w:t>
            </w:r>
            <w:r>
              <w:rPr>
                <w:rFonts w:hint="eastAsia" w:eastAsia="宋体" w:cs="宋体"/>
                <w:color w:val="auto"/>
                <w:sz w:val="24"/>
                <w:szCs w:val="24"/>
                <w:highlight w:val="none"/>
                <w:vertAlign w:val="superscript"/>
                <w:lang w:val="en-US" w:eastAsia="zh-CN"/>
              </w:rPr>
              <w:t>3</w:t>
            </w:r>
            <w:r>
              <w:rPr>
                <w:rFonts w:hint="eastAsia" w:eastAsia="宋体" w:cs="宋体"/>
                <w:color w:val="auto"/>
                <w:sz w:val="24"/>
                <w:szCs w:val="24"/>
                <w:highlight w:val="none"/>
                <w:lang w:val="en-US" w:eastAsia="zh-CN"/>
              </w:rPr>
              <w:t>×3座，有效容积137m</w:t>
            </w:r>
            <w:r>
              <w:rPr>
                <w:rFonts w:hint="eastAsia" w:eastAsia="宋体" w:cs="宋体"/>
                <w:color w:val="auto"/>
                <w:sz w:val="24"/>
                <w:szCs w:val="24"/>
                <w:highlight w:val="none"/>
                <w:vertAlign w:val="superscript"/>
                <w:lang w:val="en-US" w:eastAsia="zh-CN"/>
              </w:rPr>
              <w:t>3</w:t>
            </w:r>
            <w:r>
              <w:rPr>
                <w:rFonts w:hint="eastAsia" w:eastAsia="宋体" w:cs="宋体"/>
                <w:color w:val="auto"/>
                <w:sz w:val="24"/>
                <w:szCs w:val="24"/>
                <w:highlight w:val="none"/>
                <w:lang w:val="en-US" w:eastAsia="zh-CN"/>
              </w:rPr>
              <w:t>×10座）、B区储存原料、中间原料及产品（有效容积2650m</w:t>
            </w:r>
            <w:r>
              <w:rPr>
                <w:rFonts w:hint="eastAsia" w:eastAsia="宋体" w:cs="宋体"/>
                <w:color w:val="auto"/>
                <w:sz w:val="24"/>
                <w:szCs w:val="24"/>
                <w:highlight w:val="none"/>
                <w:vertAlign w:val="superscript"/>
                <w:lang w:val="en-US" w:eastAsia="zh-CN"/>
              </w:rPr>
              <w:t>3</w:t>
            </w:r>
            <w:r>
              <w:rPr>
                <w:rFonts w:hint="eastAsia" w:eastAsia="宋体" w:cs="宋体"/>
                <w:color w:val="auto"/>
                <w:sz w:val="24"/>
                <w:szCs w:val="24"/>
                <w:highlight w:val="none"/>
                <w:lang w:val="en-US" w:eastAsia="zh-CN"/>
              </w:rPr>
              <w:t>×6座，有效容积2000m</w:t>
            </w:r>
            <w:r>
              <w:rPr>
                <w:rFonts w:hint="eastAsia" w:eastAsia="宋体" w:cs="宋体"/>
                <w:color w:val="auto"/>
                <w:sz w:val="24"/>
                <w:szCs w:val="24"/>
                <w:highlight w:val="none"/>
                <w:vertAlign w:val="superscript"/>
                <w:lang w:val="en-US" w:eastAsia="zh-CN"/>
              </w:rPr>
              <w:t>3</w:t>
            </w:r>
            <w:r>
              <w:rPr>
                <w:rFonts w:hint="eastAsia" w:eastAsia="宋体" w:cs="宋体"/>
                <w:color w:val="auto"/>
                <w:sz w:val="24"/>
                <w:szCs w:val="24"/>
                <w:highlight w:val="none"/>
                <w:lang w:val="en-US" w:eastAsia="zh-CN"/>
              </w:rPr>
              <w:t>×5座）</w:t>
            </w:r>
            <w:r>
              <w:rPr>
                <w:rFonts w:hint="eastAsia" w:eastAsia="宋体" w:cs="宋体"/>
                <w:color w:val="auto"/>
                <w:sz w:val="24"/>
                <w:szCs w:val="24"/>
                <w:highlight w:val="none"/>
              </w:rPr>
              <w:t>，储罐区</w:t>
            </w:r>
            <w:r>
              <w:rPr>
                <w:rFonts w:hint="eastAsia" w:eastAsia="宋体" w:cs="宋体"/>
                <w:color w:val="auto"/>
                <w:sz w:val="24"/>
                <w:szCs w:val="24"/>
                <w:highlight w:val="none"/>
                <w:lang w:val="en-US" w:eastAsia="zh-CN"/>
              </w:rPr>
              <w:t>内储罐产生大小呼吸废气，呈无组织排放。</w:t>
            </w:r>
          </w:p>
          <w:p w14:paraId="78899ECA">
            <w:pPr>
              <w:pStyle w:val="21"/>
              <w:keepNext w:val="0"/>
              <w:keepLines w:val="0"/>
              <w:pageBreakBefore w:val="0"/>
              <w:widowControl w:val="0"/>
              <w:suppressLineNumbers w:val="0"/>
              <w:kinsoku/>
              <w:wordWrap/>
              <w:overflowPunct/>
              <w:topLinePunct w:val="0"/>
              <w:bidi w:val="0"/>
              <w:adjustRightInd/>
              <w:snapToGrid/>
              <w:spacing w:before="0" w:beforeAutospacing="0" w:after="0" w:afterAutospacing="0" w:line="360" w:lineRule="auto"/>
              <w:ind w:left="0" w:right="0" w:firstLine="480" w:firstLineChars="200"/>
              <w:textAlignment w:val="auto"/>
              <w:rPr>
                <w:rFonts w:hint="default" w:eastAsia="宋体" w:cs="宋体"/>
                <w:color w:val="auto"/>
                <w:sz w:val="24"/>
                <w:szCs w:val="24"/>
                <w:highlight w:val="none"/>
                <w:lang w:val="en-US" w:eastAsia="zh-CN"/>
              </w:rPr>
            </w:pPr>
            <w:r>
              <w:rPr>
                <w:rFonts w:hint="eastAsia" w:eastAsia="宋体" w:cs="宋体"/>
                <w:color w:val="auto"/>
                <w:sz w:val="24"/>
                <w:szCs w:val="24"/>
                <w:highlight w:val="none"/>
                <w:lang w:val="en-US" w:eastAsia="zh-CN"/>
              </w:rPr>
              <w:t>2）工艺废气</w:t>
            </w:r>
          </w:p>
          <w:p w14:paraId="029656CE">
            <w:pPr>
              <w:pStyle w:val="8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Cs/>
                <w:color w:val="auto"/>
                <w:sz w:val="24"/>
                <w:highlight w:val="none"/>
                <w:lang w:val="en-US" w:eastAsia="zh-CN"/>
              </w:rPr>
            </w:pPr>
            <w:r>
              <w:rPr>
                <w:rFonts w:hint="eastAsia" w:ascii="Times New Roman" w:hAnsi="Times New Roman" w:cs="Times New Roman"/>
                <w:bCs/>
                <w:color w:val="auto"/>
                <w:sz w:val="24"/>
                <w:highlight w:val="none"/>
              </w:rPr>
              <w:t>熔化调和搅拌</w:t>
            </w:r>
            <w:r>
              <w:rPr>
                <w:rFonts w:hint="eastAsia" w:ascii="Times New Roman" w:hAnsi="Times New Roman" w:cs="Times New Roman"/>
                <w:bCs/>
                <w:color w:val="auto"/>
                <w:sz w:val="24"/>
                <w:highlight w:val="none"/>
                <w:lang w:eastAsia="zh-CN"/>
              </w:rPr>
              <w:t>、</w:t>
            </w:r>
            <w:r>
              <w:rPr>
                <w:rFonts w:hint="eastAsia" w:ascii="Times New Roman" w:hAnsi="Times New Roman" w:cs="Times New Roman"/>
                <w:bCs/>
                <w:color w:val="auto"/>
                <w:sz w:val="24"/>
                <w:highlight w:val="none"/>
                <w:lang w:val="en-US" w:eastAsia="zh-CN"/>
              </w:rPr>
              <w:t>造粒</w:t>
            </w:r>
            <w:r>
              <w:rPr>
                <w:rFonts w:hint="eastAsia" w:ascii="Times New Roman" w:hAnsi="Times New Roman" w:cs="Times New Roman"/>
                <w:bCs/>
                <w:color w:val="auto"/>
                <w:sz w:val="24"/>
                <w:highlight w:val="none"/>
              </w:rPr>
              <w:t>工序会有废气产生，主要污染物为非甲烷总烃</w:t>
            </w:r>
            <w:r>
              <w:rPr>
                <w:rFonts w:hint="eastAsia" w:ascii="Times New Roman" w:hAnsi="Times New Roman" w:cs="Times New Roman"/>
                <w:bCs/>
                <w:color w:val="auto"/>
                <w:sz w:val="24"/>
                <w:highlight w:val="none"/>
                <w:lang w:eastAsia="zh-CN"/>
              </w:rPr>
              <w:t>，</w:t>
            </w:r>
            <w:r>
              <w:rPr>
                <w:rFonts w:hint="eastAsia" w:ascii="Times New Roman" w:hAnsi="Times New Roman" w:cs="Times New Roman"/>
                <w:bCs/>
                <w:color w:val="auto"/>
                <w:sz w:val="24"/>
                <w:highlight w:val="none"/>
                <w:lang w:val="en-US" w:eastAsia="zh-CN"/>
              </w:rPr>
              <w:t>呈无组织排放。</w:t>
            </w:r>
          </w:p>
          <w:p w14:paraId="7C5917E4">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default" w:eastAsia="宋体" w:cs="宋体"/>
                <w:color w:val="auto"/>
                <w:sz w:val="24"/>
                <w:szCs w:val="24"/>
                <w:highlight w:val="none"/>
                <w:lang w:val="en-US" w:eastAsia="zh-CN"/>
              </w:rPr>
            </w:pPr>
            <w:r>
              <w:rPr>
                <w:rFonts w:hint="default" w:eastAsia="宋体" w:cs="宋体"/>
                <w:color w:val="auto"/>
                <w:sz w:val="24"/>
                <w:szCs w:val="24"/>
                <w:highlight w:val="none"/>
                <w:lang w:val="en-US" w:eastAsia="zh-CN"/>
              </w:rPr>
              <w:t>根据</w:t>
            </w:r>
            <w:r>
              <w:rPr>
                <w:rFonts w:hint="eastAsia" w:eastAsia="宋体" w:cs="宋体"/>
                <w:color w:val="auto"/>
                <w:sz w:val="24"/>
                <w:szCs w:val="24"/>
                <w:highlight w:val="none"/>
                <w:lang w:val="en-US" w:eastAsia="zh-CN"/>
              </w:rPr>
              <w:t>抚顺市绿谷源环境检测有限公司于</w:t>
            </w:r>
            <w:r>
              <w:rPr>
                <w:rFonts w:hint="default" w:eastAsia="宋体" w:cs="宋体"/>
                <w:color w:val="auto"/>
                <w:sz w:val="24"/>
                <w:szCs w:val="24"/>
                <w:highlight w:val="none"/>
                <w:lang w:val="en-US" w:eastAsia="zh-CN"/>
              </w:rPr>
              <w:t>202</w:t>
            </w:r>
            <w:r>
              <w:rPr>
                <w:rFonts w:hint="eastAsia" w:eastAsia="宋体" w:cs="宋体"/>
                <w:color w:val="auto"/>
                <w:sz w:val="24"/>
                <w:szCs w:val="24"/>
                <w:highlight w:val="none"/>
                <w:lang w:val="en-US" w:eastAsia="zh-CN"/>
              </w:rPr>
              <w:t>6</w:t>
            </w:r>
            <w:r>
              <w:rPr>
                <w:rFonts w:hint="default" w:eastAsia="宋体" w:cs="宋体"/>
                <w:color w:val="auto"/>
                <w:sz w:val="24"/>
                <w:szCs w:val="24"/>
                <w:highlight w:val="none"/>
                <w:lang w:val="en-US" w:eastAsia="zh-CN"/>
              </w:rPr>
              <w:t>年</w:t>
            </w:r>
            <w:r>
              <w:rPr>
                <w:rFonts w:hint="eastAsia" w:eastAsia="宋体" w:cs="宋体"/>
                <w:color w:val="auto"/>
                <w:sz w:val="24"/>
                <w:szCs w:val="24"/>
                <w:highlight w:val="none"/>
                <w:lang w:val="en-US" w:eastAsia="zh-CN"/>
              </w:rPr>
              <w:t>3</w:t>
            </w:r>
            <w:r>
              <w:rPr>
                <w:rFonts w:hint="default" w:eastAsia="宋体" w:cs="宋体"/>
                <w:color w:val="auto"/>
                <w:sz w:val="24"/>
                <w:szCs w:val="24"/>
                <w:highlight w:val="none"/>
                <w:lang w:val="en-US" w:eastAsia="zh-CN"/>
              </w:rPr>
              <w:t>月对汉圣化工（抚顺）有限公司</w:t>
            </w:r>
            <w:r>
              <w:rPr>
                <w:rFonts w:hint="eastAsia" w:eastAsia="宋体" w:cs="宋体"/>
                <w:color w:val="auto"/>
                <w:sz w:val="24"/>
                <w:szCs w:val="24"/>
                <w:highlight w:val="none"/>
                <w:lang w:val="en-US" w:eastAsia="zh-CN"/>
              </w:rPr>
              <w:t>的例行检测报告（检测文件编号：绿谷源（环检）字2026第03-019号），厂界外无组织非甲烷总烃浓度在0.35-0.73mg/m</w:t>
            </w:r>
            <w:r>
              <w:rPr>
                <w:rFonts w:hint="eastAsia" w:eastAsia="宋体" w:cs="宋体"/>
                <w:color w:val="auto"/>
                <w:sz w:val="24"/>
                <w:szCs w:val="24"/>
                <w:highlight w:val="none"/>
                <w:vertAlign w:val="superscript"/>
                <w:lang w:val="en-US" w:eastAsia="zh-CN"/>
              </w:rPr>
              <w:t>3</w:t>
            </w:r>
            <w:r>
              <w:rPr>
                <w:rFonts w:hint="eastAsia" w:eastAsia="宋体" w:cs="宋体"/>
                <w:color w:val="auto"/>
                <w:sz w:val="24"/>
                <w:szCs w:val="24"/>
                <w:highlight w:val="none"/>
                <w:lang w:val="en-US" w:eastAsia="zh-CN"/>
              </w:rPr>
              <w:t>，符合《大气污染物综合排放标准》（GB16297-1996）中相关限值（4.0mg/m</w:t>
            </w:r>
            <w:r>
              <w:rPr>
                <w:rFonts w:hint="eastAsia" w:eastAsia="宋体" w:cs="宋体"/>
                <w:color w:val="auto"/>
                <w:sz w:val="24"/>
                <w:szCs w:val="24"/>
                <w:highlight w:val="none"/>
                <w:vertAlign w:val="superscript"/>
                <w:lang w:val="en-US" w:eastAsia="zh-CN"/>
              </w:rPr>
              <w:t>3</w:t>
            </w:r>
            <w:r>
              <w:rPr>
                <w:rFonts w:hint="eastAsia" w:eastAsia="宋体" w:cs="宋体"/>
                <w:color w:val="auto"/>
                <w:sz w:val="24"/>
                <w:szCs w:val="24"/>
                <w:highlight w:val="none"/>
                <w:lang w:val="en-US" w:eastAsia="zh-CN"/>
              </w:rPr>
              <w:t>）。</w:t>
            </w:r>
          </w:p>
          <w:p w14:paraId="59438157">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eastAsia" w:eastAsia="宋体" w:cs="宋体"/>
                <w:color w:val="auto"/>
                <w:sz w:val="24"/>
                <w:szCs w:val="24"/>
                <w:highlight w:val="none"/>
                <w:lang w:val="en-US" w:eastAsia="zh-CN"/>
              </w:rPr>
            </w:pPr>
            <w:r>
              <w:rPr>
                <w:rFonts w:hint="eastAsia" w:eastAsia="宋体" w:cs="宋体"/>
                <w:color w:val="auto"/>
                <w:sz w:val="24"/>
                <w:szCs w:val="24"/>
                <w:highlight w:val="none"/>
                <w:lang w:val="en-US" w:eastAsia="zh-CN"/>
              </w:rPr>
              <w:t>（2）废水</w:t>
            </w:r>
          </w:p>
          <w:p w14:paraId="4373C872">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eastAsia" w:eastAsia="宋体" w:cs="宋体"/>
                <w:color w:val="auto"/>
                <w:sz w:val="24"/>
                <w:szCs w:val="24"/>
                <w:highlight w:val="none"/>
                <w:lang w:val="en-US" w:eastAsia="zh-CN"/>
              </w:rPr>
            </w:pPr>
            <w:r>
              <w:rPr>
                <w:rFonts w:hint="eastAsia" w:eastAsia="宋体" w:cs="宋体"/>
                <w:color w:val="auto"/>
                <w:sz w:val="24"/>
                <w:szCs w:val="24"/>
                <w:highlight w:val="none"/>
                <w:lang w:val="en-US" w:eastAsia="zh-CN"/>
              </w:rPr>
              <w:t>按照“雨污分流”原则，汉圣化工配套建有雨水管网和污水管网。初期雨水经雨水收集池收集后排入东泽污水处理厂；现有项目污水包括：循环水系统排水、地面冲洗水和生活污水，经化粪池预处理后经污水总排口排入东泽污水处理厂。</w:t>
            </w:r>
          </w:p>
          <w:p w14:paraId="6EAE5689">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default" w:eastAsia="宋体" w:cs="宋体"/>
                <w:color w:val="auto"/>
                <w:sz w:val="24"/>
                <w:szCs w:val="24"/>
                <w:highlight w:val="none"/>
                <w:lang w:val="en-US" w:eastAsia="zh-CN"/>
              </w:rPr>
            </w:pPr>
            <w:r>
              <w:rPr>
                <w:rFonts w:hint="default" w:eastAsia="宋体" w:cs="宋体"/>
                <w:color w:val="auto"/>
                <w:sz w:val="24"/>
                <w:szCs w:val="24"/>
                <w:highlight w:val="none"/>
                <w:lang w:val="en-US" w:eastAsia="zh-CN"/>
              </w:rPr>
              <w:t>根据</w:t>
            </w:r>
            <w:r>
              <w:rPr>
                <w:rFonts w:hint="eastAsia" w:eastAsia="宋体" w:cs="宋体"/>
                <w:color w:val="auto"/>
                <w:sz w:val="24"/>
                <w:szCs w:val="24"/>
                <w:highlight w:val="none"/>
                <w:lang w:val="en-US" w:eastAsia="zh-CN"/>
              </w:rPr>
              <w:t>抚顺市绿谷源环境检测有限公司于</w:t>
            </w:r>
            <w:r>
              <w:rPr>
                <w:rFonts w:hint="default" w:eastAsia="宋体" w:cs="宋体"/>
                <w:color w:val="auto"/>
                <w:sz w:val="24"/>
                <w:szCs w:val="24"/>
                <w:highlight w:val="none"/>
                <w:lang w:val="en-US" w:eastAsia="zh-CN"/>
              </w:rPr>
              <w:t>202</w:t>
            </w:r>
            <w:r>
              <w:rPr>
                <w:rFonts w:hint="eastAsia" w:eastAsia="宋体" w:cs="宋体"/>
                <w:color w:val="auto"/>
                <w:sz w:val="24"/>
                <w:szCs w:val="24"/>
                <w:highlight w:val="none"/>
                <w:lang w:val="en-US" w:eastAsia="zh-CN"/>
              </w:rPr>
              <w:t>6</w:t>
            </w:r>
            <w:r>
              <w:rPr>
                <w:rFonts w:hint="default" w:eastAsia="宋体" w:cs="宋体"/>
                <w:color w:val="auto"/>
                <w:sz w:val="24"/>
                <w:szCs w:val="24"/>
                <w:highlight w:val="none"/>
                <w:lang w:val="en-US" w:eastAsia="zh-CN"/>
              </w:rPr>
              <w:t>年</w:t>
            </w:r>
            <w:r>
              <w:rPr>
                <w:rFonts w:hint="eastAsia" w:eastAsia="宋体" w:cs="宋体"/>
                <w:color w:val="auto"/>
                <w:sz w:val="24"/>
                <w:szCs w:val="24"/>
                <w:highlight w:val="none"/>
                <w:lang w:val="en-US" w:eastAsia="zh-CN"/>
              </w:rPr>
              <w:t>3</w:t>
            </w:r>
            <w:r>
              <w:rPr>
                <w:rFonts w:hint="default" w:eastAsia="宋体" w:cs="宋体"/>
                <w:color w:val="auto"/>
                <w:sz w:val="24"/>
                <w:szCs w:val="24"/>
                <w:highlight w:val="none"/>
                <w:lang w:val="en-US" w:eastAsia="zh-CN"/>
              </w:rPr>
              <w:t>月对汉圣化工（抚顺）有限公司</w:t>
            </w:r>
            <w:r>
              <w:rPr>
                <w:rFonts w:hint="eastAsia" w:eastAsia="宋体" w:cs="宋体"/>
                <w:color w:val="auto"/>
                <w:sz w:val="24"/>
                <w:szCs w:val="24"/>
                <w:highlight w:val="none"/>
                <w:lang w:val="en-US" w:eastAsia="zh-CN"/>
              </w:rPr>
              <w:t>的例行检测报告（检测文件编号：绿谷源（环检）字2026第03-019号），厂区污水总排口出口：pH 7.3、COD 48mg/L、NH3-N 0.223mg/L、石油类0.95mg/L，pH符合《污水综合排放标准》（GB 8978-1996）中表4第二类污染物最高允许排放浓度一级标准，COD、NH</w:t>
            </w:r>
            <w:r>
              <w:rPr>
                <w:rFonts w:hint="eastAsia" w:eastAsia="宋体" w:cs="宋体"/>
                <w:color w:val="auto"/>
                <w:sz w:val="24"/>
                <w:szCs w:val="24"/>
                <w:highlight w:val="none"/>
                <w:vertAlign w:val="subscript"/>
                <w:lang w:val="en-US" w:eastAsia="zh-CN"/>
              </w:rPr>
              <w:t>3</w:t>
            </w:r>
            <w:r>
              <w:rPr>
                <w:rFonts w:hint="eastAsia" w:eastAsia="宋体" w:cs="宋体"/>
                <w:color w:val="auto"/>
                <w:sz w:val="24"/>
                <w:szCs w:val="24"/>
                <w:highlight w:val="none"/>
                <w:lang w:val="en-US" w:eastAsia="zh-CN"/>
              </w:rPr>
              <w:t>-N、石油类符合《辽宁省污水综合排放标准》（DB21/1627-2008）中表2排入污水处理厂的水污染物最高允许排放浓度。</w:t>
            </w:r>
          </w:p>
          <w:p w14:paraId="22990D26">
            <w:pPr>
              <w:pStyle w:val="21"/>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eastAsia="宋体" w:cs="宋体"/>
                <w:color w:val="auto"/>
                <w:sz w:val="24"/>
                <w:szCs w:val="24"/>
                <w:highlight w:val="none"/>
              </w:rPr>
            </w:pPr>
            <w:r>
              <w:rPr>
                <w:rFonts w:hint="eastAsia" w:eastAsia="宋体" w:cs="宋体"/>
                <w:color w:val="auto"/>
                <w:sz w:val="24"/>
                <w:szCs w:val="24"/>
                <w:highlight w:val="none"/>
              </w:rPr>
              <w:t>（3）噪声</w:t>
            </w:r>
          </w:p>
          <w:p w14:paraId="649A2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 w:val="24"/>
                <w:highlight w:val="none"/>
              </w:rPr>
            </w:pPr>
            <w:r>
              <w:rPr>
                <w:rFonts w:hint="eastAsia" w:ascii="宋体" w:hAnsi="宋体" w:cs="宋体"/>
                <w:color w:val="auto"/>
                <w:kern w:val="0"/>
                <w:sz w:val="24"/>
                <w:highlight w:val="none"/>
                <w:lang w:bidi="ar"/>
              </w:rPr>
              <w:t>本项目噪声主要来自生产车间内外及泵房各类机械设备产生的噪声，均安装于车间、机房内，采取厂房封闭、减振、隔声，并在厂区内进行了绿化等措施减少噪声对环境的影响。</w:t>
            </w:r>
          </w:p>
          <w:p w14:paraId="19A537F5">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default" w:eastAsia="宋体" w:cs="宋体"/>
                <w:color w:val="auto"/>
                <w:sz w:val="24"/>
                <w:szCs w:val="24"/>
                <w:highlight w:val="none"/>
                <w:lang w:val="en-US" w:eastAsia="zh-CN"/>
              </w:rPr>
            </w:pPr>
            <w:r>
              <w:rPr>
                <w:rFonts w:hint="default" w:eastAsia="宋体" w:cs="宋体"/>
                <w:color w:val="auto"/>
                <w:sz w:val="24"/>
                <w:szCs w:val="24"/>
                <w:highlight w:val="none"/>
                <w:lang w:val="en-US" w:eastAsia="zh-CN"/>
              </w:rPr>
              <w:t>根据</w:t>
            </w:r>
            <w:r>
              <w:rPr>
                <w:rFonts w:hint="eastAsia" w:eastAsia="宋体" w:cs="宋体"/>
                <w:color w:val="auto"/>
                <w:sz w:val="24"/>
                <w:szCs w:val="24"/>
                <w:highlight w:val="none"/>
                <w:lang w:val="en-US" w:eastAsia="zh-CN"/>
              </w:rPr>
              <w:t>《汉圣化工年产10万t特种蜡项目环保竣工验收监测报告》，厂界四周噪声现状值：昼间44-46dB（A）、夜间38-44dB（A），符合《工业企业厂界环境噪声排放标准》（GB3096-2008）中3类标准限值。</w:t>
            </w:r>
          </w:p>
          <w:p w14:paraId="3C9DE7B7">
            <w:pPr>
              <w:pStyle w:val="21"/>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eastAsia="宋体" w:cs="宋体"/>
                <w:color w:val="auto"/>
                <w:sz w:val="24"/>
                <w:szCs w:val="24"/>
                <w:highlight w:val="none"/>
              </w:rPr>
            </w:pPr>
            <w:r>
              <w:rPr>
                <w:rFonts w:hint="eastAsia" w:eastAsia="宋体" w:cs="宋体"/>
                <w:color w:val="auto"/>
                <w:sz w:val="24"/>
                <w:szCs w:val="24"/>
                <w:highlight w:val="none"/>
              </w:rPr>
              <w:t>（4）固体废物</w:t>
            </w:r>
          </w:p>
          <w:p w14:paraId="767EB5A6">
            <w:pPr>
              <w:pStyle w:val="21"/>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eastAsia="宋体" w:cs="宋体"/>
                <w:color w:val="auto"/>
                <w:sz w:val="24"/>
                <w:szCs w:val="24"/>
                <w:highlight w:val="none"/>
              </w:rPr>
            </w:pPr>
            <w:r>
              <w:rPr>
                <w:rFonts w:hint="eastAsia" w:eastAsia="宋体" w:cs="宋体"/>
                <w:color w:val="auto"/>
                <w:sz w:val="24"/>
                <w:szCs w:val="24"/>
                <w:highlight w:val="none"/>
              </w:rPr>
              <w:t>本项目产生的固体废物主要为：生活垃圾、废过滤网</w:t>
            </w:r>
            <w:r>
              <w:rPr>
                <w:rFonts w:hint="eastAsia" w:eastAsia="宋体" w:cs="宋体"/>
                <w:color w:val="auto"/>
                <w:sz w:val="24"/>
                <w:szCs w:val="24"/>
                <w:highlight w:val="none"/>
                <w:lang w:eastAsia="zh-CN"/>
              </w:rPr>
              <w:t>（</w:t>
            </w:r>
            <w:r>
              <w:rPr>
                <w:rFonts w:hint="eastAsia" w:eastAsia="宋体" w:cs="宋体"/>
                <w:color w:val="auto"/>
                <w:sz w:val="24"/>
                <w:szCs w:val="24"/>
                <w:highlight w:val="none"/>
                <w:lang w:val="en-US" w:eastAsia="zh-CN"/>
              </w:rPr>
              <w:t>含过滤杂质</w:t>
            </w:r>
            <w:r>
              <w:rPr>
                <w:rFonts w:hint="eastAsia" w:eastAsia="宋体" w:cs="宋体"/>
                <w:color w:val="auto"/>
                <w:sz w:val="24"/>
                <w:szCs w:val="24"/>
                <w:highlight w:val="none"/>
                <w:lang w:eastAsia="zh-CN"/>
              </w:rPr>
              <w:t>）</w:t>
            </w:r>
            <w:r>
              <w:rPr>
                <w:rFonts w:hint="eastAsia" w:eastAsia="宋体" w:cs="宋体"/>
                <w:color w:val="auto"/>
                <w:sz w:val="24"/>
                <w:szCs w:val="24"/>
                <w:highlight w:val="none"/>
              </w:rPr>
              <w:t>、</w:t>
            </w:r>
            <w:r>
              <w:rPr>
                <w:rFonts w:hint="eastAsia" w:eastAsia="宋体" w:cs="宋体"/>
                <w:color w:val="auto"/>
                <w:sz w:val="24"/>
                <w:szCs w:val="24"/>
                <w:highlight w:val="none"/>
                <w:lang w:val="en-US" w:eastAsia="zh-CN"/>
              </w:rPr>
              <w:t>落地石蜡及</w:t>
            </w:r>
            <w:r>
              <w:rPr>
                <w:rFonts w:hint="eastAsia" w:eastAsia="宋体" w:cs="宋体"/>
                <w:color w:val="auto"/>
                <w:sz w:val="24"/>
                <w:szCs w:val="24"/>
                <w:highlight w:val="none"/>
              </w:rPr>
              <w:t>废机油。生活垃圾集中收集后，定期由园区环卫部门清运统一处理。</w:t>
            </w:r>
          </w:p>
          <w:p w14:paraId="760B9F68">
            <w:pPr>
              <w:pStyle w:val="21"/>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eastAsia="宋体" w:cs="宋体"/>
                <w:color w:val="auto"/>
                <w:sz w:val="24"/>
                <w:szCs w:val="24"/>
                <w:highlight w:val="none"/>
              </w:rPr>
            </w:pPr>
            <w:r>
              <w:rPr>
                <w:rFonts w:hint="eastAsia" w:eastAsia="宋体" w:cs="宋体"/>
                <w:color w:val="auto"/>
                <w:sz w:val="24"/>
                <w:szCs w:val="24"/>
                <w:highlight w:val="none"/>
                <w:lang w:val="en-US" w:eastAsia="zh-CN"/>
              </w:rPr>
              <w:t>落地石蜡由劳动定员定期收集、外售综合利用；</w:t>
            </w:r>
            <w:r>
              <w:rPr>
                <w:rFonts w:hint="eastAsia" w:eastAsia="宋体" w:cs="宋体"/>
                <w:color w:val="auto"/>
                <w:sz w:val="24"/>
                <w:szCs w:val="24"/>
                <w:highlight w:val="none"/>
              </w:rPr>
              <w:t>厂内设置危废</w:t>
            </w:r>
            <w:r>
              <w:rPr>
                <w:rFonts w:hint="eastAsia" w:eastAsia="宋体" w:cs="宋体"/>
                <w:color w:val="auto"/>
                <w:sz w:val="24"/>
                <w:szCs w:val="24"/>
                <w:highlight w:val="none"/>
                <w:lang w:val="en-US" w:eastAsia="zh-CN"/>
              </w:rPr>
              <w:t>贮存点</w:t>
            </w:r>
            <w:r>
              <w:rPr>
                <w:rFonts w:hint="eastAsia" w:eastAsia="宋体" w:cs="宋体"/>
                <w:color w:val="auto"/>
                <w:sz w:val="24"/>
                <w:szCs w:val="24"/>
                <w:highlight w:val="none"/>
              </w:rPr>
              <w:t>，废机油、废过滤网</w:t>
            </w:r>
            <w:r>
              <w:rPr>
                <w:rFonts w:hint="eastAsia" w:eastAsia="宋体" w:cs="宋体"/>
                <w:color w:val="auto"/>
                <w:sz w:val="24"/>
                <w:szCs w:val="24"/>
                <w:highlight w:val="none"/>
                <w:lang w:eastAsia="zh-CN"/>
              </w:rPr>
              <w:t>（</w:t>
            </w:r>
            <w:r>
              <w:rPr>
                <w:rFonts w:hint="eastAsia" w:eastAsia="宋体" w:cs="宋体"/>
                <w:color w:val="auto"/>
                <w:sz w:val="24"/>
                <w:szCs w:val="24"/>
                <w:highlight w:val="none"/>
                <w:lang w:val="en-US" w:eastAsia="zh-CN"/>
              </w:rPr>
              <w:t>含过滤杂质</w:t>
            </w:r>
            <w:r>
              <w:rPr>
                <w:rFonts w:hint="eastAsia" w:eastAsia="宋体" w:cs="宋体"/>
                <w:color w:val="auto"/>
                <w:sz w:val="24"/>
                <w:szCs w:val="24"/>
                <w:highlight w:val="none"/>
                <w:lang w:eastAsia="zh-CN"/>
              </w:rPr>
              <w:t>）</w:t>
            </w:r>
            <w:r>
              <w:rPr>
                <w:rFonts w:hint="eastAsia" w:eastAsia="宋体" w:cs="宋体"/>
                <w:color w:val="auto"/>
                <w:sz w:val="24"/>
                <w:szCs w:val="24"/>
                <w:highlight w:val="none"/>
              </w:rPr>
              <w:t>贮存于危废</w:t>
            </w:r>
            <w:r>
              <w:rPr>
                <w:rFonts w:hint="eastAsia" w:eastAsia="宋体" w:cs="宋体"/>
                <w:color w:val="auto"/>
                <w:sz w:val="24"/>
                <w:szCs w:val="24"/>
                <w:highlight w:val="none"/>
                <w:lang w:val="en-US" w:eastAsia="zh-CN"/>
              </w:rPr>
              <w:t>贮存点</w:t>
            </w:r>
            <w:r>
              <w:rPr>
                <w:rFonts w:hint="eastAsia" w:eastAsia="宋体" w:cs="宋体"/>
                <w:color w:val="auto"/>
                <w:sz w:val="24"/>
                <w:szCs w:val="24"/>
                <w:highlight w:val="none"/>
              </w:rPr>
              <w:t>内，定期委托有资质单位处置。</w:t>
            </w:r>
          </w:p>
          <w:p w14:paraId="1865C974">
            <w:pPr>
              <w:pStyle w:val="21"/>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eastAsia="宋体" w:cs="宋体"/>
                <w:color w:val="auto"/>
                <w:sz w:val="24"/>
                <w:szCs w:val="24"/>
                <w:highlight w:val="none"/>
                <w:lang w:eastAsia="zh-CN"/>
              </w:rPr>
            </w:pPr>
            <w:r>
              <w:rPr>
                <w:rFonts w:hint="eastAsia" w:eastAsia="宋体" w:cs="宋体"/>
                <w:color w:val="auto"/>
                <w:sz w:val="24"/>
                <w:szCs w:val="24"/>
                <w:highlight w:val="none"/>
              </w:rPr>
              <w:t>原有项目污染物排放量详见下表</w:t>
            </w:r>
            <w:r>
              <w:rPr>
                <w:rFonts w:hint="eastAsia" w:eastAsia="宋体" w:cs="宋体"/>
                <w:color w:val="auto"/>
                <w:sz w:val="24"/>
                <w:szCs w:val="24"/>
                <w:highlight w:val="none"/>
                <w:lang w:eastAsia="zh-CN"/>
              </w:rPr>
              <w:t>。</w:t>
            </w:r>
          </w:p>
          <w:p w14:paraId="13EE38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rPr>
            </w:pPr>
            <w:r>
              <w:rPr>
                <w:rFonts w:hint="eastAsia"/>
                <w:color w:val="auto"/>
                <w:sz w:val="24"/>
                <w:highlight w:val="none"/>
              </w:rPr>
              <w:t>表2-</w:t>
            </w:r>
            <w:r>
              <w:rPr>
                <w:rFonts w:hint="eastAsia"/>
                <w:color w:val="auto"/>
                <w:sz w:val="24"/>
                <w:highlight w:val="none"/>
                <w:lang w:val="en-US" w:eastAsia="zh-CN"/>
              </w:rPr>
              <w:t>19</w:t>
            </w:r>
            <w:r>
              <w:rPr>
                <w:rFonts w:hint="eastAsia"/>
                <w:color w:val="auto"/>
                <w:sz w:val="24"/>
                <w:highlight w:val="none"/>
              </w:rPr>
              <w:t xml:space="preserve"> </w:t>
            </w:r>
            <w:r>
              <w:rPr>
                <w:rFonts w:hint="eastAsia"/>
                <w:color w:val="auto"/>
                <w:sz w:val="24"/>
                <w:highlight w:val="none"/>
                <w:lang w:val="en-US" w:eastAsia="zh-CN"/>
              </w:rPr>
              <w:t xml:space="preserve">  </w:t>
            </w:r>
            <w:r>
              <w:rPr>
                <w:rFonts w:hint="eastAsia"/>
                <w:color w:val="auto"/>
                <w:sz w:val="24"/>
                <w:highlight w:val="none"/>
              </w:rPr>
              <w:t>原有项目污染物排放量一览表</w:t>
            </w:r>
          </w:p>
          <w:tbl>
            <w:tblPr>
              <w:tblStyle w:val="28"/>
              <w:tblW w:w="4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5"/>
              <w:gridCol w:w="2596"/>
              <w:gridCol w:w="2596"/>
            </w:tblGrid>
            <w:tr w14:paraId="0DBF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666" w:type="pct"/>
                  <w:tcBorders>
                    <w:tl2br w:val="nil"/>
                    <w:tr2bl w:val="nil"/>
                  </w:tcBorders>
                  <w:vAlign w:val="center"/>
                </w:tcPr>
                <w:p w14:paraId="35037D15">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b w:val="0"/>
                      <w:bCs w:val="0"/>
                      <w:color w:val="auto"/>
                      <w:sz w:val="21"/>
                      <w:szCs w:val="21"/>
                      <w:highlight w:val="none"/>
                    </w:rPr>
                  </w:pPr>
                  <w:r>
                    <w:rPr>
                      <w:b w:val="0"/>
                      <w:bCs w:val="0"/>
                      <w:color w:val="auto"/>
                      <w:sz w:val="21"/>
                      <w:szCs w:val="21"/>
                      <w:highlight w:val="none"/>
                    </w:rPr>
                    <w:t>类别</w:t>
                  </w:r>
                </w:p>
              </w:tc>
              <w:tc>
                <w:tcPr>
                  <w:tcW w:w="1666" w:type="pct"/>
                  <w:tcBorders>
                    <w:tl2br w:val="nil"/>
                    <w:tr2bl w:val="nil"/>
                  </w:tcBorders>
                  <w:vAlign w:val="center"/>
                </w:tcPr>
                <w:p w14:paraId="61E260F9">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b w:val="0"/>
                      <w:bCs w:val="0"/>
                      <w:color w:val="auto"/>
                      <w:sz w:val="21"/>
                      <w:szCs w:val="21"/>
                      <w:highlight w:val="none"/>
                    </w:rPr>
                  </w:pPr>
                  <w:r>
                    <w:rPr>
                      <w:b w:val="0"/>
                      <w:bCs w:val="0"/>
                      <w:color w:val="auto"/>
                      <w:sz w:val="21"/>
                      <w:szCs w:val="21"/>
                      <w:highlight w:val="none"/>
                    </w:rPr>
                    <w:t>污染物名称</w:t>
                  </w:r>
                </w:p>
              </w:tc>
              <w:tc>
                <w:tcPr>
                  <w:tcW w:w="1666" w:type="pct"/>
                  <w:tcBorders>
                    <w:tl2br w:val="nil"/>
                    <w:tr2bl w:val="nil"/>
                  </w:tcBorders>
                  <w:vAlign w:val="center"/>
                </w:tcPr>
                <w:p w14:paraId="44AF2233">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b w:val="0"/>
                      <w:bCs w:val="0"/>
                      <w:color w:val="auto"/>
                      <w:sz w:val="21"/>
                      <w:szCs w:val="21"/>
                      <w:highlight w:val="none"/>
                    </w:rPr>
                  </w:pPr>
                  <w:r>
                    <w:rPr>
                      <w:b w:val="0"/>
                      <w:bCs w:val="0"/>
                      <w:color w:val="auto"/>
                      <w:sz w:val="21"/>
                      <w:szCs w:val="21"/>
                      <w:highlight w:val="none"/>
                    </w:rPr>
                    <w:t>排放量（t/a）</w:t>
                  </w:r>
                </w:p>
              </w:tc>
            </w:tr>
            <w:tr w14:paraId="020D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restart"/>
                  <w:tcBorders>
                    <w:tl2br w:val="nil"/>
                    <w:tr2bl w:val="nil"/>
                  </w:tcBorders>
                  <w:vAlign w:val="center"/>
                </w:tcPr>
                <w:p w14:paraId="124FB1AC">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color w:val="auto"/>
                      <w:sz w:val="21"/>
                      <w:szCs w:val="21"/>
                      <w:highlight w:val="none"/>
                    </w:rPr>
                  </w:pPr>
                  <w:r>
                    <w:rPr>
                      <w:rFonts w:hint="eastAsia"/>
                      <w:color w:val="auto"/>
                      <w:sz w:val="21"/>
                      <w:szCs w:val="21"/>
                      <w:highlight w:val="none"/>
                    </w:rPr>
                    <w:t>废气</w:t>
                  </w:r>
                </w:p>
              </w:tc>
              <w:tc>
                <w:tcPr>
                  <w:tcW w:w="1666" w:type="pct"/>
                  <w:tcBorders>
                    <w:tl2br w:val="nil"/>
                    <w:tr2bl w:val="nil"/>
                  </w:tcBorders>
                  <w:vAlign w:val="center"/>
                </w:tcPr>
                <w:p w14:paraId="165FBFC5">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颗粒物</w:t>
                  </w:r>
                </w:p>
              </w:tc>
              <w:tc>
                <w:tcPr>
                  <w:tcW w:w="1666" w:type="pct"/>
                  <w:tcBorders>
                    <w:tl2br w:val="nil"/>
                    <w:tr2bl w:val="nil"/>
                  </w:tcBorders>
                  <w:vAlign w:val="center"/>
                </w:tcPr>
                <w:p w14:paraId="724CA974">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0.06</w:t>
                  </w:r>
                </w:p>
              </w:tc>
            </w:tr>
            <w:tr w14:paraId="4B4F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continue"/>
                  <w:tcBorders>
                    <w:tl2br w:val="nil"/>
                    <w:tr2bl w:val="nil"/>
                  </w:tcBorders>
                  <w:vAlign w:val="center"/>
                </w:tcPr>
                <w:p w14:paraId="02015B0C">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rFonts w:hint="eastAsia"/>
                      <w:color w:val="auto"/>
                      <w:sz w:val="21"/>
                      <w:szCs w:val="21"/>
                      <w:highlight w:val="none"/>
                    </w:rPr>
                  </w:pPr>
                </w:p>
              </w:tc>
              <w:tc>
                <w:tcPr>
                  <w:tcW w:w="1666" w:type="pct"/>
                  <w:tcBorders>
                    <w:tl2br w:val="nil"/>
                    <w:tr2bl w:val="nil"/>
                  </w:tcBorders>
                  <w:vAlign w:val="center"/>
                </w:tcPr>
                <w:p w14:paraId="6C88DF7E">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SO</w:t>
                  </w:r>
                  <w:r>
                    <w:rPr>
                      <w:rFonts w:hint="eastAsia"/>
                      <w:color w:val="auto"/>
                      <w:sz w:val="21"/>
                      <w:szCs w:val="21"/>
                      <w:highlight w:val="none"/>
                      <w:vertAlign w:val="subscript"/>
                      <w:lang w:val="en-US" w:eastAsia="zh-CN"/>
                    </w:rPr>
                    <w:t>2</w:t>
                  </w:r>
                </w:p>
              </w:tc>
              <w:tc>
                <w:tcPr>
                  <w:tcW w:w="1666" w:type="pct"/>
                  <w:tcBorders>
                    <w:tl2br w:val="nil"/>
                    <w:tr2bl w:val="nil"/>
                  </w:tcBorders>
                  <w:vAlign w:val="center"/>
                </w:tcPr>
                <w:p w14:paraId="25E0B516">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0.08</w:t>
                  </w:r>
                </w:p>
              </w:tc>
            </w:tr>
            <w:tr w14:paraId="5000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continue"/>
                  <w:tcBorders>
                    <w:tl2br w:val="nil"/>
                    <w:tr2bl w:val="nil"/>
                  </w:tcBorders>
                  <w:vAlign w:val="center"/>
                </w:tcPr>
                <w:p w14:paraId="413B948B">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rFonts w:hint="eastAsia"/>
                      <w:color w:val="auto"/>
                      <w:sz w:val="21"/>
                      <w:szCs w:val="21"/>
                      <w:highlight w:val="none"/>
                    </w:rPr>
                  </w:pPr>
                </w:p>
              </w:tc>
              <w:tc>
                <w:tcPr>
                  <w:tcW w:w="1666" w:type="pct"/>
                  <w:tcBorders>
                    <w:tl2br w:val="nil"/>
                    <w:tr2bl w:val="nil"/>
                  </w:tcBorders>
                  <w:vAlign w:val="center"/>
                </w:tcPr>
                <w:p w14:paraId="535F9E7F">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NOx</w:t>
                  </w:r>
                </w:p>
              </w:tc>
              <w:tc>
                <w:tcPr>
                  <w:tcW w:w="1666" w:type="pct"/>
                  <w:tcBorders>
                    <w:tl2br w:val="nil"/>
                    <w:tr2bl w:val="nil"/>
                  </w:tcBorders>
                  <w:vAlign w:val="center"/>
                </w:tcPr>
                <w:p w14:paraId="018EC75C">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0.31</w:t>
                  </w:r>
                </w:p>
              </w:tc>
            </w:tr>
            <w:tr w14:paraId="719A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66" w:type="pct"/>
                  <w:vMerge w:val="continue"/>
                  <w:tcBorders>
                    <w:tl2br w:val="nil"/>
                    <w:tr2bl w:val="nil"/>
                  </w:tcBorders>
                  <w:vAlign w:val="center"/>
                </w:tcPr>
                <w:p w14:paraId="63A15662">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color w:val="auto"/>
                      <w:sz w:val="21"/>
                      <w:szCs w:val="21"/>
                      <w:highlight w:val="none"/>
                    </w:rPr>
                  </w:pPr>
                </w:p>
              </w:tc>
              <w:tc>
                <w:tcPr>
                  <w:tcW w:w="1666" w:type="pct"/>
                  <w:tcBorders>
                    <w:tl2br w:val="nil"/>
                    <w:tr2bl w:val="nil"/>
                  </w:tcBorders>
                  <w:vAlign w:val="center"/>
                </w:tcPr>
                <w:p w14:paraId="5B04D3FB">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非甲烷总烃</w:t>
                  </w:r>
                </w:p>
              </w:tc>
              <w:tc>
                <w:tcPr>
                  <w:tcW w:w="1666" w:type="pct"/>
                  <w:tcBorders>
                    <w:tl2br w:val="nil"/>
                    <w:tr2bl w:val="nil"/>
                  </w:tcBorders>
                  <w:vAlign w:val="center"/>
                </w:tcPr>
                <w:p w14:paraId="6345389F">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9.0</w:t>
                  </w:r>
                </w:p>
              </w:tc>
            </w:tr>
            <w:tr w14:paraId="5A47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restart"/>
                  <w:tcBorders>
                    <w:tl2br w:val="nil"/>
                    <w:tr2bl w:val="nil"/>
                  </w:tcBorders>
                  <w:vAlign w:val="center"/>
                </w:tcPr>
                <w:p w14:paraId="3E6264C5">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rFonts w:hint="eastAsia" w:eastAsia="宋体"/>
                      <w:color w:val="auto"/>
                      <w:sz w:val="21"/>
                      <w:szCs w:val="21"/>
                      <w:highlight w:val="none"/>
                      <w:lang w:eastAsia="zh-CN"/>
                    </w:rPr>
                  </w:pPr>
                  <w:r>
                    <w:rPr>
                      <w:rFonts w:hint="eastAsia"/>
                      <w:color w:val="auto"/>
                      <w:sz w:val="21"/>
                      <w:szCs w:val="21"/>
                      <w:highlight w:val="none"/>
                    </w:rPr>
                    <w:t>废水</w:t>
                  </w:r>
                  <w:r>
                    <w:rPr>
                      <w:rFonts w:hint="eastAsia"/>
                      <w:color w:val="auto"/>
                      <w:sz w:val="21"/>
                      <w:szCs w:val="21"/>
                      <w:highlight w:val="none"/>
                      <w:lang w:eastAsia="zh-CN"/>
                    </w:rPr>
                    <w:t>（</w:t>
                  </w:r>
                  <w:r>
                    <w:rPr>
                      <w:rFonts w:hint="eastAsia"/>
                      <w:color w:val="auto"/>
                      <w:sz w:val="21"/>
                      <w:szCs w:val="21"/>
                      <w:highlight w:val="none"/>
                      <w:lang w:val="en-US" w:eastAsia="zh-CN"/>
                    </w:rPr>
                    <w:t>1.32万m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/a</w:t>
                  </w:r>
                  <w:r>
                    <w:rPr>
                      <w:rFonts w:hint="eastAsia"/>
                      <w:color w:val="auto"/>
                      <w:sz w:val="21"/>
                      <w:szCs w:val="21"/>
                      <w:highlight w:val="none"/>
                      <w:lang w:eastAsia="zh-CN"/>
                    </w:rPr>
                    <w:t>）</w:t>
                  </w:r>
                </w:p>
              </w:tc>
              <w:tc>
                <w:tcPr>
                  <w:tcW w:w="1666" w:type="pct"/>
                  <w:tcBorders>
                    <w:tl2br w:val="nil"/>
                    <w:tr2bl w:val="nil"/>
                  </w:tcBorders>
                  <w:vAlign w:val="center"/>
                </w:tcPr>
                <w:p w14:paraId="5FC0B9B3">
                  <w:pPr>
                    <w:keepNext w:val="0"/>
                    <w:keepLines w:val="0"/>
                    <w:pageBreakBefore w:val="0"/>
                    <w:suppressLineNumbers w:val="0"/>
                    <w:kinsoku/>
                    <w:wordWrap/>
                    <w:overflowPunct/>
                    <w:topLinePunct w:val="0"/>
                    <w:bidi w:val="0"/>
                    <w:adjustRightInd/>
                    <w:snapToGrid/>
                    <w:spacing w:before="0" w:beforeAutospacing="0" w:after="0" w:afterAutospacing="0"/>
                    <w:ind w:left="0" w:right="0" w:firstLine="0"/>
                    <w:jc w:val="center"/>
                    <w:textAlignment w:val="auto"/>
                    <w:rPr>
                      <w:color w:val="auto"/>
                      <w:szCs w:val="21"/>
                      <w:highlight w:val="none"/>
                    </w:rPr>
                  </w:pPr>
                  <w:r>
                    <w:rPr>
                      <w:color w:val="auto"/>
                      <w:szCs w:val="21"/>
                      <w:highlight w:val="none"/>
                    </w:rPr>
                    <w:t>COD</w:t>
                  </w:r>
                </w:p>
              </w:tc>
              <w:tc>
                <w:tcPr>
                  <w:tcW w:w="1666" w:type="pct"/>
                  <w:tcBorders>
                    <w:tl2br w:val="nil"/>
                    <w:tr2bl w:val="nil"/>
                  </w:tcBorders>
                  <w:vAlign w:val="center"/>
                </w:tcPr>
                <w:p w14:paraId="7FA0E396">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0.63</w:t>
                  </w:r>
                </w:p>
              </w:tc>
            </w:tr>
            <w:tr w14:paraId="12A1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continue"/>
                  <w:tcBorders>
                    <w:tl2br w:val="nil"/>
                    <w:tr2bl w:val="nil"/>
                  </w:tcBorders>
                  <w:vAlign w:val="center"/>
                </w:tcPr>
                <w:p w14:paraId="2FE191D9">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color w:val="auto"/>
                      <w:sz w:val="21"/>
                      <w:szCs w:val="21"/>
                      <w:highlight w:val="none"/>
                    </w:rPr>
                  </w:pPr>
                </w:p>
              </w:tc>
              <w:tc>
                <w:tcPr>
                  <w:tcW w:w="1666" w:type="pct"/>
                  <w:tcBorders>
                    <w:tl2br w:val="nil"/>
                    <w:tr2bl w:val="nil"/>
                  </w:tcBorders>
                  <w:vAlign w:val="center"/>
                </w:tcPr>
                <w:p w14:paraId="7BA502C0">
                  <w:pPr>
                    <w:keepNext w:val="0"/>
                    <w:keepLines w:val="0"/>
                    <w:pageBreakBefore w:val="0"/>
                    <w:suppressLineNumbers w:val="0"/>
                    <w:kinsoku/>
                    <w:wordWrap/>
                    <w:overflowPunct/>
                    <w:topLinePunct w:val="0"/>
                    <w:bidi w:val="0"/>
                    <w:adjustRightInd/>
                    <w:snapToGrid/>
                    <w:spacing w:before="0" w:beforeAutospacing="0" w:after="0" w:afterAutospacing="0"/>
                    <w:ind w:left="0" w:right="0" w:firstLine="0"/>
                    <w:jc w:val="center"/>
                    <w:textAlignment w:val="auto"/>
                    <w:rPr>
                      <w:color w:val="auto"/>
                      <w:szCs w:val="21"/>
                      <w:highlight w:val="none"/>
                    </w:rPr>
                  </w:pPr>
                  <w:r>
                    <w:rPr>
                      <w:color w:val="auto"/>
                      <w:szCs w:val="21"/>
                      <w:highlight w:val="none"/>
                    </w:rPr>
                    <w:t>NH</w:t>
                  </w:r>
                  <w:r>
                    <w:rPr>
                      <w:color w:val="auto"/>
                      <w:szCs w:val="21"/>
                      <w:highlight w:val="none"/>
                      <w:vertAlign w:val="subscript"/>
                    </w:rPr>
                    <w:t>3</w:t>
                  </w:r>
                  <w:r>
                    <w:rPr>
                      <w:color w:val="auto"/>
                      <w:szCs w:val="21"/>
                      <w:highlight w:val="none"/>
                    </w:rPr>
                    <w:t>-N</w:t>
                  </w:r>
                </w:p>
              </w:tc>
              <w:tc>
                <w:tcPr>
                  <w:tcW w:w="1666" w:type="pct"/>
                  <w:tcBorders>
                    <w:tl2br w:val="nil"/>
                    <w:tr2bl w:val="nil"/>
                  </w:tcBorders>
                  <w:vAlign w:val="center"/>
                </w:tcPr>
                <w:p w14:paraId="0467868D">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0.003</w:t>
                  </w:r>
                </w:p>
              </w:tc>
            </w:tr>
            <w:tr w14:paraId="33D7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continue"/>
                  <w:tcBorders>
                    <w:tl2br w:val="nil"/>
                    <w:tr2bl w:val="nil"/>
                  </w:tcBorders>
                  <w:vAlign w:val="center"/>
                </w:tcPr>
                <w:p w14:paraId="33311793">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color w:val="auto"/>
                      <w:sz w:val="21"/>
                      <w:szCs w:val="21"/>
                      <w:highlight w:val="none"/>
                    </w:rPr>
                  </w:pPr>
                </w:p>
              </w:tc>
              <w:tc>
                <w:tcPr>
                  <w:tcW w:w="1666" w:type="pct"/>
                  <w:tcBorders>
                    <w:tl2br w:val="nil"/>
                    <w:tr2bl w:val="nil"/>
                  </w:tcBorders>
                  <w:vAlign w:val="center"/>
                </w:tcPr>
                <w:p w14:paraId="7D623831">
                  <w:pPr>
                    <w:keepNext w:val="0"/>
                    <w:keepLines w:val="0"/>
                    <w:pageBreakBefore w:val="0"/>
                    <w:suppressLineNumbers w:val="0"/>
                    <w:kinsoku/>
                    <w:wordWrap/>
                    <w:overflowPunct/>
                    <w:topLinePunct w:val="0"/>
                    <w:bidi w:val="0"/>
                    <w:adjustRightInd/>
                    <w:snapToGrid/>
                    <w:spacing w:before="0" w:beforeAutospacing="0" w:after="0" w:afterAutospacing="0"/>
                    <w:ind w:left="0" w:right="0" w:firstLine="0"/>
                    <w:jc w:val="center"/>
                    <w:textAlignment w:val="auto"/>
                    <w:rPr>
                      <w:color w:val="auto"/>
                      <w:szCs w:val="21"/>
                      <w:highlight w:val="none"/>
                    </w:rPr>
                  </w:pPr>
                  <w:r>
                    <w:rPr>
                      <w:rFonts w:hint="eastAsia"/>
                      <w:color w:val="auto"/>
                      <w:szCs w:val="21"/>
                      <w:highlight w:val="none"/>
                    </w:rPr>
                    <w:t>石油类</w:t>
                  </w:r>
                </w:p>
              </w:tc>
              <w:tc>
                <w:tcPr>
                  <w:tcW w:w="1666" w:type="pct"/>
                  <w:tcBorders>
                    <w:tl2br w:val="nil"/>
                    <w:tr2bl w:val="nil"/>
                  </w:tcBorders>
                  <w:vAlign w:val="center"/>
                </w:tcPr>
                <w:p w14:paraId="3C12AF2E">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textAlignment w:val="auto"/>
                    <w:rPr>
                      <w:color w:val="auto"/>
                      <w:sz w:val="21"/>
                      <w:szCs w:val="21"/>
                      <w:highlight w:val="none"/>
                    </w:rPr>
                  </w:pPr>
                  <w:r>
                    <w:rPr>
                      <w:color w:val="auto"/>
                      <w:sz w:val="21"/>
                      <w:szCs w:val="21"/>
                      <w:highlight w:val="none"/>
                    </w:rPr>
                    <w:t>＜3.29*10</w:t>
                  </w:r>
                  <w:r>
                    <w:rPr>
                      <w:color w:val="auto"/>
                      <w:sz w:val="21"/>
                      <w:szCs w:val="21"/>
                      <w:highlight w:val="none"/>
                      <w:vertAlign w:val="superscript"/>
                    </w:rPr>
                    <w:t>-4</w:t>
                  </w:r>
                </w:p>
              </w:tc>
            </w:tr>
            <w:tr w14:paraId="7932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restart"/>
                  <w:tcBorders>
                    <w:tl2br w:val="nil"/>
                    <w:tr2bl w:val="nil"/>
                  </w:tcBorders>
                  <w:vAlign w:val="center"/>
                </w:tcPr>
                <w:p w14:paraId="6529EDDC">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color w:val="auto"/>
                      <w:sz w:val="21"/>
                      <w:szCs w:val="21"/>
                      <w:highlight w:val="none"/>
                    </w:rPr>
                  </w:pPr>
                  <w:r>
                    <w:rPr>
                      <w:rFonts w:hint="eastAsia"/>
                      <w:color w:val="auto"/>
                      <w:sz w:val="21"/>
                      <w:szCs w:val="21"/>
                      <w:highlight w:val="none"/>
                    </w:rPr>
                    <w:t>固废</w:t>
                  </w:r>
                </w:p>
              </w:tc>
              <w:tc>
                <w:tcPr>
                  <w:tcW w:w="1666" w:type="pct"/>
                  <w:tcBorders>
                    <w:tl2br w:val="nil"/>
                    <w:tr2bl w:val="nil"/>
                  </w:tcBorders>
                  <w:vAlign w:val="center"/>
                </w:tcPr>
                <w:p w14:paraId="14970164">
                  <w:pPr>
                    <w:pStyle w:val="86"/>
                    <w:keepNext w:val="0"/>
                    <w:keepLines w:val="0"/>
                    <w:pageBreakBefore w:val="0"/>
                    <w:suppressLineNumbers w:val="0"/>
                    <w:kinsoku/>
                    <w:wordWrap/>
                    <w:overflowPunct/>
                    <w:topLinePunct w:val="0"/>
                    <w:bidi w:val="0"/>
                    <w:adjustRightInd/>
                    <w:snapToGrid/>
                    <w:spacing w:before="0" w:beforeAutospacing="0" w:after="0" w:afterAutospacing="0"/>
                    <w:ind w:left="0" w:right="0" w:firstLine="0"/>
                    <w:textAlignment w:val="auto"/>
                    <w:rPr>
                      <w:color w:val="auto"/>
                      <w:highlight w:val="none"/>
                    </w:rPr>
                  </w:pPr>
                  <w:r>
                    <w:rPr>
                      <w:rFonts w:hint="eastAsia"/>
                      <w:color w:val="auto"/>
                      <w:highlight w:val="none"/>
                    </w:rPr>
                    <w:t>生活垃圾</w:t>
                  </w:r>
                </w:p>
              </w:tc>
              <w:tc>
                <w:tcPr>
                  <w:tcW w:w="1666" w:type="pct"/>
                  <w:tcBorders>
                    <w:tl2br w:val="nil"/>
                    <w:tr2bl w:val="nil"/>
                  </w:tcBorders>
                  <w:vAlign w:val="center"/>
                </w:tcPr>
                <w:p w14:paraId="001D2576">
                  <w:pPr>
                    <w:pStyle w:val="8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eastAsia="宋体"/>
                      <w:color w:val="auto"/>
                      <w:highlight w:val="none"/>
                      <w:lang w:val="en-US" w:eastAsia="zh-CN"/>
                    </w:rPr>
                  </w:pPr>
                  <w:r>
                    <w:rPr>
                      <w:rFonts w:hint="eastAsia"/>
                      <w:color w:val="auto"/>
                      <w:highlight w:val="none"/>
                      <w:lang w:val="en-US" w:eastAsia="zh-CN"/>
                    </w:rPr>
                    <w:t>0.5</w:t>
                  </w:r>
                </w:p>
              </w:tc>
            </w:tr>
            <w:tr w14:paraId="7064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continue"/>
                  <w:tcBorders>
                    <w:tl2br w:val="nil"/>
                    <w:tr2bl w:val="nil"/>
                  </w:tcBorders>
                  <w:vAlign w:val="center"/>
                </w:tcPr>
                <w:p w14:paraId="61D18E95">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rFonts w:hint="eastAsia"/>
                      <w:color w:val="auto"/>
                      <w:sz w:val="21"/>
                      <w:szCs w:val="21"/>
                      <w:highlight w:val="none"/>
                    </w:rPr>
                  </w:pPr>
                </w:p>
              </w:tc>
              <w:tc>
                <w:tcPr>
                  <w:tcW w:w="1666" w:type="pct"/>
                  <w:tcBorders>
                    <w:tl2br w:val="nil"/>
                    <w:tr2bl w:val="nil"/>
                  </w:tcBorders>
                  <w:vAlign w:val="center"/>
                </w:tcPr>
                <w:p w14:paraId="0D9A523C">
                  <w:pPr>
                    <w:pStyle w:val="86"/>
                    <w:keepNext w:val="0"/>
                    <w:keepLines w:val="0"/>
                    <w:pageBreakBefore w:val="0"/>
                    <w:suppressLineNumbers w:val="0"/>
                    <w:kinsoku/>
                    <w:wordWrap/>
                    <w:overflowPunct/>
                    <w:topLinePunct w:val="0"/>
                    <w:bidi w:val="0"/>
                    <w:adjustRightInd/>
                    <w:snapToGrid/>
                    <w:spacing w:before="0" w:beforeAutospacing="0" w:after="0" w:afterAutospacing="0"/>
                    <w:ind w:left="0" w:right="0" w:firstLine="0"/>
                    <w:textAlignment w:val="auto"/>
                    <w:rPr>
                      <w:rFonts w:hint="eastAsia" w:eastAsia="宋体"/>
                      <w:color w:val="auto"/>
                      <w:highlight w:val="none"/>
                      <w:lang w:val="en-US" w:eastAsia="zh-CN"/>
                    </w:rPr>
                  </w:pPr>
                  <w:r>
                    <w:rPr>
                      <w:rFonts w:hint="eastAsia"/>
                      <w:color w:val="auto"/>
                      <w:highlight w:val="none"/>
                      <w:lang w:val="en-US" w:eastAsia="zh-CN"/>
                    </w:rPr>
                    <w:t>落地石蜡</w:t>
                  </w:r>
                </w:p>
              </w:tc>
              <w:tc>
                <w:tcPr>
                  <w:tcW w:w="1666" w:type="pct"/>
                  <w:tcBorders>
                    <w:tl2br w:val="nil"/>
                    <w:tr2bl w:val="nil"/>
                  </w:tcBorders>
                  <w:vAlign w:val="center"/>
                </w:tcPr>
                <w:p w14:paraId="255109BF">
                  <w:pPr>
                    <w:pStyle w:val="8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color w:val="auto"/>
                      <w:highlight w:val="none"/>
                      <w:lang w:val="en-US" w:eastAsia="zh-CN"/>
                    </w:rPr>
                  </w:pPr>
                  <w:r>
                    <w:rPr>
                      <w:rFonts w:hint="eastAsia"/>
                      <w:color w:val="auto"/>
                      <w:highlight w:val="none"/>
                      <w:lang w:val="en-US" w:eastAsia="zh-CN"/>
                    </w:rPr>
                    <w:t>0.4</w:t>
                  </w:r>
                </w:p>
              </w:tc>
            </w:tr>
            <w:tr w14:paraId="664B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continue"/>
                  <w:tcBorders>
                    <w:tl2br w:val="nil"/>
                    <w:tr2bl w:val="nil"/>
                  </w:tcBorders>
                  <w:vAlign w:val="center"/>
                </w:tcPr>
                <w:p w14:paraId="2A8670D9">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color w:val="auto"/>
                      <w:sz w:val="21"/>
                      <w:szCs w:val="21"/>
                      <w:highlight w:val="none"/>
                    </w:rPr>
                  </w:pPr>
                </w:p>
              </w:tc>
              <w:tc>
                <w:tcPr>
                  <w:tcW w:w="1666" w:type="pct"/>
                  <w:tcBorders>
                    <w:tl2br w:val="nil"/>
                    <w:tr2bl w:val="nil"/>
                  </w:tcBorders>
                  <w:vAlign w:val="center"/>
                </w:tcPr>
                <w:p w14:paraId="280C8EDB">
                  <w:pPr>
                    <w:pStyle w:val="86"/>
                    <w:keepNext w:val="0"/>
                    <w:keepLines w:val="0"/>
                    <w:pageBreakBefore w:val="0"/>
                    <w:suppressLineNumbers w:val="0"/>
                    <w:kinsoku/>
                    <w:wordWrap/>
                    <w:overflowPunct/>
                    <w:topLinePunct w:val="0"/>
                    <w:bidi w:val="0"/>
                    <w:adjustRightInd/>
                    <w:snapToGrid/>
                    <w:spacing w:before="0" w:beforeAutospacing="0" w:after="0" w:afterAutospacing="0"/>
                    <w:ind w:left="0" w:right="0" w:firstLine="0"/>
                    <w:textAlignment w:val="auto"/>
                    <w:rPr>
                      <w:rFonts w:hint="default" w:eastAsia="宋体"/>
                      <w:color w:val="auto"/>
                      <w:highlight w:val="none"/>
                      <w:lang w:val="en-US" w:eastAsia="zh-CN"/>
                    </w:rPr>
                  </w:pPr>
                  <w:r>
                    <w:rPr>
                      <w:rFonts w:hint="eastAsia"/>
                      <w:color w:val="auto"/>
                      <w:highlight w:val="none"/>
                    </w:rPr>
                    <w:t>废过滤网</w:t>
                  </w:r>
                  <w:r>
                    <w:rPr>
                      <w:rFonts w:hint="eastAsia"/>
                      <w:color w:val="auto"/>
                      <w:highlight w:val="none"/>
                      <w:lang w:val="en-US" w:eastAsia="zh-CN"/>
                    </w:rPr>
                    <w:t>及杂质</w:t>
                  </w:r>
                </w:p>
              </w:tc>
              <w:tc>
                <w:tcPr>
                  <w:tcW w:w="1666" w:type="pct"/>
                  <w:tcBorders>
                    <w:tl2br w:val="nil"/>
                    <w:tr2bl w:val="nil"/>
                  </w:tcBorders>
                  <w:vAlign w:val="center"/>
                </w:tcPr>
                <w:p w14:paraId="04D12381">
                  <w:pPr>
                    <w:pStyle w:val="8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eastAsia="宋体"/>
                      <w:color w:val="auto"/>
                      <w:highlight w:val="none"/>
                      <w:lang w:val="en-US" w:eastAsia="zh-CN"/>
                    </w:rPr>
                  </w:pPr>
                  <w:r>
                    <w:rPr>
                      <w:rFonts w:hint="eastAsia"/>
                      <w:color w:val="auto"/>
                      <w:highlight w:val="none"/>
                      <w:lang w:val="en-US" w:eastAsia="zh-CN"/>
                    </w:rPr>
                    <w:t>1.1</w:t>
                  </w:r>
                </w:p>
              </w:tc>
            </w:tr>
            <w:tr w14:paraId="7727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666" w:type="pct"/>
                  <w:vMerge w:val="continue"/>
                  <w:tcBorders>
                    <w:tl2br w:val="nil"/>
                    <w:tr2bl w:val="nil"/>
                  </w:tcBorders>
                  <w:vAlign w:val="center"/>
                </w:tcPr>
                <w:p w14:paraId="160BCD95">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jc w:val="center"/>
                    <w:textAlignment w:val="auto"/>
                    <w:rPr>
                      <w:color w:val="auto"/>
                      <w:sz w:val="21"/>
                      <w:szCs w:val="21"/>
                      <w:highlight w:val="none"/>
                    </w:rPr>
                  </w:pPr>
                </w:p>
              </w:tc>
              <w:tc>
                <w:tcPr>
                  <w:tcW w:w="1666" w:type="pct"/>
                  <w:tcBorders>
                    <w:tl2br w:val="nil"/>
                    <w:tr2bl w:val="nil"/>
                  </w:tcBorders>
                  <w:vAlign w:val="center"/>
                </w:tcPr>
                <w:p w14:paraId="5DDA8074">
                  <w:pPr>
                    <w:pStyle w:val="86"/>
                    <w:keepNext w:val="0"/>
                    <w:keepLines w:val="0"/>
                    <w:pageBreakBefore w:val="0"/>
                    <w:suppressLineNumbers w:val="0"/>
                    <w:kinsoku/>
                    <w:wordWrap/>
                    <w:overflowPunct/>
                    <w:topLinePunct w:val="0"/>
                    <w:bidi w:val="0"/>
                    <w:adjustRightInd/>
                    <w:snapToGrid/>
                    <w:spacing w:before="0" w:beforeAutospacing="0" w:after="0" w:afterAutospacing="0"/>
                    <w:ind w:left="0" w:right="0" w:firstLine="0"/>
                    <w:textAlignment w:val="auto"/>
                    <w:rPr>
                      <w:bCs/>
                      <w:color w:val="auto"/>
                      <w:highlight w:val="none"/>
                    </w:rPr>
                  </w:pPr>
                  <w:r>
                    <w:rPr>
                      <w:rFonts w:hint="eastAsia"/>
                      <w:bCs/>
                      <w:color w:val="auto"/>
                      <w:highlight w:val="none"/>
                    </w:rPr>
                    <w:t>废机油</w:t>
                  </w:r>
                </w:p>
              </w:tc>
              <w:tc>
                <w:tcPr>
                  <w:tcW w:w="1666" w:type="pct"/>
                  <w:tcBorders>
                    <w:tl2br w:val="nil"/>
                    <w:tr2bl w:val="nil"/>
                  </w:tcBorders>
                  <w:vAlign w:val="center"/>
                </w:tcPr>
                <w:p w14:paraId="227ED7BE">
                  <w:pPr>
                    <w:pStyle w:val="8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textAlignment w:val="auto"/>
                    <w:rPr>
                      <w:rFonts w:hint="default" w:eastAsia="宋体"/>
                      <w:color w:val="auto"/>
                      <w:highlight w:val="none"/>
                      <w:lang w:val="en-US" w:eastAsia="zh-CN"/>
                    </w:rPr>
                  </w:pPr>
                  <w:r>
                    <w:rPr>
                      <w:rFonts w:hint="eastAsia"/>
                      <w:color w:val="auto"/>
                      <w:highlight w:val="none"/>
                      <w:lang w:val="en-US" w:eastAsia="zh-CN"/>
                    </w:rPr>
                    <w:t>0.1</w:t>
                  </w:r>
                </w:p>
              </w:tc>
            </w:tr>
          </w:tbl>
          <w:p w14:paraId="400BD8F1">
            <w:pPr>
              <w:pStyle w:val="1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eastAsia"/>
                <w:b/>
                <w:bCs/>
                <w:color w:val="auto"/>
                <w:szCs w:val="24"/>
                <w:highlight w:val="none"/>
                <w:lang w:val="en-US" w:eastAsia="zh-CN"/>
              </w:rPr>
            </w:pPr>
            <w:r>
              <w:rPr>
                <w:rFonts w:hint="eastAsia"/>
                <w:b/>
                <w:bCs/>
                <w:color w:val="auto"/>
                <w:sz w:val="21"/>
                <w:szCs w:val="21"/>
                <w:highlight w:val="none"/>
                <w:lang w:val="en-US" w:eastAsia="zh-CN"/>
              </w:rPr>
              <w:t>注：排放量计算结果根据建设单位2026年第一季度例行检测文件中浓度、风量、运行时间及生产负荷折算后最终结果。</w:t>
            </w:r>
          </w:p>
          <w:p w14:paraId="362713CC">
            <w:pPr>
              <w:pStyle w:val="10"/>
              <w:keepNext w:val="0"/>
              <w:keepLines w:val="0"/>
              <w:suppressLineNumbers w:val="0"/>
              <w:snapToGrid w:val="0"/>
              <w:spacing w:before="0" w:beforeAutospacing="0" w:after="0" w:afterAutospacing="0" w:line="360" w:lineRule="auto"/>
              <w:ind w:right="0"/>
              <w:rPr>
                <w:b/>
                <w:color w:val="auto"/>
                <w:szCs w:val="24"/>
                <w:highlight w:val="none"/>
              </w:rPr>
            </w:pPr>
            <w:r>
              <w:rPr>
                <w:rFonts w:hint="eastAsia"/>
                <w:b/>
                <w:bCs/>
                <w:color w:val="auto"/>
                <w:szCs w:val="24"/>
                <w:highlight w:val="none"/>
                <w:lang w:val="en-US" w:eastAsia="zh-CN"/>
              </w:rPr>
              <w:t>5</w:t>
            </w:r>
            <w:r>
              <w:rPr>
                <w:rFonts w:hint="eastAsia"/>
                <w:b/>
                <w:bCs/>
                <w:color w:val="auto"/>
                <w:szCs w:val="24"/>
                <w:highlight w:val="none"/>
              </w:rPr>
              <w:t>、</w:t>
            </w:r>
            <w:r>
              <w:rPr>
                <w:rFonts w:hint="eastAsia"/>
                <w:b/>
                <w:color w:val="auto"/>
                <w:szCs w:val="24"/>
                <w:highlight w:val="none"/>
              </w:rPr>
              <w:t>原有环境问题及整改措施</w:t>
            </w:r>
          </w:p>
          <w:p w14:paraId="28309F3E">
            <w:pPr>
              <w:keepNext w:val="0"/>
              <w:keepLines w:val="0"/>
              <w:suppressLineNumbers w:val="0"/>
              <w:snapToGrid w:val="0"/>
              <w:spacing w:before="0" w:beforeAutospacing="0" w:after="0" w:afterAutospacing="0" w:line="360" w:lineRule="auto"/>
              <w:ind w:left="0" w:right="0" w:firstLine="480" w:firstLineChars="200"/>
              <w:rPr>
                <w:rFonts w:hint="default" w:eastAsia="宋体"/>
                <w:color w:val="auto"/>
                <w:sz w:val="24"/>
                <w:highlight w:val="none"/>
                <w:lang w:val="en-US" w:eastAsia="zh-CN"/>
              </w:rPr>
            </w:pPr>
            <w:r>
              <w:rPr>
                <w:rFonts w:hint="default" w:ascii="Times New Roman" w:hAnsi="Times New Roman" w:cs="Times New Roman"/>
                <w:bCs/>
                <w:color w:val="auto"/>
                <w:sz w:val="24"/>
                <w:highlight w:val="none"/>
              </w:rPr>
              <w:t>汉圣化工（抚顺）有限公司</w:t>
            </w:r>
            <w:r>
              <w:rPr>
                <w:rFonts w:hint="eastAsia" w:cs="Times New Roman"/>
                <w:bCs/>
                <w:color w:val="auto"/>
                <w:sz w:val="24"/>
                <w:highlight w:val="none"/>
                <w:lang w:val="en-US" w:eastAsia="zh-CN"/>
              </w:rPr>
              <w:t>废气、废水及噪声均可达标排放，无与本项目有关的原有环境问题。</w:t>
            </w:r>
          </w:p>
          <w:p w14:paraId="779B6238">
            <w:pPr>
              <w:pStyle w:val="2"/>
              <w:keepNext w:val="0"/>
              <w:keepLines w:val="0"/>
              <w:suppressLineNumbers w:val="0"/>
              <w:spacing w:before="0" w:beforeAutospacing="0" w:after="0" w:afterAutospacing="0" w:line="360" w:lineRule="auto"/>
              <w:ind w:left="0" w:right="0"/>
              <w:rPr>
                <w:rFonts w:ascii="Times New Roman" w:hAnsi="Times New Roman" w:eastAsia="宋体" w:cs="Times New Roman"/>
                <w:color w:val="auto"/>
                <w:kern w:val="0"/>
                <w:sz w:val="24"/>
                <w:szCs w:val="24"/>
                <w:highlight w:val="none"/>
                <w:lang w:val="en-US" w:eastAsia="zh-CN" w:bidi="ar-SA"/>
              </w:rPr>
            </w:pPr>
          </w:p>
        </w:tc>
      </w:tr>
    </w:tbl>
    <w:p w14:paraId="68DC574D">
      <w:pPr>
        <w:pStyle w:val="25"/>
        <w:jc w:val="both"/>
        <w:outlineLvl w:val="0"/>
        <w:rPr>
          <w:rFonts w:ascii="Times New Roman" w:hAnsi="Times New Roman" w:eastAsia="黑体"/>
          <w:snapToGrid w:val="0"/>
          <w:color w:val="auto"/>
          <w:sz w:val="30"/>
          <w:szCs w:val="30"/>
          <w:highlight w:val="none"/>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0722A142">
      <w:pPr>
        <w:pStyle w:val="25"/>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三、区域环境质量现状、环境保护目标及评价标准</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8224"/>
      </w:tblGrid>
      <w:tr w14:paraId="176B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6" w:hRule="atLeast"/>
          <w:jc w:val="center"/>
        </w:trPr>
        <w:tc>
          <w:tcPr>
            <w:tcW w:w="462" w:type="pct"/>
            <w:tcBorders>
              <w:tl2br w:val="nil"/>
              <w:tr2bl w:val="nil"/>
            </w:tcBorders>
            <w:vAlign w:val="center"/>
          </w:tcPr>
          <w:p w14:paraId="571FA578">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区域</w:t>
            </w:r>
          </w:p>
          <w:p w14:paraId="55763BBD">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环境</w:t>
            </w:r>
          </w:p>
          <w:p w14:paraId="692C02E7">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质量</w:t>
            </w:r>
          </w:p>
          <w:p w14:paraId="3A7E9179">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现状</w:t>
            </w:r>
          </w:p>
        </w:tc>
        <w:tc>
          <w:tcPr>
            <w:tcW w:w="4537" w:type="pct"/>
            <w:tcBorders>
              <w:tl2br w:val="nil"/>
              <w:tr2bl w:val="nil"/>
            </w:tcBorders>
            <w:vAlign w:val="center"/>
          </w:tcPr>
          <w:p w14:paraId="37A871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1、大气环境质量现状</w:t>
            </w:r>
          </w:p>
          <w:p w14:paraId="3CB2C6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（1）常规污染物</w:t>
            </w:r>
          </w:p>
          <w:p w14:paraId="649B23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根据《环境影响评价技术导则-大气环境》（HJ2 .2-2018）规定，本项目所在区域环境空气质量现状优先采用国家或地方生态环境主管部门公开发布的评价年环境质量公报或环境质量报告中的数据或结论，根据《抚顺市环境质量报告书》（2024年），抚顺市环境空气中基本污染物统计结果见下表。</w:t>
            </w:r>
          </w:p>
          <w:p w14:paraId="521C34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kern w:val="2"/>
                <w:sz w:val="24"/>
                <w:szCs w:val="24"/>
                <w:highlight w:val="none"/>
                <w:lang w:val="en-US" w:eastAsia="zh-CN" w:bidi="ar-SA"/>
              </w:rPr>
              <w:t>表</w:t>
            </w:r>
            <w:r>
              <w:rPr>
                <w:rFonts w:hint="eastAsia" w:ascii="Times New Roman" w:hAnsi="Times New Roman" w:eastAsia="宋体" w:cs="Times New Roman"/>
                <w:color w:val="auto"/>
                <w:kern w:val="2"/>
                <w:sz w:val="24"/>
                <w:szCs w:val="24"/>
                <w:highlight w:val="none"/>
                <w:lang w:val="en-US" w:eastAsia="zh-CN" w:bidi="ar-SA"/>
              </w:rPr>
              <w:t>3-1</w:t>
            </w:r>
            <w:r>
              <w:rPr>
                <w:rFonts w:ascii="Times New Roman" w:hAnsi="Times New Roman" w:eastAsia="宋体" w:cs="Times New Roman"/>
                <w:color w:val="auto"/>
                <w:kern w:val="2"/>
                <w:sz w:val="24"/>
                <w:szCs w:val="24"/>
                <w:highlight w:val="none"/>
                <w:lang w:val="en-US" w:eastAsia="zh-CN" w:bidi="ar-SA"/>
              </w:rPr>
              <w:t xml:space="preserve"> </w:t>
            </w:r>
            <w:r>
              <w:rPr>
                <w:rFonts w:hint="eastAsia" w:ascii="Times New Roman" w:hAnsi="Times New Roman" w:eastAsia="宋体" w:cs="Times New Roman"/>
                <w:color w:val="auto"/>
                <w:kern w:val="2"/>
                <w:sz w:val="24"/>
                <w:szCs w:val="24"/>
                <w:highlight w:val="none"/>
                <w:lang w:val="en-US" w:eastAsia="zh-CN" w:bidi="ar-SA"/>
              </w:rPr>
              <w:t xml:space="preserve">  </w:t>
            </w:r>
            <w:r>
              <w:rPr>
                <w:rFonts w:ascii="Times New Roman" w:hAnsi="Times New Roman" w:eastAsia="宋体" w:cs="Times New Roman"/>
                <w:color w:val="auto"/>
                <w:kern w:val="2"/>
                <w:sz w:val="24"/>
                <w:szCs w:val="24"/>
                <w:highlight w:val="none"/>
                <w:lang w:val="en-US" w:eastAsia="zh-CN" w:bidi="ar-SA"/>
              </w:rPr>
              <w:t>抚顺市环境空气质量现状评价表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3237"/>
              <w:gridCol w:w="1240"/>
              <w:gridCol w:w="1320"/>
              <w:gridCol w:w="1229"/>
            </w:tblGrid>
            <w:tr w14:paraId="3E41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pct"/>
                  <w:tcBorders>
                    <w:tl2br w:val="nil"/>
                    <w:tr2bl w:val="nil"/>
                  </w:tcBorders>
                  <w:vAlign w:val="center"/>
                </w:tcPr>
                <w:p w14:paraId="6FC899FB">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污染物</w:t>
                  </w:r>
                </w:p>
              </w:tc>
              <w:tc>
                <w:tcPr>
                  <w:tcW w:w="2023" w:type="pct"/>
                  <w:tcBorders>
                    <w:tl2br w:val="nil"/>
                    <w:tr2bl w:val="nil"/>
                  </w:tcBorders>
                  <w:vAlign w:val="center"/>
                </w:tcPr>
                <w:p w14:paraId="2F77DA93">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评价指标</w:t>
                  </w:r>
                </w:p>
              </w:tc>
              <w:tc>
                <w:tcPr>
                  <w:tcW w:w="775" w:type="pct"/>
                  <w:tcBorders>
                    <w:tl2br w:val="nil"/>
                    <w:tr2bl w:val="nil"/>
                  </w:tcBorders>
                  <w:vAlign w:val="center"/>
                </w:tcPr>
                <w:p w14:paraId="241EA83A">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现状浓度</w:t>
                  </w:r>
                </w:p>
              </w:tc>
              <w:tc>
                <w:tcPr>
                  <w:tcW w:w="825" w:type="pct"/>
                  <w:tcBorders>
                    <w:tl2br w:val="nil"/>
                    <w:tr2bl w:val="nil"/>
                  </w:tcBorders>
                  <w:vAlign w:val="center"/>
                </w:tcPr>
                <w:p w14:paraId="74C6F068">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标准值</w:t>
                  </w:r>
                </w:p>
              </w:tc>
              <w:tc>
                <w:tcPr>
                  <w:tcW w:w="768" w:type="pct"/>
                  <w:tcBorders>
                    <w:tl2br w:val="nil"/>
                    <w:tr2bl w:val="nil"/>
                  </w:tcBorders>
                  <w:vAlign w:val="center"/>
                </w:tcPr>
                <w:p w14:paraId="294C2948">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达标情况</w:t>
                  </w:r>
                </w:p>
              </w:tc>
            </w:tr>
            <w:tr w14:paraId="6A75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pct"/>
                  <w:tcBorders>
                    <w:tl2br w:val="nil"/>
                    <w:tr2bl w:val="nil"/>
                  </w:tcBorders>
                  <w:vAlign w:val="center"/>
                </w:tcPr>
                <w:p w14:paraId="6AC28E3F">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PM</w:t>
                  </w:r>
                  <w:r>
                    <w:rPr>
                      <w:rFonts w:ascii="Times New Roman" w:hAnsi="Times New Roman" w:eastAsia="宋体" w:cs="Times New Roman"/>
                      <w:color w:val="auto"/>
                      <w:highlight w:val="none"/>
                      <w:vertAlign w:val="subscript"/>
                    </w:rPr>
                    <w:t>2.5</w:t>
                  </w:r>
                </w:p>
              </w:tc>
              <w:tc>
                <w:tcPr>
                  <w:tcW w:w="2023" w:type="pct"/>
                  <w:tcBorders>
                    <w:tl2br w:val="nil"/>
                    <w:tr2bl w:val="nil"/>
                  </w:tcBorders>
                  <w:vAlign w:val="center"/>
                </w:tcPr>
                <w:p w14:paraId="5AF3ECFA">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年平均质量浓度</w:t>
                  </w:r>
                </w:p>
              </w:tc>
              <w:tc>
                <w:tcPr>
                  <w:tcW w:w="775" w:type="pct"/>
                  <w:tcBorders>
                    <w:tl2br w:val="nil"/>
                    <w:tr2bl w:val="nil"/>
                  </w:tcBorders>
                  <w:vAlign w:val="center"/>
                </w:tcPr>
                <w:p w14:paraId="030BFD5C">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34</w:t>
                  </w:r>
                  <w:r>
                    <w:rPr>
                      <w:rFonts w:ascii="Times New Roman" w:hAnsi="Times New Roman" w:eastAsia="宋体" w:cs="Times New Roman"/>
                      <w:color w:val="auto"/>
                      <w:highlight w:val="none"/>
                    </w:rPr>
                    <w:t>ug/m</w:t>
                  </w:r>
                  <w:r>
                    <w:rPr>
                      <w:rFonts w:ascii="Times New Roman" w:hAnsi="Times New Roman" w:eastAsia="宋体" w:cs="Times New Roman"/>
                      <w:color w:val="auto"/>
                      <w:highlight w:val="none"/>
                      <w:vertAlign w:val="superscript"/>
                    </w:rPr>
                    <w:t>3</w:t>
                  </w:r>
                </w:p>
              </w:tc>
              <w:tc>
                <w:tcPr>
                  <w:tcW w:w="825" w:type="pct"/>
                  <w:tcBorders>
                    <w:tl2br w:val="nil"/>
                    <w:tr2bl w:val="nil"/>
                  </w:tcBorders>
                  <w:vAlign w:val="center"/>
                </w:tcPr>
                <w:p w14:paraId="6089AF20">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hint="eastAsia" w:cs="Times New Roman"/>
                      <w:color w:val="auto"/>
                      <w:highlight w:val="none"/>
                      <w:lang w:val="en-US" w:eastAsia="zh-CN"/>
                    </w:rPr>
                    <w:t>30</w:t>
                  </w:r>
                  <w:r>
                    <w:rPr>
                      <w:rFonts w:ascii="Times New Roman" w:hAnsi="Times New Roman" w:eastAsia="宋体" w:cs="Times New Roman"/>
                      <w:color w:val="auto"/>
                      <w:highlight w:val="none"/>
                    </w:rPr>
                    <w:t>ug/m</w:t>
                  </w:r>
                  <w:r>
                    <w:rPr>
                      <w:rFonts w:ascii="Times New Roman" w:hAnsi="Times New Roman" w:eastAsia="宋体" w:cs="Times New Roman"/>
                      <w:color w:val="auto"/>
                      <w:highlight w:val="none"/>
                      <w:vertAlign w:val="superscript"/>
                    </w:rPr>
                    <w:t>3</w:t>
                  </w:r>
                </w:p>
              </w:tc>
              <w:tc>
                <w:tcPr>
                  <w:tcW w:w="768" w:type="pct"/>
                  <w:tcBorders>
                    <w:tl2br w:val="nil"/>
                    <w:tr2bl w:val="nil"/>
                  </w:tcBorders>
                  <w:vAlign w:val="center"/>
                </w:tcPr>
                <w:p w14:paraId="653C697D">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超标</w:t>
                  </w:r>
                </w:p>
              </w:tc>
            </w:tr>
            <w:tr w14:paraId="4DC1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pct"/>
                  <w:tcBorders>
                    <w:tl2br w:val="nil"/>
                    <w:tr2bl w:val="nil"/>
                  </w:tcBorders>
                  <w:vAlign w:val="center"/>
                </w:tcPr>
                <w:p w14:paraId="79AAB712">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PM</w:t>
                  </w:r>
                  <w:r>
                    <w:rPr>
                      <w:rFonts w:ascii="Times New Roman" w:hAnsi="Times New Roman" w:eastAsia="宋体" w:cs="Times New Roman"/>
                      <w:color w:val="auto"/>
                      <w:highlight w:val="none"/>
                      <w:vertAlign w:val="subscript"/>
                    </w:rPr>
                    <w:t>10</w:t>
                  </w:r>
                </w:p>
              </w:tc>
              <w:tc>
                <w:tcPr>
                  <w:tcW w:w="2023" w:type="pct"/>
                  <w:tcBorders>
                    <w:tl2br w:val="nil"/>
                    <w:tr2bl w:val="nil"/>
                  </w:tcBorders>
                  <w:vAlign w:val="center"/>
                </w:tcPr>
                <w:p w14:paraId="0C42B760">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年平均质量浓度</w:t>
                  </w:r>
                </w:p>
              </w:tc>
              <w:tc>
                <w:tcPr>
                  <w:tcW w:w="775" w:type="pct"/>
                  <w:tcBorders>
                    <w:tl2br w:val="nil"/>
                    <w:tr2bl w:val="nil"/>
                  </w:tcBorders>
                  <w:vAlign w:val="center"/>
                </w:tcPr>
                <w:p w14:paraId="5C7D67FE">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58</w:t>
                  </w:r>
                  <w:r>
                    <w:rPr>
                      <w:rFonts w:ascii="Times New Roman" w:hAnsi="Times New Roman" w:eastAsia="宋体" w:cs="Times New Roman"/>
                      <w:color w:val="auto"/>
                      <w:highlight w:val="none"/>
                    </w:rPr>
                    <w:t>ug/m</w:t>
                  </w:r>
                  <w:r>
                    <w:rPr>
                      <w:rFonts w:ascii="Times New Roman" w:hAnsi="Times New Roman" w:eastAsia="宋体" w:cs="Times New Roman"/>
                      <w:color w:val="auto"/>
                      <w:highlight w:val="none"/>
                      <w:vertAlign w:val="superscript"/>
                    </w:rPr>
                    <w:t>3</w:t>
                  </w:r>
                </w:p>
              </w:tc>
              <w:tc>
                <w:tcPr>
                  <w:tcW w:w="825" w:type="pct"/>
                  <w:tcBorders>
                    <w:tl2br w:val="nil"/>
                    <w:tr2bl w:val="nil"/>
                  </w:tcBorders>
                  <w:vAlign w:val="center"/>
                </w:tcPr>
                <w:p w14:paraId="666CF49B">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hint="eastAsia" w:cs="Times New Roman"/>
                      <w:color w:val="auto"/>
                      <w:highlight w:val="none"/>
                      <w:lang w:val="en-US" w:eastAsia="zh-CN"/>
                    </w:rPr>
                    <w:t>60</w:t>
                  </w:r>
                  <w:r>
                    <w:rPr>
                      <w:rFonts w:ascii="Times New Roman" w:hAnsi="Times New Roman" w:eastAsia="宋体" w:cs="Times New Roman"/>
                      <w:color w:val="auto"/>
                      <w:highlight w:val="none"/>
                    </w:rPr>
                    <w:t>ug/m</w:t>
                  </w:r>
                  <w:r>
                    <w:rPr>
                      <w:rFonts w:ascii="Times New Roman" w:hAnsi="Times New Roman" w:eastAsia="宋体" w:cs="Times New Roman"/>
                      <w:color w:val="auto"/>
                      <w:highlight w:val="none"/>
                      <w:vertAlign w:val="superscript"/>
                    </w:rPr>
                    <w:t>3</w:t>
                  </w:r>
                </w:p>
              </w:tc>
              <w:tc>
                <w:tcPr>
                  <w:tcW w:w="768" w:type="pct"/>
                  <w:tcBorders>
                    <w:tl2br w:val="nil"/>
                    <w:tr2bl w:val="nil"/>
                  </w:tcBorders>
                  <w:vAlign w:val="center"/>
                </w:tcPr>
                <w:p w14:paraId="2446FC4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达标</w:t>
                  </w:r>
                </w:p>
              </w:tc>
            </w:tr>
            <w:tr w14:paraId="5DBA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pct"/>
                  <w:tcBorders>
                    <w:tl2br w:val="nil"/>
                    <w:tr2bl w:val="nil"/>
                  </w:tcBorders>
                  <w:vAlign w:val="center"/>
                </w:tcPr>
                <w:p w14:paraId="0925614A">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SO</w:t>
                  </w:r>
                  <w:r>
                    <w:rPr>
                      <w:rFonts w:ascii="Times New Roman" w:hAnsi="Times New Roman" w:eastAsia="宋体" w:cs="Times New Roman"/>
                      <w:color w:val="auto"/>
                      <w:highlight w:val="none"/>
                      <w:vertAlign w:val="subscript"/>
                    </w:rPr>
                    <w:t>2</w:t>
                  </w:r>
                </w:p>
              </w:tc>
              <w:tc>
                <w:tcPr>
                  <w:tcW w:w="2023" w:type="pct"/>
                  <w:tcBorders>
                    <w:tl2br w:val="nil"/>
                    <w:tr2bl w:val="nil"/>
                  </w:tcBorders>
                  <w:vAlign w:val="center"/>
                </w:tcPr>
                <w:p w14:paraId="054D3974">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年平均质量浓度</w:t>
                  </w:r>
                </w:p>
              </w:tc>
              <w:tc>
                <w:tcPr>
                  <w:tcW w:w="775" w:type="pct"/>
                  <w:tcBorders>
                    <w:tl2br w:val="nil"/>
                    <w:tr2bl w:val="nil"/>
                  </w:tcBorders>
                  <w:vAlign w:val="center"/>
                </w:tcPr>
                <w:p w14:paraId="4205AB75">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8</w:t>
                  </w:r>
                  <w:r>
                    <w:rPr>
                      <w:rFonts w:ascii="Times New Roman" w:hAnsi="Times New Roman" w:eastAsia="宋体" w:cs="Times New Roman"/>
                      <w:color w:val="auto"/>
                      <w:highlight w:val="none"/>
                    </w:rPr>
                    <w:t>ug/m</w:t>
                  </w:r>
                  <w:r>
                    <w:rPr>
                      <w:rFonts w:ascii="Times New Roman" w:hAnsi="Times New Roman" w:eastAsia="宋体" w:cs="Times New Roman"/>
                      <w:color w:val="auto"/>
                      <w:highlight w:val="none"/>
                      <w:vertAlign w:val="superscript"/>
                    </w:rPr>
                    <w:t>3</w:t>
                  </w:r>
                </w:p>
              </w:tc>
              <w:tc>
                <w:tcPr>
                  <w:tcW w:w="825" w:type="pct"/>
                  <w:tcBorders>
                    <w:tl2br w:val="nil"/>
                    <w:tr2bl w:val="nil"/>
                  </w:tcBorders>
                  <w:vAlign w:val="center"/>
                </w:tcPr>
                <w:p w14:paraId="73CAFB62">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60ug/m</w:t>
                  </w:r>
                  <w:r>
                    <w:rPr>
                      <w:rFonts w:ascii="Times New Roman" w:hAnsi="Times New Roman" w:eastAsia="宋体" w:cs="Times New Roman"/>
                      <w:color w:val="auto"/>
                      <w:highlight w:val="none"/>
                      <w:vertAlign w:val="superscript"/>
                    </w:rPr>
                    <w:t>3</w:t>
                  </w:r>
                </w:p>
              </w:tc>
              <w:tc>
                <w:tcPr>
                  <w:tcW w:w="768" w:type="pct"/>
                  <w:tcBorders>
                    <w:tl2br w:val="nil"/>
                    <w:tr2bl w:val="nil"/>
                  </w:tcBorders>
                  <w:vAlign w:val="center"/>
                </w:tcPr>
                <w:p w14:paraId="2D1C74B2">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达标</w:t>
                  </w:r>
                </w:p>
              </w:tc>
            </w:tr>
            <w:tr w14:paraId="455B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pct"/>
                  <w:tcBorders>
                    <w:tl2br w:val="nil"/>
                    <w:tr2bl w:val="nil"/>
                  </w:tcBorders>
                  <w:vAlign w:val="center"/>
                </w:tcPr>
                <w:p w14:paraId="67C68299">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NO</w:t>
                  </w:r>
                  <w:r>
                    <w:rPr>
                      <w:rFonts w:ascii="Times New Roman" w:hAnsi="Times New Roman" w:eastAsia="宋体" w:cs="Times New Roman"/>
                      <w:color w:val="auto"/>
                      <w:highlight w:val="none"/>
                      <w:vertAlign w:val="subscript"/>
                    </w:rPr>
                    <w:t>2</w:t>
                  </w:r>
                </w:p>
              </w:tc>
              <w:tc>
                <w:tcPr>
                  <w:tcW w:w="2023" w:type="pct"/>
                  <w:tcBorders>
                    <w:tl2br w:val="nil"/>
                    <w:tr2bl w:val="nil"/>
                  </w:tcBorders>
                  <w:vAlign w:val="center"/>
                </w:tcPr>
                <w:p w14:paraId="03944539">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年平均质量浓度</w:t>
                  </w:r>
                </w:p>
              </w:tc>
              <w:tc>
                <w:tcPr>
                  <w:tcW w:w="775" w:type="pct"/>
                  <w:tcBorders>
                    <w:tl2br w:val="nil"/>
                    <w:tr2bl w:val="nil"/>
                  </w:tcBorders>
                  <w:vAlign w:val="center"/>
                </w:tcPr>
                <w:p w14:paraId="4D872FBF">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24ug/m</w:t>
                  </w:r>
                  <w:r>
                    <w:rPr>
                      <w:rFonts w:ascii="Times New Roman" w:hAnsi="Times New Roman" w:eastAsia="宋体" w:cs="Times New Roman"/>
                      <w:color w:val="auto"/>
                      <w:highlight w:val="none"/>
                      <w:vertAlign w:val="superscript"/>
                    </w:rPr>
                    <w:t>3</w:t>
                  </w:r>
                </w:p>
              </w:tc>
              <w:tc>
                <w:tcPr>
                  <w:tcW w:w="825" w:type="pct"/>
                  <w:tcBorders>
                    <w:tl2br w:val="nil"/>
                    <w:tr2bl w:val="nil"/>
                  </w:tcBorders>
                  <w:vAlign w:val="center"/>
                </w:tcPr>
                <w:p w14:paraId="2FA1CBDC">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40ug/m</w:t>
                  </w:r>
                  <w:r>
                    <w:rPr>
                      <w:rFonts w:ascii="Times New Roman" w:hAnsi="Times New Roman" w:eastAsia="宋体" w:cs="Times New Roman"/>
                      <w:color w:val="auto"/>
                      <w:highlight w:val="none"/>
                      <w:vertAlign w:val="superscript"/>
                    </w:rPr>
                    <w:t>3</w:t>
                  </w:r>
                </w:p>
              </w:tc>
              <w:tc>
                <w:tcPr>
                  <w:tcW w:w="768" w:type="pct"/>
                  <w:tcBorders>
                    <w:tl2br w:val="nil"/>
                    <w:tr2bl w:val="nil"/>
                  </w:tcBorders>
                  <w:vAlign w:val="center"/>
                </w:tcPr>
                <w:p w14:paraId="589503C9">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达标</w:t>
                  </w:r>
                </w:p>
              </w:tc>
            </w:tr>
            <w:tr w14:paraId="6044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pct"/>
                  <w:tcBorders>
                    <w:tl2br w:val="nil"/>
                    <w:tr2bl w:val="nil"/>
                  </w:tcBorders>
                  <w:vAlign w:val="center"/>
                </w:tcPr>
                <w:p w14:paraId="3D8EA24C">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CO</w:t>
                  </w:r>
                </w:p>
              </w:tc>
              <w:tc>
                <w:tcPr>
                  <w:tcW w:w="2023" w:type="pct"/>
                  <w:tcBorders>
                    <w:tl2br w:val="nil"/>
                    <w:tr2bl w:val="nil"/>
                  </w:tcBorders>
                  <w:vAlign w:val="center"/>
                </w:tcPr>
                <w:p w14:paraId="122C1977">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24小时平均第95百分位数</w:t>
                  </w:r>
                </w:p>
              </w:tc>
              <w:tc>
                <w:tcPr>
                  <w:tcW w:w="775" w:type="pct"/>
                  <w:tcBorders>
                    <w:tl2br w:val="nil"/>
                    <w:tr2bl w:val="nil"/>
                  </w:tcBorders>
                  <w:vAlign w:val="center"/>
                </w:tcPr>
                <w:p w14:paraId="5E8AA1E4">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2</w:t>
                  </w:r>
                  <w:r>
                    <w:rPr>
                      <w:rFonts w:ascii="Times New Roman" w:hAnsi="Times New Roman" w:eastAsia="宋体" w:cs="Times New Roman"/>
                      <w:color w:val="auto"/>
                      <w:highlight w:val="none"/>
                    </w:rPr>
                    <w:t>mg/m</w:t>
                  </w:r>
                  <w:r>
                    <w:rPr>
                      <w:rFonts w:ascii="Times New Roman" w:hAnsi="Times New Roman" w:eastAsia="宋体" w:cs="Times New Roman"/>
                      <w:color w:val="auto"/>
                      <w:highlight w:val="none"/>
                      <w:vertAlign w:val="superscript"/>
                    </w:rPr>
                    <w:t>3</w:t>
                  </w:r>
                </w:p>
              </w:tc>
              <w:tc>
                <w:tcPr>
                  <w:tcW w:w="825" w:type="pct"/>
                  <w:tcBorders>
                    <w:tl2br w:val="nil"/>
                    <w:tr2bl w:val="nil"/>
                  </w:tcBorders>
                  <w:vAlign w:val="center"/>
                </w:tcPr>
                <w:p w14:paraId="0FB48EEE">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4mg/m</w:t>
                  </w:r>
                  <w:r>
                    <w:rPr>
                      <w:rFonts w:ascii="Times New Roman" w:hAnsi="Times New Roman" w:eastAsia="宋体" w:cs="Times New Roman"/>
                      <w:color w:val="auto"/>
                      <w:highlight w:val="none"/>
                      <w:vertAlign w:val="superscript"/>
                    </w:rPr>
                    <w:t>3</w:t>
                  </w:r>
                </w:p>
              </w:tc>
              <w:tc>
                <w:tcPr>
                  <w:tcW w:w="768" w:type="pct"/>
                  <w:tcBorders>
                    <w:tl2br w:val="nil"/>
                    <w:tr2bl w:val="nil"/>
                  </w:tcBorders>
                  <w:vAlign w:val="center"/>
                </w:tcPr>
                <w:p w14:paraId="01B1E883">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达标</w:t>
                  </w:r>
                </w:p>
              </w:tc>
            </w:tr>
            <w:tr w14:paraId="4616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6" w:type="pct"/>
                  <w:tcBorders>
                    <w:tl2br w:val="nil"/>
                    <w:tr2bl w:val="nil"/>
                  </w:tcBorders>
                  <w:vAlign w:val="center"/>
                </w:tcPr>
                <w:p w14:paraId="0BCB0BED">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O</w:t>
                  </w:r>
                  <w:r>
                    <w:rPr>
                      <w:rFonts w:ascii="Times New Roman" w:hAnsi="Times New Roman" w:eastAsia="宋体" w:cs="Times New Roman"/>
                      <w:color w:val="auto"/>
                      <w:highlight w:val="none"/>
                      <w:vertAlign w:val="subscript"/>
                    </w:rPr>
                    <w:t>3</w:t>
                  </w:r>
                </w:p>
              </w:tc>
              <w:tc>
                <w:tcPr>
                  <w:tcW w:w="2023" w:type="pct"/>
                  <w:tcBorders>
                    <w:tl2br w:val="nil"/>
                    <w:tr2bl w:val="nil"/>
                  </w:tcBorders>
                  <w:vAlign w:val="center"/>
                </w:tcPr>
                <w:p w14:paraId="21703BED">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日最大8小时平均第90百分位数</w:t>
                  </w:r>
                </w:p>
              </w:tc>
              <w:tc>
                <w:tcPr>
                  <w:tcW w:w="775" w:type="pct"/>
                  <w:tcBorders>
                    <w:tl2br w:val="nil"/>
                    <w:tr2bl w:val="nil"/>
                  </w:tcBorders>
                  <w:vAlign w:val="center"/>
                </w:tcPr>
                <w:p w14:paraId="1A24BA09">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5</w:t>
                  </w:r>
                  <w:r>
                    <w:rPr>
                      <w:rFonts w:hint="eastAsia" w:ascii="Times New Roman" w:hAnsi="Times New Roman" w:eastAsia="宋体" w:cs="Times New Roman"/>
                      <w:color w:val="auto"/>
                      <w:highlight w:val="none"/>
                      <w:lang w:val="en-US" w:eastAsia="zh-CN"/>
                    </w:rPr>
                    <w:t>0</w:t>
                  </w:r>
                  <w:r>
                    <w:rPr>
                      <w:rFonts w:ascii="Times New Roman" w:hAnsi="Times New Roman" w:eastAsia="宋体" w:cs="Times New Roman"/>
                      <w:color w:val="auto"/>
                      <w:highlight w:val="none"/>
                    </w:rPr>
                    <w:t>ug/m</w:t>
                  </w:r>
                  <w:r>
                    <w:rPr>
                      <w:rFonts w:ascii="Times New Roman" w:hAnsi="Times New Roman" w:eastAsia="宋体" w:cs="Times New Roman"/>
                      <w:color w:val="auto"/>
                      <w:highlight w:val="none"/>
                      <w:vertAlign w:val="superscript"/>
                    </w:rPr>
                    <w:t>3</w:t>
                  </w:r>
                </w:p>
              </w:tc>
              <w:tc>
                <w:tcPr>
                  <w:tcW w:w="825" w:type="pct"/>
                  <w:tcBorders>
                    <w:tl2br w:val="nil"/>
                    <w:tr2bl w:val="nil"/>
                  </w:tcBorders>
                  <w:vAlign w:val="center"/>
                </w:tcPr>
                <w:p w14:paraId="207301CB">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160ug/m</w:t>
                  </w:r>
                  <w:r>
                    <w:rPr>
                      <w:rFonts w:ascii="Times New Roman" w:hAnsi="Times New Roman" w:eastAsia="宋体" w:cs="Times New Roman"/>
                      <w:color w:val="auto"/>
                      <w:highlight w:val="none"/>
                      <w:vertAlign w:val="superscript"/>
                    </w:rPr>
                    <w:t>3</w:t>
                  </w:r>
                </w:p>
              </w:tc>
              <w:tc>
                <w:tcPr>
                  <w:tcW w:w="768" w:type="pct"/>
                  <w:tcBorders>
                    <w:tl2br w:val="nil"/>
                    <w:tr2bl w:val="nil"/>
                  </w:tcBorders>
                  <w:vAlign w:val="center"/>
                </w:tcPr>
                <w:p w14:paraId="52F4F7A0">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达标</w:t>
                  </w:r>
                </w:p>
              </w:tc>
            </w:tr>
          </w:tbl>
          <w:p w14:paraId="2B4F6C03">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kern w:val="0"/>
                <w:sz w:val="24"/>
                <w:szCs w:val="24"/>
                <w:highlight w:val="none"/>
              </w:rPr>
            </w:pPr>
            <w:r>
              <w:rPr>
                <w:color w:val="auto"/>
                <w:kern w:val="0"/>
                <w:sz w:val="24"/>
                <w:szCs w:val="24"/>
                <w:highlight w:val="none"/>
              </w:rPr>
              <w:t>从上表可知，建设项目所在区域环境空气污染物</w:t>
            </w:r>
            <w:r>
              <w:rPr>
                <w:rFonts w:hint="eastAsia"/>
                <w:color w:val="auto"/>
                <w:kern w:val="0"/>
                <w:sz w:val="24"/>
                <w:szCs w:val="24"/>
                <w:highlight w:val="none"/>
              </w:rPr>
              <w:t>除PM</w:t>
            </w:r>
            <w:r>
              <w:rPr>
                <w:rFonts w:hint="eastAsia"/>
                <w:color w:val="auto"/>
                <w:kern w:val="0"/>
                <w:sz w:val="24"/>
                <w:szCs w:val="24"/>
                <w:highlight w:val="none"/>
                <w:vertAlign w:val="subscript"/>
              </w:rPr>
              <w:t>2.5</w:t>
            </w:r>
            <w:r>
              <w:rPr>
                <w:rFonts w:hint="eastAsia"/>
                <w:color w:val="auto"/>
                <w:kern w:val="0"/>
                <w:sz w:val="24"/>
                <w:szCs w:val="24"/>
                <w:highlight w:val="none"/>
              </w:rPr>
              <w:t>外，其余</w:t>
            </w:r>
            <w:r>
              <w:rPr>
                <w:color w:val="auto"/>
                <w:kern w:val="0"/>
                <w:sz w:val="24"/>
                <w:szCs w:val="24"/>
                <w:highlight w:val="none"/>
              </w:rPr>
              <w:t>均满足《环境空气质量标准》（GB3095-20</w:t>
            </w:r>
            <w:r>
              <w:rPr>
                <w:rFonts w:hint="eastAsia"/>
                <w:color w:val="auto"/>
                <w:kern w:val="0"/>
                <w:sz w:val="24"/>
                <w:szCs w:val="24"/>
                <w:highlight w:val="none"/>
              </w:rPr>
              <w:t>26</w:t>
            </w:r>
            <w:r>
              <w:rPr>
                <w:color w:val="auto"/>
                <w:kern w:val="0"/>
                <w:sz w:val="24"/>
                <w:szCs w:val="24"/>
                <w:highlight w:val="none"/>
              </w:rPr>
              <w:t>）中的二级标准</w:t>
            </w:r>
            <w:r>
              <w:rPr>
                <w:rFonts w:hint="eastAsia"/>
                <w:color w:val="auto"/>
                <w:kern w:val="0"/>
                <w:sz w:val="24"/>
                <w:szCs w:val="24"/>
                <w:highlight w:val="none"/>
              </w:rPr>
              <w:t>（过渡阶段浓度限值）</w:t>
            </w:r>
            <w:r>
              <w:rPr>
                <w:color w:val="auto"/>
                <w:kern w:val="0"/>
                <w:sz w:val="24"/>
                <w:szCs w:val="24"/>
                <w:highlight w:val="none"/>
              </w:rPr>
              <w:t>要求。</w:t>
            </w:r>
          </w:p>
          <w:p w14:paraId="368513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color w:val="auto"/>
                <w:kern w:val="0"/>
                <w:sz w:val="24"/>
                <w:szCs w:val="24"/>
              </w:rPr>
            </w:pPr>
            <w:r>
              <w:rPr>
                <w:rFonts w:hint="eastAsia"/>
                <w:color w:val="auto"/>
                <w:kern w:val="0"/>
                <w:sz w:val="24"/>
                <w:szCs w:val="24"/>
                <w:lang w:val="en-US" w:eastAsia="zh-CN"/>
              </w:rPr>
              <w:t>抚顺市已发布</w:t>
            </w:r>
            <w:r>
              <w:rPr>
                <w:rFonts w:hint="eastAsia"/>
                <w:color w:val="auto"/>
                <w:kern w:val="0"/>
                <w:sz w:val="24"/>
                <w:szCs w:val="24"/>
              </w:rPr>
              <w:t>《抚顺市空气质量持续改善行动实施方案》</w:t>
            </w:r>
            <w:r>
              <w:rPr>
                <w:rFonts w:hint="eastAsia"/>
                <w:color w:val="auto"/>
                <w:kern w:val="0"/>
                <w:sz w:val="24"/>
                <w:szCs w:val="24"/>
                <w:lang w:eastAsia="zh-CN"/>
              </w:rPr>
              <w:t>，</w:t>
            </w:r>
            <w:r>
              <w:rPr>
                <w:rFonts w:hint="eastAsia"/>
                <w:color w:val="auto"/>
                <w:kern w:val="0"/>
                <w:sz w:val="24"/>
                <w:szCs w:val="24"/>
                <w:lang w:val="en-US" w:eastAsia="zh-CN"/>
              </w:rPr>
              <w:t>该方案</w:t>
            </w:r>
            <w:r>
              <w:rPr>
                <w:rFonts w:hint="eastAsia"/>
                <w:color w:val="auto"/>
                <w:kern w:val="0"/>
                <w:sz w:val="24"/>
                <w:szCs w:val="24"/>
              </w:rPr>
              <w:t>是抚顺落实国家、省蓝天保卫战部署的专项文件，明确2025年要实现优良天数比率达88.3%以上，PM</w:t>
            </w:r>
            <w:r>
              <w:rPr>
                <w:rFonts w:hint="eastAsia"/>
                <w:color w:val="auto"/>
                <w:kern w:val="0"/>
                <w:sz w:val="24"/>
                <w:szCs w:val="24"/>
                <w:vertAlign w:val="subscript"/>
              </w:rPr>
              <w:t>2.5</w:t>
            </w:r>
            <w:r>
              <w:rPr>
                <w:rFonts w:hint="eastAsia"/>
                <w:color w:val="auto"/>
                <w:kern w:val="0"/>
                <w:sz w:val="24"/>
                <w:szCs w:val="24"/>
              </w:rPr>
              <w:t>平均浓度降至34微克/立方米以下，重度及以上污染天数比率控制在0.6%以内，VOCs和氮氧化物排放总量较2020年分别下降10%以上的核心目标。</w:t>
            </w:r>
          </w:p>
          <w:p w14:paraId="458434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color w:val="auto"/>
                <w:kern w:val="0"/>
                <w:sz w:val="24"/>
                <w:szCs w:val="24"/>
              </w:rPr>
            </w:pPr>
            <w:r>
              <w:rPr>
                <w:rFonts w:hint="eastAsia"/>
                <w:color w:val="auto"/>
                <w:kern w:val="0"/>
                <w:sz w:val="24"/>
                <w:szCs w:val="24"/>
              </w:rPr>
              <w:t>方案从产业、能源、交通三大结构发力：严控高耗能高排放项目准入，推进重点行业设备更新与“散乱污”企业动态清零，推广低VOCs原辅材料替代；加快新能源项目建设，推进燃煤锅炉关停整合，2025年底前完成城区及新宾、清原县城清洁取暖改造；优化货运结构，提升机动车清洁化水平，强化非道路移动源综合治理，切实推动全市空气质量持续向好。</w:t>
            </w:r>
          </w:p>
          <w:p w14:paraId="60EC388B">
            <w:pPr>
              <w:pStyle w:val="2"/>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4"/>
                <w:szCs w:val="24"/>
                <w:highlight w:val="none"/>
                <w:lang w:val="en-US" w:eastAsia="zh-CN" w:bidi="ar-SA"/>
              </w:rPr>
            </w:pPr>
          </w:p>
          <w:p w14:paraId="2BE336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2" w:firstLineChars="200"/>
              <w:jc w:val="both"/>
              <w:textAlignment w:val="auto"/>
              <w:rPr>
                <w:rFonts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rPr>
              <w:t>（2）其他污染物</w:t>
            </w:r>
          </w:p>
          <w:p w14:paraId="38E55B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36" w:firstLineChars="182"/>
              <w:textAlignment w:val="auto"/>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sz w:val="24"/>
                <w:highlight w:val="none"/>
              </w:rPr>
              <w:t>本项目</w:t>
            </w:r>
            <w:r>
              <w:rPr>
                <w:rFonts w:hint="eastAsia" w:cs="Times New Roman"/>
                <w:color w:val="auto"/>
                <w:sz w:val="24"/>
                <w:highlight w:val="none"/>
                <w:lang w:val="en-US" w:eastAsia="zh-CN"/>
              </w:rPr>
              <w:t>特征污染因子总悬浮颗粒物、非甲烷总烃</w:t>
            </w:r>
            <w:r>
              <w:rPr>
                <w:rFonts w:hint="eastAsia" w:ascii="Times New Roman" w:hAnsi="Times New Roman" w:eastAsia="宋体" w:cs="Times New Roman"/>
                <w:color w:val="auto"/>
                <w:sz w:val="24"/>
                <w:highlight w:val="none"/>
              </w:rPr>
              <w:t>引用《抚顺石化公司 80 万 t/a 乙烯装置脱瓶颈改造及能效提升项目环境影响报告书》（2024年9月）中的监测数据。监测时间：2024年8月5日至8月12日，监测一次值、小时及日均值。监测单位为辽宁嘉瑞环境检测有限公司。</w:t>
            </w:r>
          </w:p>
          <w:p w14:paraId="607F8D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ascii="宋体" w:hAnsi="宋体" w:eastAsia="宋体" w:cs="宋体"/>
                <w:color w:val="auto"/>
                <w:sz w:val="24"/>
                <w:highlight w:val="none"/>
              </w:rPr>
              <w:t>①监测点位：</w:t>
            </w:r>
            <w:r>
              <w:rPr>
                <w:rFonts w:hint="eastAsia" w:ascii="宋体" w:hAnsi="宋体" w:cs="宋体"/>
                <w:color w:val="auto"/>
                <w:sz w:val="24"/>
                <w:highlight w:val="none"/>
                <w:lang w:val="en-US" w:eastAsia="zh-CN"/>
              </w:rPr>
              <w:t>1#（碾盘乡）位于</w:t>
            </w:r>
            <w:r>
              <w:rPr>
                <w:rFonts w:hint="eastAsia" w:ascii="Times New Roman" w:hAnsi="Times New Roman" w:eastAsia="宋体" w:cs="Times New Roman"/>
                <w:color w:val="auto"/>
                <w:sz w:val="24"/>
                <w:highlight w:val="none"/>
              </w:rPr>
              <w:t>本项目</w:t>
            </w:r>
            <w:r>
              <w:rPr>
                <w:rFonts w:hint="eastAsia" w:ascii="Times New Roman" w:hAnsi="Times New Roman" w:eastAsia="宋体" w:cs="Times New Roman"/>
                <w:color w:val="auto"/>
                <w:sz w:val="24"/>
                <w:highlight w:val="none"/>
                <w:lang w:val="en-US" w:eastAsia="zh-CN"/>
              </w:rPr>
              <w:t>西南</w:t>
            </w:r>
            <w:r>
              <w:rPr>
                <w:rFonts w:hint="eastAsia" w:ascii="Times New Roman" w:hAnsi="Times New Roman" w:eastAsia="宋体" w:cs="Times New Roman"/>
                <w:color w:val="auto"/>
                <w:sz w:val="24"/>
                <w:highlight w:val="none"/>
              </w:rPr>
              <w:t>侧</w:t>
            </w:r>
            <w:r>
              <w:rPr>
                <w:rFonts w:hint="eastAsia" w:cs="Times New Roman"/>
                <w:color w:val="auto"/>
                <w:sz w:val="24"/>
                <w:highlight w:val="none"/>
                <w:lang w:val="en-US" w:eastAsia="zh-CN"/>
              </w:rPr>
              <w:t>0.41k</w:t>
            </w:r>
            <w:r>
              <w:rPr>
                <w:rFonts w:hint="eastAsia" w:ascii="Times New Roman" w:hAnsi="Times New Roman" w:eastAsia="宋体" w:cs="Times New Roman"/>
                <w:color w:val="auto"/>
                <w:sz w:val="24"/>
                <w:highlight w:val="none"/>
              </w:rPr>
              <w:t>m</w:t>
            </w:r>
          </w:p>
          <w:p w14:paraId="427852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②引用监测数据：非甲烷总烃</w:t>
            </w:r>
          </w:p>
          <w:p w14:paraId="7E5F25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表3-2 其他污染物</w:t>
            </w:r>
            <w:r>
              <w:rPr>
                <w:rFonts w:hint="eastAsia" w:cs="Times New Roman"/>
                <w:color w:val="auto"/>
                <w:kern w:val="2"/>
                <w:sz w:val="24"/>
                <w:szCs w:val="24"/>
                <w:highlight w:val="none"/>
                <w:lang w:val="en-US" w:eastAsia="zh-CN" w:bidi="ar-SA"/>
              </w:rPr>
              <w:t>监测点位信息</w:t>
            </w:r>
          </w:p>
          <w:tbl>
            <w:tblPr>
              <w:tblStyle w:val="28"/>
              <w:tblW w:w="7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437"/>
              <w:gridCol w:w="1437"/>
              <w:gridCol w:w="1437"/>
              <w:gridCol w:w="1437"/>
              <w:gridCol w:w="1438"/>
            </w:tblGrid>
            <w:tr w14:paraId="448B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810" w:type="dxa"/>
                  <w:vMerge w:val="restart"/>
                  <w:tcBorders>
                    <w:tl2br w:val="nil"/>
                    <w:tr2bl w:val="nil"/>
                  </w:tcBorders>
                  <w:vAlign w:val="center"/>
                </w:tcPr>
                <w:p w14:paraId="034BD072">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点位名称</w:t>
                  </w:r>
                </w:p>
              </w:tc>
              <w:tc>
                <w:tcPr>
                  <w:tcW w:w="2874" w:type="dxa"/>
                  <w:gridSpan w:val="2"/>
                  <w:tcBorders>
                    <w:tl2br w:val="nil"/>
                    <w:tr2bl w:val="nil"/>
                  </w:tcBorders>
                  <w:vAlign w:val="center"/>
                </w:tcPr>
                <w:p w14:paraId="5A2E78D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监测点坐标</w:t>
                  </w:r>
                </w:p>
              </w:tc>
              <w:tc>
                <w:tcPr>
                  <w:tcW w:w="1437" w:type="dxa"/>
                  <w:vMerge w:val="restart"/>
                  <w:tcBorders>
                    <w:tl2br w:val="nil"/>
                    <w:tr2bl w:val="nil"/>
                  </w:tcBorders>
                  <w:vAlign w:val="center"/>
                </w:tcPr>
                <w:p w14:paraId="7BE75961">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监测因子</w:t>
                  </w:r>
                </w:p>
              </w:tc>
              <w:tc>
                <w:tcPr>
                  <w:tcW w:w="1437" w:type="dxa"/>
                  <w:vMerge w:val="restart"/>
                  <w:tcBorders>
                    <w:tl2br w:val="nil"/>
                    <w:tr2bl w:val="nil"/>
                  </w:tcBorders>
                  <w:vAlign w:val="center"/>
                </w:tcPr>
                <w:p w14:paraId="726FAB5C">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相对厂址方位</w:t>
                  </w:r>
                </w:p>
              </w:tc>
              <w:tc>
                <w:tcPr>
                  <w:tcW w:w="1438" w:type="dxa"/>
                  <w:vMerge w:val="restart"/>
                  <w:tcBorders>
                    <w:tl2br w:val="nil"/>
                    <w:tr2bl w:val="nil"/>
                  </w:tcBorders>
                  <w:vAlign w:val="center"/>
                </w:tcPr>
                <w:p w14:paraId="2D423E9E">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相对厂界距离/</w:t>
                  </w:r>
                  <w:r>
                    <w:rPr>
                      <w:rFonts w:hint="eastAsia" w:cs="Times New Roman"/>
                      <w:color w:val="auto"/>
                      <w:szCs w:val="21"/>
                      <w:highlight w:val="none"/>
                      <w:lang w:val="en-US" w:eastAsia="zh-CN"/>
                    </w:rPr>
                    <w:t>k</w:t>
                  </w:r>
                  <w:r>
                    <w:rPr>
                      <w:rFonts w:hint="eastAsia" w:ascii="Times New Roman" w:hAnsi="Times New Roman" w:eastAsia="宋体" w:cs="Times New Roman"/>
                      <w:color w:val="auto"/>
                      <w:szCs w:val="21"/>
                      <w:highlight w:val="none"/>
                    </w:rPr>
                    <w:t>m</w:t>
                  </w:r>
                </w:p>
              </w:tc>
            </w:tr>
            <w:tr w14:paraId="1974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810" w:type="dxa"/>
                  <w:vMerge w:val="continue"/>
                  <w:tcBorders>
                    <w:tl2br w:val="nil"/>
                    <w:tr2bl w:val="nil"/>
                  </w:tcBorders>
                  <w:vAlign w:val="center"/>
                </w:tcPr>
                <w:p w14:paraId="38E2AEBD">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1437" w:type="dxa"/>
                  <w:tcBorders>
                    <w:tl2br w:val="nil"/>
                    <w:tr2bl w:val="nil"/>
                  </w:tcBorders>
                  <w:vAlign w:val="center"/>
                </w:tcPr>
                <w:p w14:paraId="309340DD">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X</w:t>
                  </w:r>
                </w:p>
              </w:tc>
              <w:tc>
                <w:tcPr>
                  <w:tcW w:w="1437" w:type="dxa"/>
                  <w:tcBorders>
                    <w:tl2br w:val="nil"/>
                    <w:tr2bl w:val="nil"/>
                  </w:tcBorders>
                  <w:vAlign w:val="center"/>
                </w:tcPr>
                <w:p w14:paraId="1E2573A9">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Y</w:t>
                  </w:r>
                </w:p>
              </w:tc>
              <w:tc>
                <w:tcPr>
                  <w:tcW w:w="1437" w:type="dxa"/>
                  <w:vMerge w:val="continue"/>
                  <w:tcBorders>
                    <w:tl2br w:val="nil"/>
                    <w:tr2bl w:val="nil"/>
                  </w:tcBorders>
                  <w:vAlign w:val="center"/>
                </w:tcPr>
                <w:p w14:paraId="77DB38F0">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1437" w:type="dxa"/>
                  <w:vMerge w:val="continue"/>
                  <w:tcBorders>
                    <w:tl2br w:val="nil"/>
                    <w:tr2bl w:val="nil"/>
                  </w:tcBorders>
                  <w:vAlign w:val="center"/>
                </w:tcPr>
                <w:p w14:paraId="4BDF24EC">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1438" w:type="dxa"/>
                  <w:vMerge w:val="continue"/>
                  <w:tcBorders>
                    <w:tl2br w:val="nil"/>
                    <w:tr2bl w:val="nil"/>
                  </w:tcBorders>
                  <w:vAlign w:val="center"/>
                </w:tcPr>
                <w:p w14:paraId="7A0C76E0">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r>
            <w:tr w14:paraId="0BEE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0" w:type="dxa"/>
                  <w:tcBorders>
                    <w:tl2br w:val="nil"/>
                    <w:tr2bl w:val="nil"/>
                  </w:tcBorders>
                  <w:vAlign w:val="center"/>
                </w:tcPr>
                <w:p w14:paraId="3830A9D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1</w:t>
                  </w:r>
                </w:p>
              </w:tc>
              <w:tc>
                <w:tcPr>
                  <w:tcW w:w="1437" w:type="dxa"/>
                  <w:tcBorders>
                    <w:tl2br w:val="nil"/>
                    <w:tr2bl w:val="nil"/>
                  </w:tcBorders>
                  <w:shd w:val="clear" w:color="auto" w:fill="auto"/>
                  <w:vAlign w:val="center"/>
                </w:tcPr>
                <w:p w14:paraId="13B42DE1">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124°</w:t>
                  </w:r>
                  <w:r>
                    <w:rPr>
                      <w:rFonts w:hint="eastAsia" w:cs="Times New Roman"/>
                      <w:color w:val="auto"/>
                      <w:szCs w:val="21"/>
                      <w:highlight w:val="none"/>
                      <w:lang w:val="en-US" w:eastAsia="zh-CN"/>
                    </w:rPr>
                    <w:t>1</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lang w:val="en-US" w:eastAsia="zh-CN"/>
                    </w:rPr>
                    <w:t>44</w:t>
                  </w:r>
                  <w:r>
                    <w:rPr>
                      <w:rFonts w:ascii="Times New Roman" w:hAnsi="Times New Roman" w:eastAsia="宋体" w:cs="Times New Roman"/>
                      <w:color w:val="auto"/>
                      <w:szCs w:val="21"/>
                      <w:highlight w:val="none"/>
                    </w:rPr>
                    <w:t>″</w:t>
                  </w:r>
                </w:p>
              </w:tc>
              <w:tc>
                <w:tcPr>
                  <w:tcW w:w="1437" w:type="dxa"/>
                  <w:tcBorders>
                    <w:tl2br w:val="nil"/>
                    <w:tr2bl w:val="nil"/>
                  </w:tcBorders>
                  <w:shd w:val="clear" w:color="auto" w:fill="auto"/>
                  <w:vAlign w:val="center"/>
                </w:tcPr>
                <w:p w14:paraId="23D35599">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41°</w:t>
                  </w:r>
                  <w:r>
                    <w:rPr>
                      <w:rFonts w:hint="eastAsia" w:ascii="Times New Roman" w:hAnsi="Times New Roman" w:eastAsia="宋体" w:cs="Times New Roman"/>
                      <w:color w:val="auto"/>
                      <w:szCs w:val="21"/>
                      <w:highlight w:val="none"/>
                      <w:lang w:val="en-US" w:eastAsia="zh-CN"/>
                    </w:rPr>
                    <w:t>48</w:t>
                  </w:r>
                  <w:r>
                    <w:rPr>
                      <w:rFonts w:ascii="Times New Roman" w:hAnsi="Times New Roman" w:eastAsia="宋体" w:cs="Times New Roman"/>
                      <w:color w:val="auto"/>
                      <w:szCs w:val="21"/>
                      <w:highlight w:val="none"/>
                    </w:rPr>
                    <w:t>′</w:t>
                  </w:r>
                  <w:r>
                    <w:rPr>
                      <w:rFonts w:hint="eastAsia" w:cs="Times New Roman"/>
                      <w:color w:val="auto"/>
                      <w:szCs w:val="21"/>
                      <w:highlight w:val="none"/>
                      <w:lang w:val="en-US" w:eastAsia="zh-CN"/>
                    </w:rPr>
                    <w:t>12</w:t>
                  </w:r>
                  <w:r>
                    <w:rPr>
                      <w:rFonts w:ascii="Times New Roman" w:hAnsi="Times New Roman" w:eastAsia="宋体" w:cs="Times New Roman"/>
                      <w:color w:val="auto"/>
                      <w:szCs w:val="21"/>
                      <w:highlight w:val="none"/>
                    </w:rPr>
                    <w:t>″</w:t>
                  </w:r>
                </w:p>
              </w:tc>
              <w:tc>
                <w:tcPr>
                  <w:tcW w:w="1437" w:type="dxa"/>
                  <w:tcBorders>
                    <w:tl2br w:val="nil"/>
                    <w:tr2bl w:val="nil"/>
                  </w:tcBorders>
                  <w:vAlign w:val="center"/>
                </w:tcPr>
                <w:p w14:paraId="6A7366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非甲烷总烃</w:t>
                  </w:r>
                </w:p>
              </w:tc>
              <w:tc>
                <w:tcPr>
                  <w:tcW w:w="1437" w:type="dxa"/>
                  <w:tcBorders>
                    <w:tl2br w:val="nil"/>
                    <w:tr2bl w:val="nil"/>
                  </w:tcBorders>
                  <w:shd w:val="clear" w:color="auto" w:fill="auto"/>
                  <w:vAlign w:val="center"/>
                </w:tcPr>
                <w:p w14:paraId="414E5AF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西南</w:t>
                  </w:r>
                </w:p>
              </w:tc>
              <w:tc>
                <w:tcPr>
                  <w:tcW w:w="1438" w:type="dxa"/>
                  <w:tcBorders>
                    <w:tl2br w:val="nil"/>
                    <w:tr2bl w:val="nil"/>
                  </w:tcBorders>
                  <w:shd w:val="clear" w:color="auto" w:fill="auto"/>
                  <w:vAlign w:val="center"/>
                </w:tcPr>
                <w:p w14:paraId="0B9C03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0.41</w:t>
                  </w:r>
                </w:p>
              </w:tc>
            </w:tr>
          </w:tbl>
          <w:p w14:paraId="0728D8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4"/>
                <w:szCs w:val="24"/>
                <w:highlight w:val="none"/>
                <w:lang w:val="en-US" w:eastAsia="zh-CN" w:bidi="ar-SA"/>
              </w:rPr>
            </w:pPr>
          </w:p>
          <w:p w14:paraId="59E795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表3-3 其他污染物环境质量现状</w:t>
            </w:r>
          </w:p>
          <w:tbl>
            <w:tblPr>
              <w:tblStyle w:val="28"/>
              <w:tblW w:w="495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064"/>
              <w:gridCol w:w="1065"/>
              <w:gridCol w:w="426"/>
              <w:gridCol w:w="696"/>
              <w:gridCol w:w="1037"/>
              <w:gridCol w:w="1232"/>
              <w:gridCol w:w="843"/>
              <w:gridCol w:w="450"/>
              <w:gridCol w:w="445"/>
            </w:tblGrid>
            <w:tr w14:paraId="4CDF71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24" w:type="pct"/>
                  <w:vMerge w:val="restart"/>
                  <w:tcBorders>
                    <w:top w:val="single" w:color="auto" w:sz="4" w:space="0"/>
                    <w:left w:val="single" w:color="auto" w:sz="0" w:space="0"/>
                  </w:tcBorders>
                  <w:vAlign w:val="center"/>
                </w:tcPr>
                <w:p w14:paraId="5E9F772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点位名称</w:t>
                  </w:r>
                </w:p>
              </w:tc>
              <w:tc>
                <w:tcPr>
                  <w:tcW w:w="1341" w:type="pct"/>
                  <w:gridSpan w:val="2"/>
                  <w:tcBorders>
                    <w:top w:val="single" w:color="auto" w:sz="4" w:space="0"/>
                  </w:tcBorders>
                  <w:vAlign w:val="center"/>
                </w:tcPr>
                <w:p w14:paraId="63FB4081">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监测点坐标</w:t>
                  </w:r>
                </w:p>
              </w:tc>
              <w:tc>
                <w:tcPr>
                  <w:tcW w:w="268" w:type="pct"/>
                  <w:vMerge w:val="restart"/>
                  <w:tcBorders>
                    <w:top w:val="single" w:color="auto" w:sz="4" w:space="0"/>
                  </w:tcBorders>
                  <w:vAlign w:val="center"/>
                </w:tcPr>
                <w:p w14:paraId="5B57CDF7">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污染物</w:t>
                  </w:r>
                </w:p>
              </w:tc>
              <w:tc>
                <w:tcPr>
                  <w:tcW w:w="438" w:type="pct"/>
                  <w:vMerge w:val="restart"/>
                  <w:tcBorders>
                    <w:top w:val="single" w:color="auto" w:sz="4" w:space="0"/>
                  </w:tcBorders>
                  <w:vAlign w:val="center"/>
                </w:tcPr>
                <w:p w14:paraId="6E0D39D0">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平均时间</w:t>
                  </w:r>
                </w:p>
              </w:tc>
              <w:tc>
                <w:tcPr>
                  <w:tcW w:w="653" w:type="pct"/>
                  <w:vMerge w:val="restart"/>
                  <w:tcBorders>
                    <w:top w:val="single" w:color="auto" w:sz="4" w:space="0"/>
                  </w:tcBorders>
                  <w:vAlign w:val="center"/>
                </w:tcPr>
                <w:p w14:paraId="6C1CDB10">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评价标准</w:t>
                  </w:r>
                </w:p>
              </w:tc>
              <w:tc>
                <w:tcPr>
                  <w:tcW w:w="776" w:type="pct"/>
                  <w:vMerge w:val="restart"/>
                  <w:tcBorders>
                    <w:top w:val="single" w:color="auto" w:sz="4" w:space="0"/>
                  </w:tcBorders>
                  <w:vAlign w:val="center"/>
                </w:tcPr>
                <w:p w14:paraId="1FB168CE">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监测浓度范围</w:t>
                  </w:r>
                </w:p>
              </w:tc>
              <w:tc>
                <w:tcPr>
                  <w:tcW w:w="531" w:type="pct"/>
                  <w:vMerge w:val="restart"/>
                  <w:tcBorders>
                    <w:top w:val="single" w:color="auto" w:sz="4" w:space="0"/>
                  </w:tcBorders>
                  <w:vAlign w:val="center"/>
                </w:tcPr>
                <w:p w14:paraId="4913EC76">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最大浓度占标率</w:t>
                  </w:r>
                </w:p>
              </w:tc>
              <w:tc>
                <w:tcPr>
                  <w:tcW w:w="283" w:type="pct"/>
                  <w:vMerge w:val="restart"/>
                  <w:tcBorders>
                    <w:top w:val="single" w:color="auto" w:sz="4" w:space="0"/>
                  </w:tcBorders>
                  <w:vAlign w:val="center"/>
                </w:tcPr>
                <w:p w14:paraId="1D4566AA">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超标率/%</w:t>
                  </w:r>
                </w:p>
              </w:tc>
              <w:tc>
                <w:tcPr>
                  <w:tcW w:w="280" w:type="pct"/>
                  <w:vMerge w:val="restart"/>
                  <w:tcBorders>
                    <w:top w:val="single" w:color="auto" w:sz="4" w:space="0"/>
                    <w:right w:val="single" w:color="auto" w:sz="4" w:space="0"/>
                  </w:tcBorders>
                  <w:vAlign w:val="center"/>
                </w:tcPr>
                <w:p w14:paraId="2C41C233">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达标情况</w:t>
                  </w:r>
                </w:p>
              </w:tc>
            </w:tr>
            <w:tr w14:paraId="3C87EB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424" w:type="pct"/>
                  <w:vMerge w:val="continue"/>
                  <w:tcBorders>
                    <w:left w:val="single" w:color="auto" w:sz="4" w:space="0"/>
                  </w:tcBorders>
                  <w:vAlign w:val="center"/>
                </w:tcPr>
                <w:p w14:paraId="53F514F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rPr>
                  </w:pPr>
                </w:p>
              </w:tc>
              <w:tc>
                <w:tcPr>
                  <w:tcW w:w="670" w:type="pct"/>
                  <w:vAlign w:val="center"/>
                </w:tcPr>
                <w:p w14:paraId="430CF4DD">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X</w:t>
                  </w:r>
                </w:p>
              </w:tc>
              <w:tc>
                <w:tcPr>
                  <w:tcW w:w="670" w:type="pct"/>
                  <w:vAlign w:val="center"/>
                </w:tcPr>
                <w:p w14:paraId="680D8A77">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Y</w:t>
                  </w:r>
                </w:p>
              </w:tc>
              <w:tc>
                <w:tcPr>
                  <w:tcW w:w="268" w:type="pct"/>
                  <w:vMerge w:val="continue"/>
                  <w:vAlign w:val="center"/>
                </w:tcPr>
                <w:p w14:paraId="538AC1D1">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p>
              </w:tc>
              <w:tc>
                <w:tcPr>
                  <w:tcW w:w="438" w:type="pct"/>
                  <w:vMerge w:val="continue"/>
                  <w:vAlign w:val="center"/>
                </w:tcPr>
                <w:p w14:paraId="01E8BF59">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p>
              </w:tc>
              <w:tc>
                <w:tcPr>
                  <w:tcW w:w="653" w:type="pct"/>
                  <w:vMerge w:val="continue"/>
                  <w:vAlign w:val="center"/>
                </w:tcPr>
                <w:p w14:paraId="0CD836E5">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p>
              </w:tc>
              <w:tc>
                <w:tcPr>
                  <w:tcW w:w="776" w:type="pct"/>
                  <w:vMerge w:val="continue"/>
                  <w:vAlign w:val="center"/>
                </w:tcPr>
                <w:p w14:paraId="7F505FFB">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p>
              </w:tc>
              <w:tc>
                <w:tcPr>
                  <w:tcW w:w="531" w:type="pct"/>
                  <w:vMerge w:val="continue"/>
                  <w:vAlign w:val="center"/>
                </w:tcPr>
                <w:p w14:paraId="17F4F38C">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p>
              </w:tc>
              <w:tc>
                <w:tcPr>
                  <w:tcW w:w="283" w:type="pct"/>
                  <w:vMerge w:val="continue"/>
                  <w:vAlign w:val="center"/>
                </w:tcPr>
                <w:p w14:paraId="41D85F55">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p>
              </w:tc>
              <w:tc>
                <w:tcPr>
                  <w:tcW w:w="280" w:type="pct"/>
                  <w:vMerge w:val="continue"/>
                  <w:tcBorders>
                    <w:right w:val="single" w:color="auto" w:sz="4" w:space="0"/>
                  </w:tcBorders>
                  <w:vAlign w:val="center"/>
                </w:tcPr>
                <w:p w14:paraId="2467E64B">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p>
              </w:tc>
            </w:tr>
            <w:tr w14:paraId="0B2595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424" w:type="pct"/>
                  <w:tcBorders>
                    <w:left w:val="single" w:color="auto" w:sz="4" w:space="0"/>
                    <w:bottom w:val="single" w:color="auto" w:sz="4" w:space="0"/>
                  </w:tcBorders>
                  <w:shd w:val="clear" w:color="auto" w:fill="auto"/>
                  <w:vAlign w:val="center"/>
                </w:tcPr>
                <w:p w14:paraId="5D1F3B0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1</w:t>
                  </w:r>
                </w:p>
              </w:tc>
              <w:tc>
                <w:tcPr>
                  <w:tcW w:w="670" w:type="pct"/>
                  <w:tcBorders>
                    <w:bottom w:val="single" w:color="auto" w:sz="4" w:space="0"/>
                  </w:tcBorders>
                  <w:shd w:val="clear" w:color="auto" w:fill="auto"/>
                  <w:vAlign w:val="center"/>
                </w:tcPr>
                <w:p w14:paraId="559192F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124°</w:t>
                  </w:r>
                  <w:r>
                    <w:rPr>
                      <w:rFonts w:hint="eastAsia" w:cs="Times New Roman"/>
                      <w:color w:val="auto"/>
                      <w:szCs w:val="21"/>
                      <w:highlight w:val="none"/>
                      <w:lang w:val="en-US" w:eastAsia="zh-CN"/>
                    </w:rPr>
                    <w:t>3</w:t>
                  </w:r>
                  <w:r>
                    <w:rPr>
                      <w:rFonts w:ascii="Times New Roman" w:hAnsi="Times New Roman" w:eastAsia="宋体" w:cs="Times New Roman"/>
                      <w:color w:val="auto"/>
                      <w:szCs w:val="21"/>
                      <w:highlight w:val="none"/>
                    </w:rPr>
                    <w:t>′2</w:t>
                  </w:r>
                  <w:r>
                    <w:rPr>
                      <w:rFonts w:hint="eastAsia" w:cs="Times New Roman"/>
                      <w:color w:val="auto"/>
                      <w:szCs w:val="21"/>
                      <w:highlight w:val="none"/>
                      <w:lang w:val="en-US" w:eastAsia="zh-CN"/>
                    </w:rPr>
                    <w:t>5</w:t>
                  </w:r>
                  <w:r>
                    <w:rPr>
                      <w:rFonts w:ascii="Times New Roman" w:hAnsi="Times New Roman" w:eastAsia="宋体" w:cs="Times New Roman"/>
                      <w:color w:val="auto"/>
                      <w:szCs w:val="21"/>
                      <w:highlight w:val="none"/>
                    </w:rPr>
                    <w:t>″</w:t>
                  </w:r>
                </w:p>
              </w:tc>
              <w:tc>
                <w:tcPr>
                  <w:tcW w:w="670" w:type="pct"/>
                  <w:tcBorders>
                    <w:bottom w:val="single" w:color="auto" w:sz="4" w:space="0"/>
                  </w:tcBorders>
                  <w:shd w:val="clear" w:color="auto" w:fill="auto"/>
                  <w:vAlign w:val="center"/>
                </w:tcPr>
                <w:p w14:paraId="75E2B76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zCs w:val="21"/>
                      <w:highlight w:val="none"/>
                    </w:rPr>
                    <w:t>41°49′</w:t>
                  </w:r>
                  <w:r>
                    <w:rPr>
                      <w:rFonts w:hint="eastAsia" w:cs="Times New Roman"/>
                      <w:color w:val="auto"/>
                      <w:szCs w:val="21"/>
                      <w:highlight w:val="none"/>
                      <w:lang w:val="en-US" w:eastAsia="zh-CN"/>
                    </w:rPr>
                    <w:t>32</w:t>
                  </w:r>
                  <w:r>
                    <w:rPr>
                      <w:rFonts w:ascii="Times New Roman" w:hAnsi="Times New Roman" w:eastAsia="宋体" w:cs="Times New Roman"/>
                      <w:color w:val="auto"/>
                      <w:szCs w:val="21"/>
                      <w:highlight w:val="none"/>
                    </w:rPr>
                    <w:t>″</w:t>
                  </w:r>
                </w:p>
              </w:tc>
              <w:tc>
                <w:tcPr>
                  <w:tcW w:w="268" w:type="pct"/>
                  <w:tcBorders>
                    <w:bottom w:val="single" w:color="auto" w:sz="4" w:space="0"/>
                  </w:tcBorders>
                  <w:vAlign w:val="center"/>
                </w:tcPr>
                <w:p w14:paraId="66A041B5">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非甲烷总烃</w:t>
                  </w:r>
                </w:p>
              </w:tc>
              <w:tc>
                <w:tcPr>
                  <w:tcW w:w="438" w:type="pct"/>
                  <w:tcBorders>
                    <w:bottom w:val="single" w:color="auto" w:sz="4" w:space="0"/>
                  </w:tcBorders>
                  <w:vAlign w:val="center"/>
                </w:tcPr>
                <w:p w14:paraId="6223C3E2">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一次值</w:t>
                  </w:r>
                </w:p>
              </w:tc>
              <w:tc>
                <w:tcPr>
                  <w:tcW w:w="653" w:type="pct"/>
                  <w:tcBorders>
                    <w:bottom w:val="single" w:color="auto" w:sz="4" w:space="0"/>
                  </w:tcBorders>
                  <w:vAlign w:val="center"/>
                </w:tcPr>
                <w:p w14:paraId="2BB901FB">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2mg/m</w:t>
                  </w:r>
                  <w:r>
                    <w:rPr>
                      <w:rFonts w:hint="eastAsia" w:ascii="Times New Roman" w:hAnsi="Times New Roman" w:eastAsia="宋体" w:cs="Times New Roman"/>
                      <w:color w:val="auto"/>
                      <w:sz w:val="21"/>
                      <w:szCs w:val="21"/>
                      <w:highlight w:val="none"/>
                      <w:vertAlign w:val="superscript"/>
                    </w:rPr>
                    <w:t>3</w:t>
                  </w:r>
                </w:p>
              </w:tc>
              <w:tc>
                <w:tcPr>
                  <w:tcW w:w="776" w:type="pct"/>
                  <w:tcBorders>
                    <w:bottom w:val="single" w:color="auto" w:sz="4" w:space="0"/>
                  </w:tcBorders>
                  <w:vAlign w:val="center"/>
                </w:tcPr>
                <w:p w14:paraId="0551C76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0.170-0.640</w:t>
                  </w:r>
                </w:p>
              </w:tc>
              <w:tc>
                <w:tcPr>
                  <w:tcW w:w="531" w:type="pct"/>
                  <w:tcBorders>
                    <w:bottom w:val="single" w:color="auto" w:sz="4" w:space="0"/>
                  </w:tcBorders>
                  <w:vAlign w:val="center"/>
                </w:tcPr>
                <w:p w14:paraId="750DCE90">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32</w:t>
                  </w:r>
                  <w:r>
                    <w:rPr>
                      <w:rFonts w:hint="eastAsia" w:ascii="Times New Roman" w:hAnsi="Times New Roman" w:eastAsia="宋体" w:cs="Times New Roman"/>
                      <w:color w:val="auto"/>
                      <w:sz w:val="21"/>
                      <w:szCs w:val="21"/>
                      <w:highlight w:val="none"/>
                    </w:rPr>
                    <w:t>%</w:t>
                  </w:r>
                </w:p>
              </w:tc>
              <w:tc>
                <w:tcPr>
                  <w:tcW w:w="283" w:type="pct"/>
                  <w:tcBorders>
                    <w:bottom w:val="single" w:color="auto" w:sz="4" w:space="0"/>
                  </w:tcBorders>
                  <w:vAlign w:val="center"/>
                </w:tcPr>
                <w:p w14:paraId="2B520099">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0</w:t>
                  </w:r>
                </w:p>
              </w:tc>
              <w:tc>
                <w:tcPr>
                  <w:tcW w:w="280" w:type="pct"/>
                  <w:tcBorders>
                    <w:bottom w:val="single" w:color="auto" w:sz="4" w:space="0"/>
                    <w:right w:val="single" w:color="auto" w:sz="4" w:space="0"/>
                  </w:tcBorders>
                  <w:vAlign w:val="center"/>
                </w:tcPr>
                <w:p w14:paraId="710855BF">
                  <w:pPr>
                    <w:keepNext w:val="0"/>
                    <w:keepLines w:val="0"/>
                    <w:suppressLineNumbers w:val="0"/>
                    <w:spacing w:before="0" w:beforeAutospacing="0" w:after="0" w:afterAutospacing="0"/>
                    <w:ind w:left="0" w:right="0"/>
                    <w:jc w:val="center"/>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达标</w:t>
                  </w:r>
                </w:p>
              </w:tc>
            </w:tr>
          </w:tbl>
          <w:p w14:paraId="3C25F968">
            <w:pPr>
              <w:keepNext w:val="0"/>
              <w:keepLines w:val="0"/>
              <w:suppressLineNumbers w:val="0"/>
              <w:spacing w:before="156" w:beforeLines="50" w:beforeAutospacing="0" w:after="0" w:afterAutospacing="0" w:line="360" w:lineRule="auto"/>
              <w:ind w:left="0" w:right="0" w:firstLine="480" w:firstLineChars="200"/>
              <w:rPr>
                <w:rFonts w:hint="default" w:ascii="Times New Roman" w:hAnsi="Times New Roman" w:eastAsia="宋体" w:cs="Times New Roman"/>
                <w:snapToGrid w:val="0"/>
                <w:color w:val="auto"/>
                <w:kern w:val="0"/>
                <w:sz w:val="24"/>
                <w:highlight w:val="none"/>
                <w:lang w:val="en-US" w:eastAsia="zh-CN"/>
              </w:rPr>
            </w:pPr>
            <w:r>
              <w:rPr>
                <w:rFonts w:hint="eastAsia" w:ascii="Times New Roman" w:hAnsi="Times New Roman" w:eastAsia="宋体" w:cs="Times New Roman"/>
                <w:color w:val="auto"/>
                <w:kern w:val="0"/>
                <w:sz w:val="24"/>
                <w:highlight w:val="none"/>
              </w:rPr>
              <w:t>由监测结果可知，非甲烷总烃满足《大气污染物综合排放标准》详解</w:t>
            </w:r>
            <w:r>
              <w:rPr>
                <w:rFonts w:hint="eastAsia" w:cs="Times New Roman"/>
                <w:color w:val="auto"/>
                <w:kern w:val="0"/>
                <w:sz w:val="24"/>
                <w:highlight w:val="none"/>
                <w:lang w:val="en-US" w:eastAsia="zh-CN"/>
              </w:rPr>
              <w:t>中建议值：2.0mg/m</w:t>
            </w:r>
            <w:r>
              <w:rPr>
                <w:rFonts w:hint="eastAsia" w:cs="Times New Roman"/>
                <w:color w:val="auto"/>
                <w:kern w:val="0"/>
                <w:sz w:val="24"/>
                <w:highlight w:val="none"/>
                <w:vertAlign w:val="superscript"/>
                <w:lang w:val="en-US" w:eastAsia="zh-CN"/>
              </w:rPr>
              <w:t>3</w:t>
            </w:r>
            <w:r>
              <w:rPr>
                <w:rFonts w:hint="eastAsia" w:cs="Times New Roman"/>
                <w:color w:val="auto"/>
                <w:kern w:val="0"/>
                <w:sz w:val="24"/>
                <w:highlight w:val="none"/>
                <w:lang w:eastAsia="zh-CN"/>
              </w:rPr>
              <w:t>。</w:t>
            </w:r>
          </w:p>
          <w:p w14:paraId="004FC9B9">
            <w:pPr>
              <w:keepNext w:val="0"/>
              <w:keepLines w:val="0"/>
              <w:suppressLineNumbers w:val="0"/>
              <w:spacing w:before="0" w:beforeAutospacing="0" w:after="0" w:afterAutospacing="0" w:line="360" w:lineRule="auto"/>
              <w:ind w:left="0" w:right="0" w:firstLine="482" w:firstLineChars="200"/>
              <w:rPr>
                <w:rFonts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2</w:t>
            </w:r>
            <w:r>
              <w:rPr>
                <w:rFonts w:hint="eastAsia" w:ascii="Times New Roman" w:hAnsi="Times New Roman" w:eastAsia="宋体" w:cs="Times New Roman"/>
                <w:b/>
                <w:bCs/>
                <w:color w:val="auto"/>
                <w:sz w:val="24"/>
                <w:highlight w:val="none"/>
              </w:rPr>
              <w:t>、地表水环境质量现状</w:t>
            </w:r>
          </w:p>
          <w:p w14:paraId="2C2799F8">
            <w:pPr>
              <w:keepNext w:val="0"/>
              <w:keepLines w:val="0"/>
              <w:suppressLineNumbers w:val="0"/>
              <w:spacing w:before="0" w:beforeAutospacing="0" w:after="0" w:afterAutospacing="0" w:line="360" w:lineRule="auto"/>
              <w:ind w:left="0" w:right="0" w:firstLine="480" w:firstLineChars="200"/>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本建设项目所在区域地表水为东洲河，根据抚顺市环境功能区划，东洲河执行《地表水环境质量标准》（GB3838-2002）中IV类标准，</w:t>
            </w:r>
            <w:r>
              <w:rPr>
                <w:rFonts w:ascii="Times New Roman" w:hAnsi="Times New Roman" w:eastAsia="宋体" w:cs="Times New Roman"/>
                <w:color w:val="auto"/>
                <w:sz w:val="24"/>
                <w:highlight w:val="none"/>
              </w:rPr>
              <w:t>本项目地表水环境质量现状引用《抚顺市生态环境质量报告书》（20</w:t>
            </w:r>
            <w:r>
              <w:rPr>
                <w:rFonts w:hint="eastAsia" w:ascii="Times New Roman" w:hAnsi="Times New Roman" w:eastAsia="宋体" w:cs="Times New Roman"/>
                <w:color w:val="auto"/>
                <w:sz w:val="24"/>
                <w:highlight w:val="none"/>
              </w:rPr>
              <w:t>2</w:t>
            </w:r>
            <w:r>
              <w:rPr>
                <w:rFonts w:hint="eastAsia" w:cs="Times New Roman"/>
                <w:color w:val="auto"/>
                <w:sz w:val="24"/>
                <w:highlight w:val="none"/>
                <w:lang w:val="en-US" w:eastAsia="zh-CN"/>
              </w:rPr>
              <w:t>4</w:t>
            </w:r>
            <w:r>
              <w:rPr>
                <w:rFonts w:ascii="Times New Roman" w:hAnsi="Times New Roman" w:eastAsia="宋体" w:cs="Times New Roman"/>
                <w:color w:val="auto"/>
                <w:sz w:val="24"/>
                <w:highlight w:val="none"/>
              </w:rPr>
              <w:t>年）中对东洲河的监测数据，监测结果详见</w:t>
            </w:r>
            <w:r>
              <w:rPr>
                <w:rFonts w:hint="eastAsia" w:ascii="Times New Roman" w:hAnsi="Times New Roman" w:eastAsia="宋体" w:cs="Times New Roman"/>
                <w:color w:val="auto"/>
                <w:sz w:val="24"/>
                <w:highlight w:val="none"/>
              </w:rPr>
              <w:t>下表</w:t>
            </w:r>
            <w:r>
              <w:rPr>
                <w:rFonts w:ascii="Times New Roman" w:hAnsi="Times New Roman" w:eastAsia="宋体" w:cs="Times New Roman"/>
                <w:color w:val="auto"/>
                <w:sz w:val="24"/>
                <w:highlight w:val="none"/>
              </w:rPr>
              <w:t>。</w:t>
            </w:r>
          </w:p>
          <w:p w14:paraId="56BA31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4"/>
                <w:szCs w:val="24"/>
                <w:highlight w:val="none"/>
                <w:lang w:val="en-US" w:eastAsia="zh-CN" w:bidi="ar-SA"/>
              </w:rPr>
            </w:pPr>
          </w:p>
          <w:p w14:paraId="43E683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4"/>
                <w:szCs w:val="24"/>
                <w:highlight w:val="none"/>
                <w:lang w:val="en-US" w:eastAsia="zh-CN" w:bidi="ar-SA"/>
              </w:rPr>
            </w:pPr>
          </w:p>
          <w:p w14:paraId="0F6B0E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4"/>
                <w:szCs w:val="24"/>
                <w:highlight w:val="none"/>
                <w:lang w:val="en-US" w:eastAsia="zh-CN" w:bidi="ar-SA"/>
              </w:rPr>
            </w:pPr>
          </w:p>
          <w:p w14:paraId="192E21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4"/>
                <w:szCs w:val="24"/>
                <w:highlight w:val="none"/>
                <w:lang w:val="en-US" w:eastAsia="zh-CN" w:bidi="ar-SA"/>
              </w:rPr>
            </w:pPr>
          </w:p>
          <w:p w14:paraId="16FDDB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表3-4  东洲河水质监测结果</w:t>
            </w:r>
          </w:p>
          <w:tbl>
            <w:tblPr>
              <w:tblStyle w:val="27"/>
              <w:tblW w:w="4972"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0" w:type="dxa"/>
                <w:bottom w:w="0" w:type="dxa"/>
                <w:right w:w="0" w:type="dxa"/>
              </w:tblCellMar>
            </w:tblPr>
            <w:tblGrid>
              <w:gridCol w:w="723"/>
              <w:gridCol w:w="902"/>
              <w:gridCol w:w="892"/>
              <w:gridCol w:w="892"/>
              <w:gridCol w:w="892"/>
              <w:gridCol w:w="892"/>
              <w:gridCol w:w="892"/>
              <w:gridCol w:w="892"/>
              <w:gridCol w:w="986"/>
            </w:tblGrid>
            <w:tr w14:paraId="5D67972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352" w:hRule="atLeast"/>
              </w:trPr>
              <w:tc>
                <w:tcPr>
                  <w:tcW w:w="454" w:type="pct"/>
                  <w:vMerge w:val="restart"/>
                  <w:tcBorders>
                    <w:top w:val="single" w:color="auto" w:sz="4" w:space="0"/>
                    <w:left w:val="single" w:color="auto" w:sz="0" w:space="0"/>
                    <w:bottom w:val="single" w:color="auto" w:sz="4" w:space="0"/>
                    <w:right w:val="single" w:color="auto" w:sz="4" w:space="0"/>
                  </w:tcBorders>
                  <w:vAlign w:val="center"/>
                </w:tcPr>
                <w:p w14:paraId="2DE0AC75">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断面</w:t>
                  </w:r>
                </w:p>
              </w:tc>
              <w:tc>
                <w:tcPr>
                  <w:tcW w:w="566" w:type="pct"/>
                  <w:vMerge w:val="restart"/>
                  <w:tcBorders>
                    <w:top w:val="single" w:color="auto" w:sz="4" w:space="0"/>
                    <w:left w:val="single" w:color="auto" w:sz="4" w:space="0"/>
                    <w:bottom w:val="single" w:color="auto" w:sz="4" w:space="0"/>
                    <w:right w:val="single" w:color="auto" w:sz="4" w:space="0"/>
                  </w:tcBorders>
                  <w:vAlign w:val="center"/>
                </w:tcPr>
                <w:p w14:paraId="43BF0C1A">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项目</w:t>
                  </w:r>
                </w:p>
              </w:tc>
              <w:tc>
                <w:tcPr>
                  <w:tcW w:w="560" w:type="pct"/>
                  <w:vMerge w:val="restart"/>
                  <w:tcBorders>
                    <w:top w:val="single" w:color="auto" w:sz="4" w:space="0"/>
                    <w:left w:val="single" w:color="auto" w:sz="4" w:space="0"/>
                    <w:bottom w:val="single" w:color="auto" w:sz="4" w:space="0"/>
                    <w:right w:val="single" w:color="auto" w:sz="4" w:space="0"/>
                  </w:tcBorders>
                  <w:vAlign w:val="center"/>
                </w:tcPr>
                <w:p w14:paraId="67F0D52E">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COD</w:t>
                  </w:r>
                  <w:r>
                    <w:rPr>
                      <w:rFonts w:hint="eastAsia" w:ascii="Times New Roman" w:hAnsi="Times New Roman" w:eastAsia="宋体" w:cs="Times New Roman"/>
                      <w:color w:val="auto"/>
                      <w:kern w:val="0"/>
                      <w:szCs w:val="21"/>
                      <w:highlight w:val="none"/>
                      <w:vertAlign w:val="subscript"/>
                    </w:rPr>
                    <w:t>cr</w:t>
                  </w:r>
                </w:p>
              </w:tc>
              <w:tc>
                <w:tcPr>
                  <w:tcW w:w="560" w:type="pct"/>
                  <w:vMerge w:val="restart"/>
                  <w:tcBorders>
                    <w:top w:val="single" w:color="auto" w:sz="4" w:space="0"/>
                    <w:left w:val="single" w:color="auto" w:sz="4" w:space="0"/>
                    <w:bottom w:val="single" w:color="auto" w:sz="4" w:space="0"/>
                    <w:right w:val="single" w:color="auto" w:sz="4" w:space="0"/>
                  </w:tcBorders>
                  <w:vAlign w:val="center"/>
                </w:tcPr>
                <w:p w14:paraId="73D6DE5C">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高锰酸盐指数</w:t>
                  </w:r>
                </w:p>
              </w:tc>
              <w:tc>
                <w:tcPr>
                  <w:tcW w:w="560" w:type="pct"/>
                  <w:vMerge w:val="restart"/>
                  <w:tcBorders>
                    <w:top w:val="single" w:color="auto" w:sz="4" w:space="0"/>
                    <w:left w:val="single" w:color="auto" w:sz="4" w:space="0"/>
                    <w:bottom w:val="single" w:color="auto" w:sz="4" w:space="0"/>
                    <w:right w:val="single" w:color="auto" w:sz="4" w:space="0"/>
                  </w:tcBorders>
                  <w:vAlign w:val="center"/>
                </w:tcPr>
                <w:p w14:paraId="6DD0D592">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BOD</w:t>
                  </w:r>
                  <w:r>
                    <w:rPr>
                      <w:rFonts w:hint="eastAsia" w:ascii="Times New Roman" w:hAnsi="Times New Roman" w:eastAsia="宋体" w:cs="Times New Roman"/>
                      <w:color w:val="auto"/>
                      <w:kern w:val="0"/>
                      <w:szCs w:val="21"/>
                      <w:highlight w:val="none"/>
                      <w:vertAlign w:val="subscript"/>
                    </w:rPr>
                    <w:t>5</w:t>
                  </w:r>
                </w:p>
              </w:tc>
              <w:tc>
                <w:tcPr>
                  <w:tcW w:w="560" w:type="pct"/>
                  <w:vMerge w:val="restart"/>
                  <w:tcBorders>
                    <w:top w:val="single" w:color="auto" w:sz="4" w:space="0"/>
                    <w:left w:val="single" w:color="auto" w:sz="4" w:space="0"/>
                    <w:bottom w:val="single" w:color="auto" w:sz="4" w:space="0"/>
                    <w:right w:val="single" w:color="auto" w:sz="4" w:space="0"/>
                  </w:tcBorders>
                  <w:vAlign w:val="center"/>
                </w:tcPr>
                <w:p w14:paraId="678F5C0F">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石油类</w:t>
                  </w:r>
                </w:p>
              </w:tc>
              <w:tc>
                <w:tcPr>
                  <w:tcW w:w="560" w:type="pct"/>
                  <w:vMerge w:val="restart"/>
                  <w:tcBorders>
                    <w:top w:val="single" w:color="auto" w:sz="4" w:space="0"/>
                    <w:left w:val="single" w:color="auto" w:sz="4" w:space="0"/>
                    <w:bottom w:val="single" w:color="auto" w:sz="4" w:space="0"/>
                    <w:right w:val="single" w:color="auto" w:sz="4" w:space="0"/>
                  </w:tcBorders>
                  <w:vAlign w:val="center"/>
                </w:tcPr>
                <w:p w14:paraId="78C14305">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氨氮</w:t>
                  </w:r>
                </w:p>
              </w:tc>
              <w:tc>
                <w:tcPr>
                  <w:tcW w:w="560" w:type="pct"/>
                  <w:vMerge w:val="restart"/>
                  <w:tcBorders>
                    <w:top w:val="single" w:color="auto" w:sz="4" w:space="0"/>
                    <w:left w:val="single" w:color="auto" w:sz="4" w:space="0"/>
                    <w:bottom w:val="single" w:color="auto" w:sz="4" w:space="0"/>
                    <w:right w:val="single" w:color="auto" w:sz="4" w:space="0"/>
                  </w:tcBorders>
                  <w:vAlign w:val="center"/>
                </w:tcPr>
                <w:p w14:paraId="7C5FA54D">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总磷</w:t>
                  </w:r>
                </w:p>
              </w:tc>
              <w:tc>
                <w:tcPr>
                  <w:tcW w:w="618" w:type="pct"/>
                  <w:vMerge w:val="restart"/>
                  <w:tcBorders>
                    <w:top w:val="single" w:color="auto" w:sz="4" w:space="0"/>
                    <w:left w:val="single" w:color="auto" w:sz="4" w:space="0"/>
                    <w:bottom w:val="single" w:color="auto" w:sz="4" w:space="0"/>
                    <w:right w:val="single" w:color="auto" w:sz="4" w:space="0"/>
                  </w:tcBorders>
                  <w:vAlign w:val="center"/>
                </w:tcPr>
                <w:p w14:paraId="56A8BB90">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水质类别</w:t>
                  </w:r>
                </w:p>
              </w:tc>
            </w:tr>
            <w:tr w14:paraId="5E39A2E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333" w:hRule="atLeast"/>
              </w:trPr>
              <w:tc>
                <w:tcPr>
                  <w:tcW w:w="454" w:type="pct"/>
                  <w:vMerge w:val="continue"/>
                  <w:tcBorders>
                    <w:top w:val="single" w:color="auto" w:sz="4" w:space="0"/>
                    <w:left w:val="single" w:color="auto" w:sz="4" w:space="0"/>
                    <w:bottom w:val="single" w:color="auto" w:sz="4" w:space="0"/>
                    <w:right w:val="single" w:color="auto" w:sz="4" w:space="0"/>
                  </w:tcBorders>
                  <w:vAlign w:val="center"/>
                </w:tcPr>
                <w:p w14:paraId="482549BE">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6" w:type="pct"/>
                  <w:vMerge w:val="continue"/>
                  <w:tcBorders>
                    <w:top w:val="single" w:color="auto" w:sz="4" w:space="0"/>
                    <w:left w:val="single" w:color="auto" w:sz="4" w:space="0"/>
                    <w:bottom w:val="single" w:color="auto" w:sz="4" w:space="0"/>
                    <w:right w:val="single" w:color="auto" w:sz="4" w:space="0"/>
                  </w:tcBorders>
                  <w:vAlign w:val="center"/>
                </w:tcPr>
                <w:p w14:paraId="1FF95FC6">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0" w:type="pct"/>
                  <w:vMerge w:val="continue"/>
                  <w:tcBorders>
                    <w:top w:val="single" w:color="auto" w:sz="4" w:space="0"/>
                    <w:left w:val="single" w:color="auto" w:sz="4" w:space="0"/>
                    <w:bottom w:val="single" w:color="auto" w:sz="4" w:space="0"/>
                    <w:right w:val="single" w:color="auto" w:sz="4" w:space="0"/>
                  </w:tcBorders>
                  <w:vAlign w:val="center"/>
                </w:tcPr>
                <w:p w14:paraId="16A9D476">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0" w:type="pct"/>
                  <w:vMerge w:val="continue"/>
                  <w:tcBorders>
                    <w:top w:val="single" w:color="auto" w:sz="4" w:space="0"/>
                    <w:left w:val="single" w:color="auto" w:sz="4" w:space="0"/>
                    <w:bottom w:val="single" w:color="auto" w:sz="4" w:space="0"/>
                    <w:right w:val="single" w:color="auto" w:sz="4" w:space="0"/>
                  </w:tcBorders>
                  <w:vAlign w:val="center"/>
                </w:tcPr>
                <w:p w14:paraId="6C611C1F">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0" w:type="pct"/>
                  <w:vMerge w:val="continue"/>
                  <w:tcBorders>
                    <w:top w:val="single" w:color="auto" w:sz="4" w:space="0"/>
                    <w:left w:val="single" w:color="auto" w:sz="4" w:space="0"/>
                    <w:bottom w:val="single" w:color="auto" w:sz="4" w:space="0"/>
                    <w:right w:val="single" w:color="auto" w:sz="4" w:space="0"/>
                  </w:tcBorders>
                  <w:vAlign w:val="center"/>
                </w:tcPr>
                <w:p w14:paraId="016E63E7">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0" w:type="pct"/>
                  <w:vMerge w:val="continue"/>
                  <w:tcBorders>
                    <w:top w:val="single" w:color="auto" w:sz="4" w:space="0"/>
                    <w:left w:val="single" w:color="auto" w:sz="4" w:space="0"/>
                    <w:bottom w:val="single" w:color="auto" w:sz="4" w:space="0"/>
                    <w:right w:val="single" w:color="auto" w:sz="4" w:space="0"/>
                  </w:tcBorders>
                  <w:vAlign w:val="center"/>
                </w:tcPr>
                <w:p w14:paraId="70778E92">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0" w:type="pct"/>
                  <w:vMerge w:val="continue"/>
                  <w:tcBorders>
                    <w:top w:val="single" w:color="auto" w:sz="4" w:space="0"/>
                    <w:left w:val="single" w:color="auto" w:sz="4" w:space="0"/>
                    <w:bottom w:val="single" w:color="auto" w:sz="4" w:space="0"/>
                    <w:right w:val="single" w:color="auto" w:sz="4" w:space="0"/>
                  </w:tcBorders>
                  <w:vAlign w:val="center"/>
                </w:tcPr>
                <w:p w14:paraId="4C672C80">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0" w:type="pct"/>
                  <w:vMerge w:val="continue"/>
                  <w:tcBorders>
                    <w:top w:val="single" w:color="auto" w:sz="4" w:space="0"/>
                    <w:left w:val="single" w:color="auto" w:sz="4" w:space="0"/>
                    <w:bottom w:val="single" w:color="auto" w:sz="4" w:space="0"/>
                    <w:right w:val="single" w:color="auto" w:sz="4" w:space="0"/>
                  </w:tcBorders>
                  <w:vAlign w:val="center"/>
                </w:tcPr>
                <w:p w14:paraId="7E99E9EA">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618" w:type="pct"/>
                  <w:vMerge w:val="continue"/>
                  <w:tcBorders>
                    <w:top w:val="single" w:color="auto" w:sz="4" w:space="0"/>
                    <w:left w:val="single" w:color="auto" w:sz="4" w:space="0"/>
                    <w:bottom w:val="single" w:color="auto" w:sz="4" w:space="0"/>
                    <w:right w:val="single" w:color="auto" w:sz="4" w:space="0"/>
                  </w:tcBorders>
                  <w:vAlign w:val="center"/>
                </w:tcPr>
                <w:p w14:paraId="78E3FBFD">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r>
            <w:tr w14:paraId="5EA2645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641" w:hRule="atLeast"/>
              </w:trPr>
              <w:tc>
                <w:tcPr>
                  <w:tcW w:w="454" w:type="pct"/>
                  <w:vMerge w:val="restart"/>
                  <w:tcBorders>
                    <w:top w:val="single" w:color="auto" w:sz="4" w:space="0"/>
                    <w:left w:val="single" w:color="auto" w:sz="4" w:space="0"/>
                    <w:bottom w:val="single" w:color="auto" w:sz="4" w:space="0"/>
                    <w:right w:val="single" w:color="auto" w:sz="4" w:space="0"/>
                  </w:tcBorders>
                  <w:vAlign w:val="center"/>
                </w:tcPr>
                <w:p w14:paraId="6110DAF5">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东洲河口</w:t>
                  </w:r>
                </w:p>
              </w:tc>
              <w:tc>
                <w:tcPr>
                  <w:tcW w:w="566" w:type="pct"/>
                  <w:tcBorders>
                    <w:top w:val="single" w:color="auto" w:sz="4" w:space="0"/>
                    <w:left w:val="single" w:color="auto" w:sz="4" w:space="0"/>
                    <w:bottom w:val="single" w:color="auto" w:sz="4" w:space="0"/>
                    <w:right w:val="single" w:color="auto" w:sz="4" w:space="0"/>
                  </w:tcBorders>
                  <w:vAlign w:val="center"/>
                </w:tcPr>
                <w:p w14:paraId="0ED44710">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年均浓度</w:t>
                  </w:r>
                </w:p>
              </w:tc>
              <w:tc>
                <w:tcPr>
                  <w:tcW w:w="560" w:type="pct"/>
                  <w:tcBorders>
                    <w:top w:val="single" w:color="auto" w:sz="4" w:space="0"/>
                    <w:left w:val="single" w:color="auto" w:sz="4" w:space="0"/>
                    <w:bottom w:val="single" w:color="auto" w:sz="4" w:space="0"/>
                    <w:right w:val="single" w:color="auto" w:sz="4" w:space="0"/>
                  </w:tcBorders>
                  <w:vAlign w:val="center"/>
                </w:tcPr>
                <w:p w14:paraId="309123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15.7</w:t>
                  </w:r>
                </w:p>
              </w:tc>
              <w:tc>
                <w:tcPr>
                  <w:tcW w:w="560" w:type="pct"/>
                  <w:tcBorders>
                    <w:top w:val="single" w:color="auto" w:sz="4" w:space="0"/>
                    <w:left w:val="single" w:color="auto" w:sz="4" w:space="0"/>
                    <w:bottom w:val="single" w:color="auto" w:sz="4" w:space="0"/>
                    <w:right w:val="single" w:color="auto" w:sz="4" w:space="0"/>
                  </w:tcBorders>
                  <w:vAlign w:val="center"/>
                </w:tcPr>
                <w:p w14:paraId="5BCF45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3.0</w:t>
                  </w:r>
                </w:p>
              </w:tc>
              <w:tc>
                <w:tcPr>
                  <w:tcW w:w="560" w:type="pct"/>
                  <w:tcBorders>
                    <w:top w:val="single" w:color="auto" w:sz="4" w:space="0"/>
                    <w:left w:val="single" w:color="auto" w:sz="4" w:space="0"/>
                    <w:bottom w:val="single" w:color="auto" w:sz="4" w:space="0"/>
                    <w:right w:val="single" w:color="auto" w:sz="4" w:space="0"/>
                  </w:tcBorders>
                  <w:vAlign w:val="center"/>
                </w:tcPr>
                <w:p w14:paraId="183F74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2.0</w:t>
                  </w:r>
                </w:p>
              </w:tc>
              <w:tc>
                <w:tcPr>
                  <w:tcW w:w="560" w:type="pct"/>
                  <w:tcBorders>
                    <w:top w:val="single" w:color="auto" w:sz="4" w:space="0"/>
                    <w:left w:val="single" w:color="auto" w:sz="4" w:space="0"/>
                    <w:bottom w:val="single" w:color="auto" w:sz="4" w:space="0"/>
                    <w:right w:val="single" w:color="auto" w:sz="4" w:space="0"/>
                  </w:tcBorders>
                  <w:vAlign w:val="center"/>
                </w:tcPr>
                <w:p w14:paraId="3864A0D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rPr>
                    <w:t>0.0</w:t>
                  </w:r>
                  <w:r>
                    <w:rPr>
                      <w:rFonts w:hint="eastAsia" w:ascii="Times New Roman" w:hAnsi="Times New Roman" w:eastAsia="宋体" w:cs="Times New Roman"/>
                      <w:color w:val="auto"/>
                      <w:szCs w:val="21"/>
                      <w:highlight w:val="none"/>
                      <w:lang w:val="en-US" w:eastAsia="zh-CN"/>
                    </w:rPr>
                    <w:t>4</w:t>
                  </w:r>
                </w:p>
              </w:tc>
              <w:tc>
                <w:tcPr>
                  <w:tcW w:w="560" w:type="pct"/>
                  <w:tcBorders>
                    <w:top w:val="single" w:color="auto" w:sz="4" w:space="0"/>
                    <w:left w:val="single" w:color="auto" w:sz="4" w:space="0"/>
                    <w:bottom w:val="single" w:color="auto" w:sz="4" w:space="0"/>
                    <w:right w:val="single" w:color="auto" w:sz="4" w:space="0"/>
                  </w:tcBorders>
                  <w:vAlign w:val="center"/>
                </w:tcPr>
                <w:p w14:paraId="357F85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rPr>
                    <w:t>0.</w:t>
                  </w:r>
                  <w:r>
                    <w:rPr>
                      <w:rFonts w:hint="eastAsia" w:ascii="Times New Roman" w:hAnsi="Times New Roman" w:eastAsia="宋体" w:cs="Times New Roman"/>
                      <w:color w:val="auto"/>
                      <w:szCs w:val="21"/>
                      <w:highlight w:val="none"/>
                      <w:lang w:val="en-US" w:eastAsia="zh-CN"/>
                    </w:rPr>
                    <w:t>41</w:t>
                  </w:r>
                </w:p>
              </w:tc>
              <w:tc>
                <w:tcPr>
                  <w:tcW w:w="560" w:type="pct"/>
                  <w:tcBorders>
                    <w:top w:val="single" w:color="auto" w:sz="4" w:space="0"/>
                    <w:left w:val="single" w:color="auto" w:sz="4" w:space="0"/>
                    <w:bottom w:val="single" w:color="auto" w:sz="4" w:space="0"/>
                    <w:right w:val="single" w:color="auto" w:sz="4" w:space="0"/>
                  </w:tcBorders>
                  <w:vAlign w:val="center"/>
                </w:tcPr>
                <w:p w14:paraId="6F58DE5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rPr>
                    <w:t>0.10</w:t>
                  </w:r>
                  <w:r>
                    <w:rPr>
                      <w:rFonts w:hint="eastAsia" w:ascii="Times New Roman" w:hAnsi="Times New Roman" w:eastAsia="宋体" w:cs="Times New Roman"/>
                      <w:color w:val="auto"/>
                      <w:szCs w:val="21"/>
                      <w:highlight w:val="none"/>
                      <w:lang w:val="en-US" w:eastAsia="zh-CN"/>
                    </w:rPr>
                    <w:t>4</w:t>
                  </w:r>
                </w:p>
              </w:tc>
              <w:tc>
                <w:tcPr>
                  <w:tcW w:w="618" w:type="pct"/>
                  <w:vMerge w:val="restart"/>
                  <w:tcBorders>
                    <w:top w:val="single" w:color="auto" w:sz="4" w:space="0"/>
                    <w:left w:val="single" w:color="auto" w:sz="4" w:space="0"/>
                    <w:bottom w:val="single" w:color="auto" w:sz="4" w:space="0"/>
                    <w:right w:val="single" w:color="auto" w:sz="4" w:space="0"/>
                  </w:tcBorders>
                  <w:vAlign w:val="center"/>
                </w:tcPr>
                <w:p w14:paraId="724F66C1">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微软雅黑" w:hAnsi="微软雅黑" w:eastAsia="微软雅黑" w:cs="微软雅黑"/>
                      <w:color w:val="auto"/>
                      <w:szCs w:val="21"/>
                      <w:highlight w:val="none"/>
                    </w:rPr>
                    <w:t>Ⅲ</w:t>
                  </w:r>
                </w:p>
              </w:tc>
            </w:tr>
            <w:tr w14:paraId="2C6F994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641" w:hRule="atLeast"/>
              </w:trPr>
              <w:tc>
                <w:tcPr>
                  <w:tcW w:w="454" w:type="pct"/>
                  <w:vMerge w:val="continue"/>
                  <w:tcBorders>
                    <w:top w:val="single" w:color="auto" w:sz="4" w:space="0"/>
                    <w:left w:val="single" w:color="auto" w:sz="4" w:space="0"/>
                    <w:bottom w:val="single" w:color="auto" w:sz="4" w:space="0"/>
                    <w:right w:val="single" w:color="auto" w:sz="4" w:space="0"/>
                  </w:tcBorders>
                  <w:vAlign w:val="center"/>
                </w:tcPr>
                <w:p w14:paraId="7E2B0401">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vAlign w:val="center"/>
                </w:tcPr>
                <w:p w14:paraId="028BCBB6">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水质标准</w:t>
                  </w:r>
                </w:p>
              </w:tc>
              <w:tc>
                <w:tcPr>
                  <w:tcW w:w="560" w:type="pct"/>
                  <w:tcBorders>
                    <w:top w:val="single" w:color="auto" w:sz="4" w:space="0"/>
                    <w:left w:val="single" w:color="auto" w:sz="4" w:space="0"/>
                    <w:bottom w:val="single" w:color="auto" w:sz="4" w:space="0"/>
                    <w:right w:val="single" w:color="auto" w:sz="4" w:space="0"/>
                  </w:tcBorders>
                  <w:vAlign w:val="center"/>
                </w:tcPr>
                <w:p w14:paraId="2FC87814">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微软雅黑" w:hAnsi="微软雅黑" w:eastAsia="微软雅黑" w:cs="微软雅黑"/>
                      <w:color w:val="auto"/>
                      <w:szCs w:val="21"/>
                      <w:highlight w:val="none"/>
                    </w:rPr>
                    <w:t>Ⅲ</w:t>
                  </w:r>
                </w:p>
              </w:tc>
              <w:tc>
                <w:tcPr>
                  <w:tcW w:w="560" w:type="pct"/>
                  <w:tcBorders>
                    <w:top w:val="single" w:color="auto" w:sz="4" w:space="0"/>
                    <w:left w:val="single" w:color="auto" w:sz="4" w:space="0"/>
                    <w:bottom w:val="single" w:color="auto" w:sz="4" w:space="0"/>
                    <w:right w:val="single" w:color="auto" w:sz="4" w:space="0"/>
                  </w:tcBorders>
                  <w:vAlign w:val="center"/>
                </w:tcPr>
                <w:p w14:paraId="131D1F08">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微软雅黑" w:hAnsi="微软雅黑" w:eastAsia="微软雅黑" w:cs="微软雅黑"/>
                      <w:color w:val="auto"/>
                      <w:szCs w:val="21"/>
                      <w:highlight w:val="none"/>
                    </w:rPr>
                    <w:t>Ⅱ</w:t>
                  </w:r>
                </w:p>
              </w:tc>
              <w:tc>
                <w:tcPr>
                  <w:tcW w:w="560" w:type="pct"/>
                  <w:tcBorders>
                    <w:top w:val="single" w:color="auto" w:sz="4" w:space="0"/>
                    <w:left w:val="single" w:color="auto" w:sz="4" w:space="0"/>
                    <w:bottom w:val="single" w:color="auto" w:sz="4" w:space="0"/>
                    <w:right w:val="single" w:color="auto" w:sz="4" w:space="0"/>
                  </w:tcBorders>
                  <w:vAlign w:val="center"/>
                </w:tcPr>
                <w:p w14:paraId="4D68DA47">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微软雅黑" w:hAnsi="微软雅黑" w:eastAsia="微软雅黑" w:cs="微软雅黑"/>
                      <w:color w:val="auto"/>
                      <w:szCs w:val="21"/>
                      <w:highlight w:val="none"/>
                    </w:rPr>
                    <w:t>Ⅰ</w:t>
                  </w:r>
                </w:p>
              </w:tc>
              <w:tc>
                <w:tcPr>
                  <w:tcW w:w="560" w:type="pct"/>
                  <w:tcBorders>
                    <w:top w:val="single" w:color="auto" w:sz="4" w:space="0"/>
                    <w:left w:val="single" w:color="auto" w:sz="4" w:space="0"/>
                    <w:bottom w:val="single" w:color="auto" w:sz="4" w:space="0"/>
                    <w:right w:val="single" w:color="auto" w:sz="4" w:space="0"/>
                  </w:tcBorders>
                  <w:vAlign w:val="center"/>
                </w:tcPr>
                <w:p w14:paraId="2351D032">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微软雅黑" w:hAnsi="微软雅黑" w:eastAsia="微软雅黑" w:cs="微软雅黑"/>
                      <w:color w:val="auto"/>
                      <w:szCs w:val="21"/>
                      <w:highlight w:val="none"/>
                    </w:rPr>
                    <w:t>Ⅰ</w:t>
                  </w:r>
                </w:p>
              </w:tc>
              <w:tc>
                <w:tcPr>
                  <w:tcW w:w="560" w:type="pct"/>
                  <w:tcBorders>
                    <w:top w:val="single" w:color="auto" w:sz="4" w:space="0"/>
                    <w:left w:val="single" w:color="auto" w:sz="4" w:space="0"/>
                    <w:bottom w:val="single" w:color="auto" w:sz="4" w:space="0"/>
                    <w:right w:val="single" w:color="auto" w:sz="4" w:space="0"/>
                  </w:tcBorders>
                  <w:vAlign w:val="center"/>
                </w:tcPr>
                <w:p w14:paraId="07B40C17">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微软雅黑" w:hAnsi="微软雅黑" w:eastAsia="微软雅黑" w:cs="微软雅黑"/>
                      <w:color w:val="auto"/>
                      <w:szCs w:val="21"/>
                      <w:highlight w:val="none"/>
                    </w:rPr>
                    <w:t>Ⅲ</w:t>
                  </w:r>
                </w:p>
              </w:tc>
              <w:tc>
                <w:tcPr>
                  <w:tcW w:w="560" w:type="pct"/>
                  <w:tcBorders>
                    <w:top w:val="single" w:color="auto" w:sz="4" w:space="0"/>
                    <w:left w:val="single" w:color="auto" w:sz="4" w:space="0"/>
                    <w:bottom w:val="single" w:color="auto" w:sz="4" w:space="0"/>
                    <w:right w:val="single" w:color="auto" w:sz="4" w:space="0"/>
                  </w:tcBorders>
                  <w:vAlign w:val="center"/>
                </w:tcPr>
                <w:p w14:paraId="027B7AEA">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微软雅黑" w:hAnsi="微软雅黑" w:eastAsia="微软雅黑" w:cs="微软雅黑"/>
                      <w:color w:val="auto"/>
                      <w:szCs w:val="21"/>
                      <w:highlight w:val="none"/>
                    </w:rPr>
                    <w:t>Ⅲ</w:t>
                  </w:r>
                </w:p>
              </w:tc>
              <w:tc>
                <w:tcPr>
                  <w:tcW w:w="618" w:type="pct"/>
                  <w:vMerge w:val="continue"/>
                  <w:tcBorders>
                    <w:top w:val="single" w:color="auto" w:sz="4" w:space="0"/>
                    <w:left w:val="single" w:color="auto" w:sz="4" w:space="0"/>
                    <w:bottom w:val="single" w:color="auto" w:sz="4" w:space="0"/>
                    <w:right w:val="single" w:color="auto" w:sz="4" w:space="0"/>
                  </w:tcBorders>
                  <w:vAlign w:val="center"/>
                </w:tcPr>
                <w:p w14:paraId="69D5C296">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r>
            <w:tr w14:paraId="08874AB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683" w:hRule="atLeast"/>
              </w:trPr>
              <w:tc>
                <w:tcPr>
                  <w:tcW w:w="454" w:type="pct"/>
                  <w:vMerge w:val="continue"/>
                  <w:tcBorders>
                    <w:top w:val="single" w:color="auto" w:sz="4" w:space="0"/>
                    <w:left w:val="single" w:color="auto" w:sz="4" w:space="0"/>
                    <w:bottom w:val="single" w:color="auto" w:sz="4" w:space="0"/>
                    <w:right w:val="single" w:color="auto" w:sz="4" w:space="0"/>
                  </w:tcBorders>
                  <w:vAlign w:val="center"/>
                </w:tcPr>
                <w:p w14:paraId="5DF241F4">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vAlign w:val="center"/>
                </w:tcPr>
                <w:p w14:paraId="5EBAF99A">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超标倍数</w:t>
                  </w:r>
                </w:p>
              </w:tc>
              <w:tc>
                <w:tcPr>
                  <w:tcW w:w="560" w:type="pct"/>
                  <w:tcBorders>
                    <w:top w:val="single" w:color="auto" w:sz="4" w:space="0"/>
                    <w:left w:val="single" w:color="auto" w:sz="4" w:space="0"/>
                    <w:bottom w:val="single" w:color="auto" w:sz="4" w:space="0"/>
                    <w:right w:val="single" w:color="auto" w:sz="4" w:space="0"/>
                  </w:tcBorders>
                  <w:vAlign w:val="center"/>
                </w:tcPr>
                <w:p w14:paraId="52E99D42">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560" w:type="pct"/>
                  <w:tcBorders>
                    <w:top w:val="single" w:color="auto" w:sz="4" w:space="0"/>
                    <w:left w:val="single" w:color="auto" w:sz="4" w:space="0"/>
                    <w:bottom w:val="single" w:color="auto" w:sz="4" w:space="0"/>
                    <w:right w:val="single" w:color="auto" w:sz="4" w:space="0"/>
                  </w:tcBorders>
                  <w:vAlign w:val="center"/>
                </w:tcPr>
                <w:p w14:paraId="33FCBA2D">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560" w:type="pct"/>
                  <w:tcBorders>
                    <w:top w:val="single" w:color="auto" w:sz="4" w:space="0"/>
                    <w:left w:val="single" w:color="auto" w:sz="4" w:space="0"/>
                    <w:bottom w:val="single" w:color="auto" w:sz="4" w:space="0"/>
                    <w:right w:val="single" w:color="auto" w:sz="4" w:space="0"/>
                  </w:tcBorders>
                  <w:vAlign w:val="center"/>
                </w:tcPr>
                <w:p w14:paraId="05388C28">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560" w:type="pct"/>
                  <w:tcBorders>
                    <w:top w:val="single" w:color="auto" w:sz="4" w:space="0"/>
                    <w:left w:val="single" w:color="auto" w:sz="4" w:space="0"/>
                    <w:bottom w:val="single" w:color="auto" w:sz="4" w:space="0"/>
                    <w:right w:val="single" w:color="auto" w:sz="4" w:space="0"/>
                  </w:tcBorders>
                  <w:vAlign w:val="center"/>
                </w:tcPr>
                <w:p w14:paraId="08846AB6">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560" w:type="pct"/>
                  <w:tcBorders>
                    <w:top w:val="single" w:color="auto" w:sz="4" w:space="0"/>
                    <w:left w:val="single" w:color="auto" w:sz="4" w:space="0"/>
                    <w:bottom w:val="single" w:color="auto" w:sz="4" w:space="0"/>
                    <w:right w:val="single" w:color="auto" w:sz="4" w:space="0"/>
                  </w:tcBorders>
                  <w:vAlign w:val="center"/>
                </w:tcPr>
                <w:p w14:paraId="505DA60E">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560" w:type="pct"/>
                  <w:tcBorders>
                    <w:top w:val="single" w:color="auto" w:sz="4" w:space="0"/>
                    <w:left w:val="single" w:color="auto" w:sz="4" w:space="0"/>
                    <w:bottom w:val="single" w:color="auto" w:sz="4" w:space="0"/>
                    <w:right w:val="single" w:color="auto" w:sz="4" w:space="0"/>
                  </w:tcBorders>
                  <w:vAlign w:val="center"/>
                </w:tcPr>
                <w:p w14:paraId="578147C8">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p>
              </w:tc>
              <w:tc>
                <w:tcPr>
                  <w:tcW w:w="61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0D0F0CF8">
                  <w:pPr>
                    <w:keepNext w:val="0"/>
                    <w:keepLines w:val="0"/>
                    <w:suppressLineNumbers w:val="0"/>
                    <w:spacing w:before="0" w:beforeAutospacing="0" w:after="0" w:afterAutospacing="0"/>
                    <w:ind w:left="0" w:right="0"/>
                    <w:jc w:val="center"/>
                    <w:rPr>
                      <w:rFonts w:ascii="Times New Roman" w:hAnsi="Times New Roman" w:eastAsia="宋体" w:cs="Times New Roman"/>
                      <w:color w:val="auto"/>
                      <w:szCs w:val="21"/>
                      <w:highlight w:val="none"/>
                    </w:rPr>
                  </w:pPr>
                </w:p>
              </w:tc>
            </w:tr>
          </w:tbl>
          <w:p w14:paraId="31CE91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根据202</w:t>
            </w:r>
            <w:r>
              <w:rPr>
                <w:rFonts w:hint="eastAsia" w:ascii="Times New Roman" w:hAnsi="Times New Roman" w:eastAsia="宋体" w:cs="Times New Roman"/>
                <w:color w:val="auto"/>
                <w:sz w:val="24"/>
                <w:highlight w:val="none"/>
                <w:lang w:val="en-US" w:eastAsia="zh-CN"/>
              </w:rPr>
              <w:t>4</w:t>
            </w:r>
            <w:r>
              <w:rPr>
                <w:rFonts w:hint="eastAsia" w:ascii="Times New Roman" w:hAnsi="Times New Roman" w:eastAsia="宋体" w:cs="Times New Roman"/>
                <w:color w:val="auto"/>
                <w:sz w:val="24"/>
                <w:highlight w:val="none"/>
              </w:rPr>
              <w:t>年抚顺市环境质量报告中对东洲河的监测数据可知，东洲河断面污染物满足《地表水环境质量标准》（GB3838-2002）中</w:t>
            </w:r>
            <w:r>
              <w:rPr>
                <w:rFonts w:hint="eastAsia" w:ascii="微软雅黑" w:hAnsi="微软雅黑" w:eastAsia="微软雅黑" w:cs="微软雅黑"/>
                <w:color w:val="auto"/>
                <w:szCs w:val="21"/>
                <w:highlight w:val="none"/>
              </w:rPr>
              <w:t>Ⅲ</w:t>
            </w:r>
            <w:r>
              <w:rPr>
                <w:rFonts w:hint="eastAsia" w:ascii="Times New Roman" w:hAnsi="Times New Roman" w:eastAsia="宋体" w:cs="Times New Roman"/>
                <w:color w:val="auto"/>
                <w:sz w:val="24"/>
                <w:highlight w:val="none"/>
              </w:rPr>
              <w:t>类标准。</w:t>
            </w:r>
          </w:p>
          <w:p w14:paraId="31A49A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3</w:t>
            </w:r>
            <w:r>
              <w:rPr>
                <w:rFonts w:hint="eastAsia" w:ascii="Times New Roman" w:hAnsi="Times New Roman" w:eastAsia="宋体" w:cs="Times New Roman"/>
                <w:b/>
                <w:bCs/>
                <w:color w:val="auto"/>
                <w:sz w:val="24"/>
                <w:highlight w:val="none"/>
              </w:rPr>
              <w:t>、声环境质量现状</w:t>
            </w:r>
          </w:p>
          <w:p w14:paraId="021053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本项目厂界外周边50m 范围内不存在声环境保护目标，故无需监测保护目标声环境质量现状。</w:t>
            </w:r>
          </w:p>
          <w:p w14:paraId="0CC0DF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4、地下水</w:t>
            </w:r>
          </w:p>
          <w:p w14:paraId="1DA44F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汉圣化工（抚顺）有限公司于202</w:t>
            </w:r>
            <w:r>
              <w:rPr>
                <w:rFonts w:hint="eastAsia" w:ascii="Times New Roman" w:hAnsi="Times New Roman" w:eastAsia="宋体" w:cs="Times New Roman"/>
                <w:color w:val="auto"/>
                <w:sz w:val="24"/>
                <w:highlight w:val="none"/>
                <w:lang w:val="en-US" w:eastAsia="zh-CN"/>
              </w:rPr>
              <w:t>5</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9</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13</w:t>
            </w:r>
            <w:r>
              <w:rPr>
                <w:rFonts w:hint="eastAsia" w:ascii="Times New Roman" w:hAnsi="Times New Roman" w:eastAsia="宋体" w:cs="Times New Roman"/>
                <w:color w:val="auto"/>
                <w:sz w:val="24"/>
                <w:highlight w:val="none"/>
              </w:rPr>
              <w:t>日委托辽宁</w:t>
            </w:r>
            <w:r>
              <w:rPr>
                <w:rFonts w:hint="eastAsia" w:ascii="Times New Roman" w:hAnsi="Times New Roman" w:eastAsia="宋体" w:cs="Times New Roman"/>
                <w:color w:val="auto"/>
                <w:sz w:val="24"/>
                <w:highlight w:val="none"/>
                <w:lang w:val="en-US" w:eastAsia="zh-CN"/>
              </w:rPr>
              <w:t>创宁生态环境科技</w:t>
            </w:r>
            <w:r>
              <w:rPr>
                <w:rFonts w:hint="eastAsia" w:ascii="Times New Roman" w:hAnsi="Times New Roman" w:eastAsia="宋体" w:cs="Times New Roman"/>
                <w:color w:val="auto"/>
                <w:sz w:val="24"/>
                <w:highlight w:val="none"/>
              </w:rPr>
              <w:t>对厂区地下水环境进行检测，检测文号：</w:t>
            </w:r>
            <w:r>
              <w:rPr>
                <w:rFonts w:hint="eastAsia" w:ascii="Times New Roman" w:hAnsi="Times New Roman" w:eastAsia="宋体" w:cs="Times New Roman"/>
                <w:color w:val="auto"/>
                <w:sz w:val="24"/>
                <w:highlight w:val="none"/>
                <w:lang w:val="en-US" w:eastAsia="zh-CN"/>
              </w:rPr>
              <w:t>CNHJ-WT-2508141</w:t>
            </w:r>
            <w:r>
              <w:rPr>
                <w:rFonts w:hint="eastAsia" w:ascii="Times New Roman" w:hAnsi="Times New Roman" w:eastAsia="宋体" w:cs="Times New Roman"/>
                <w:color w:val="auto"/>
                <w:sz w:val="24"/>
                <w:highlight w:val="none"/>
              </w:rPr>
              <w:t>，检测结果详见下表。</w:t>
            </w:r>
          </w:p>
          <w:p w14:paraId="28B01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①监测点位：</w:t>
            </w:r>
            <w:r>
              <w:rPr>
                <w:rFonts w:hint="eastAsia" w:ascii="Times New Roman" w:hAnsi="Times New Roman" w:eastAsia="宋体" w:cs="Times New Roman"/>
                <w:color w:val="auto"/>
                <w:sz w:val="24"/>
                <w:highlight w:val="none"/>
                <w:lang w:val="en-US" w:eastAsia="zh-CN"/>
              </w:rPr>
              <w:t>1#</w:t>
            </w:r>
            <w:r>
              <w:rPr>
                <w:rFonts w:hint="eastAsia" w:ascii="Times New Roman" w:hAnsi="Times New Roman" w:eastAsia="宋体" w:cs="Times New Roman"/>
                <w:color w:val="auto"/>
                <w:sz w:val="24"/>
                <w:highlight w:val="none"/>
              </w:rPr>
              <w:t>罐区</w:t>
            </w:r>
            <w:r>
              <w:rPr>
                <w:rFonts w:hint="eastAsia" w:ascii="Times New Roman" w:hAnsi="Times New Roman" w:eastAsia="宋体" w:cs="Times New Roman"/>
                <w:color w:val="auto"/>
                <w:sz w:val="24"/>
                <w:highlight w:val="none"/>
                <w:lang w:val="en-US" w:eastAsia="zh-CN"/>
              </w:rPr>
              <w:t>东侧、2#</w:t>
            </w:r>
            <w:r>
              <w:rPr>
                <w:rFonts w:hint="eastAsia" w:ascii="Times New Roman" w:hAnsi="Times New Roman" w:eastAsia="宋体" w:cs="Times New Roman"/>
                <w:color w:val="auto"/>
                <w:sz w:val="24"/>
                <w:highlight w:val="none"/>
              </w:rPr>
              <w:t>生产车间西侧</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3#</w:t>
            </w:r>
            <w:r>
              <w:rPr>
                <w:rFonts w:hint="eastAsia" w:ascii="Times New Roman" w:hAnsi="Times New Roman" w:eastAsia="宋体" w:cs="Times New Roman"/>
                <w:color w:val="auto"/>
                <w:sz w:val="24"/>
                <w:highlight w:val="none"/>
              </w:rPr>
              <w:t>地下事故池西侧</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4#</w:t>
            </w:r>
            <w:r>
              <w:rPr>
                <w:rFonts w:hint="eastAsia" w:ascii="Times New Roman" w:hAnsi="Times New Roman" w:eastAsia="宋体" w:cs="Times New Roman"/>
                <w:color w:val="auto"/>
                <w:sz w:val="24"/>
                <w:highlight w:val="none"/>
              </w:rPr>
              <w:t>成品库房及原料库房西侧</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5#</w:t>
            </w:r>
            <w:r>
              <w:rPr>
                <w:rFonts w:hint="eastAsia" w:ascii="Times New Roman" w:hAnsi="Times New Roman" w:eastAsia="宋体" w:cs="Times New Roman"/>
                <w:color w:val="auto"/>
                <w:sz w:val="24"/>
                <w:highlight w:val="none"/>
              </w:rPr>
              <w:t>厂区中心东南侧1483m处</w:t>
            </w:r>
          </w:p>
          <w:p w14:paraId="07EAF3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②监测时间、频率：监测1天，监测一次。</w:t>
            </w:r>
          </w:p>
          <w:p w14:paraId="15C134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③监测项目：色度、浑浊度、臭和味、肉眼可见物、pH、总硬度、溶解性总固体、硫酸盐、氯化物、铁、锰、铜、锌、铝、挥发酚、阴离子合成洗涤剂、高锰酸盐指数、氨、硫化物、钠、硝酸盐、亚硝酸盐、氰化物、氟化物、碘化物、砷、汞、硒、镉、铬、铅、三氯甲烷、四氯化碳、苯、甲苯、二甲苯、苯乙烯、乙苯。</w:t>
            </w:r>
          </w:p>
          <w:p w14:paraId="775DA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p>
          <w:p w14:paraId="2FBE93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p>
          <w:p w14:paraId="55C0A2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p>
          <w:p w14:paraId="4097B6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p>
          <w:p w14:paraId="5124D1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④分析方法</w:t>
            </w:r>
          </w:p>
          <w:p w14:paraId="5AF6D4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表</w:t>
            </w:r>
            <w:r>
              <w:rPr>
                <w:rFonts w:hint="eastAsia" w:ascii="Times New Roman" w:hAnsi="Times New Roman" w:eastAsia="宋体" w:cs="Times New Roman"/>
                <w:color w:val="auto"/>
                <w:sz w:val="24"/>
                <w:highlight w:val="none"/>
                <w:lang w:val="en-US" w:eastAsia="zh-CN"/>
              </w:rPr>
              <w:t>3-5</w:t>
            </w:r>
            <w:r>
              <w:rPr>
                <w:rFonts w:hint="eastAsia" w:ascii="Times New Roman" w:hAnsi="Times New Roman" w:eastAsia="宋体" w:cs="Times New Roman"/>
                <w:color w:val="auto"/>
                <w:sz w:val="24"/>
                <w:highlight w:val="none"/>
              </w:rPr>
              <w:t xml:space="preserve">  本项目地下水检测分析方法</w:t>
            </w:r>
          </w:p>
          <w:tbl>
            <w:tblPr>
              <w:tblStyle w:val="27"/>
              <w:tblW w:w="79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151"/>
              <w:gridCol w:w="3118"/>
              <w:gridCol w:w="1559"/>
              <w:gridCol w:w="1418"/>
            </w:tblGrid>
            <w:tr w14:paraId="4247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5C64B200">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序号</w:t>
                  </w:r>
                </w:p>
              </w:tc>
              <w:tc>
                <w:tcPr>
                  <w:tcW w:w="1151" w:type="dxa"/>
                  <w:noWrap w:val="0"/>
                  <w:vAlign w:val="center"/>
                </w:tcPr>
                <w:p w14:paraId="2F592213">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检测</w:t>
                  </w:r>
                </w:p>
                <w:p w14:paraId="2167BB66">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项目</w:t>
                  </w:r>
                </w:p>
              </w:tc>
              <w:tc>
                <w:tcPr>
                  <w:tcW w:w="3118" w:type="dxa"/>
                  <w:noWrap w:val="0"/>
                  <w:vAlign w:val="center"/>
                </w:tcPr>
                <w:p w14:paraId="78DFF4B5">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分析方法及标准号</w:t>
                  </w:r>
                </w:p>
              </w:tc>
              <w:tc>
                <w:tcPr>
                  <w:tcW w:w="1559" w:type="dxa"/>
                  <w:noWrap w:val="0"/>
                  <w:vAlign w:val="center"/>
                </w:tcPr>
                <w:p w14:paraId="13DB1AD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color w:val="auto"/>
                      <w:kern w:val="0"/>
                      <w:szCs w:val="21"/>
                      <w:highlight w:val="none"/>
                    </w:rPr>
                    <w:t>分析仪器名称及型号</w:t>
                  </w:r>
                </w:p>
              </w:tc>
              <w:tc>
                <w:tcPr>
                  <w:tcW w:w="1418" w:type="dxa"/>
                  <w:noWrap w:val="0"/>
                  <w:vAlign w:val="center"/>
                </w:tcPr>
                <w:p w14:paraId="59859D3F">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检出限</w:t>
                  </w:r>
                </w:p>
              </w:tc>
            </w:tr>
            <w:tr w14:paraId="77D2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70878B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w:t>
                  </w:r>
                </w:p>
              </w:tc>
              <w:tc>
                <w:tcPr>
                  <w:tcW w:w="1151" w:type="dxa"/>
                  <w:noWrap w:val="0"/>
                  <w:vAlign w:val="center"/>
                </w:tcPr>
                <w:p w14:paraId="0FF5EB13">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色度</w:t>
                  </w:r>
                </w:p>
              </w:tc>
              <w:tc>
                <w:tcPr>
                  <w:tcW w:w="3118" w:type="dxa"/>
                  <w:noWrap w:val="0"/>
                  <w:vAlign w:val="center"/>
                </w:tcPr>
                <w:p w14:paraId="2AD088C8">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生活饮用水标准检验方法第4部分感官性状和物理指标GB/T5750.4-20234.1 铂-钻标准比色法</w:t>
                  </w:r>
                </w:p>
              </w:tc>
              <w:tc>
                <w:tcPr>
                  <w:tcW w:w="1559" w:type="dxa"/>
                  <w:noWrap w:val="0"/>
                  <w:vAlign w:val="center"/>
                </w:tcPr>
                <w:p w14:paraId="7EC8B8D6">
                  <w:pPr>
                    <w:keepNext w:val="0"/>
                    <w:keepLines w:val="0"/>
                    <w:widowControl/>
                    <w:suppressLineNumbers w:val="0"/>
                    <w:spacing w:before="0" w:beforeAutospacing="0" w:after="0" w:afterAutospacing="0"/>
                    <w:ind w:left="0" w:right="0"/>
                    <w:jc w:val="center"/>
                    <w:textAlignment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50mL比色管</w:t>
                  </w:r>
                </w:p>
              </w:tc>
              <w:tc>
                <w:tcPr>
                  <w:tcW w:w="1418" w:type="dxa"/>
                  <w:noWrap w:val="0"/>
                  <w:vAlign w:val="center"/>
                </w:tcPr>
                <w:p w14:paraId="5DBF07E8">
                  <w:pPr>
                    <w:keepNext w:val="0"/>
                    <w:keepLines w:val="0"/>
                    <w:widowControl/>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5（度）</w:t>
                  </w:r>
                </w:p>
              </w:tc>
            </w:tr>
            <w:tr w14:paraId="5D37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13D54A2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w:t>
                  </w:r>
                </w:p>
              </w:tc>
              <w:tc>
                <w:tcPr>
                  <w:tcW w:w="1151" w:type="dxa"/>
                  <w:noWrap w:val="0"/>
                  <w:vAlign w:val="center"/>
                </w:tcPr>
                <w:p w14:paraId="73689B16">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浑浊度</w:t>
                  </w:r>
                </w:p>
              </w:tc>
              <w:tc>
                <w:tcPr>
                  <w:tcW w:w="3118" w:type="dxa"/>
                  <w:noWrap w:val="0"/>
                  <w:vAlign w:val="center"/>
                </w:tcPr>
                <w:p w14:paraId="3E4238EC">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生活饮用水标准检验方法 第4部分感官性状和物理指标GB/T 5750.4-2023 5.2 目视比浊法-福尔马肼标准</w:t>
                  </w:r>
                </w:p>
              </w:tc>
              <w:tc>
                <w:tcPr>
                  <w:tcW w:w="1559" w:type="dxa"/>
                  <w:noWrap w:val="0"/>
                  <w:vAlign w:val="center"/>
                </w:tcPr>
                <w:p w14:paraId="17C430DE">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lang w:val="en-US" w:eastAsia="zh-CN"/>
                    </w:rPr>
                    <w:t>50mL比色管</w:t>
                  </w:r>
                </w:p>
              </w:tc>
              <w:tc>
                <w:tcPr>
                  <w:tcW w:w="1418" w:type="dxa"/>
                  <w:noWrap w:val="0"/>
                  <w:vAlign w:val="center"/>
                </w:tcPr>
                <w:p w14:paraId="331D119E">
                  <w:pPr>
                    <w:keepNext w:val="0"/>
                    <w:keepLines w:val="0"/>
                    <w:widowControl/>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1（NTU）</w:t>
                  </w:r>
                </w:p>
              </w:tc>
            </w:tr>
            <w:tr w14:paraId="5E4A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0DDF7B8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3</w:t>
                  </w:r>
                </w:p>
              </w:tc>
              <w:tc>
                <w:tcPr>
                  <w:tcW w:w="1151" w:type="dxa"/>
                  <w:noWrap w:val="0"/>
                  <w:vAlign w:val="center"/>
                </w:tcPr>
                <w:p w14:paraId="0563554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臭和味</w:t>
                  </w:r>
                </w:p>
              </w:tc>
              <w:tc>
                <w:tcPr>
                  <w:tcW w:w="3118" w:type="dxa"/>
                  <w:noWrap w:val="0"/>
                  <w:vAlign w:val="center"/>
                </w:tcPr>
                <w:p w14:paraId="174FB541">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生活饮用水标准检验方法第4部分感官性状和物理指标GB/T5750.4-2023 6.1嗅气和尝味法</w:t>
                  </w:r>
                </w:p>
              </w:tc>
              <w:tc>
                <w:tcPr>
                  <w:tcW w:w="1559" w:type="dxa"/>
                  <w:noWrap w:val="0"/>
                  <w:vAlign w:val="center"/>
                </w:tcPr>
                <w:p w14:paraId="50B70B20">
                  <w:pPr>
                    <w:keepNext w:val="0"/>
                    <w:keepLines w:val="0"/>
                    <w:widowControl/>
                    <w:suppressLineNumbers w:val="0"/>
                    <w:spacing w:before="0" w:beforeAutospacing="0" w:after="0" w:afterAutospacing="0"/>
                    <w:ind w:left="0" w:right="0"/>
                    <w:jc w:val="center"/>
                    <w:textAlignment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c>
                <w:tcPr>
                  <w:tcW w:w="1418" w:type="dxa"/>
                  <w:noWrap w:val="0"/>
                  <w:vAlign w:val="center"/>
                </w:tcPr>
                <w:p w14:paraId="7D60F218">
                  <w:pPr>
                    <w:keepNext w:val="0"/>
                    <w:keepLines w:val="0"/>
                    <w:widowControl/>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w:t>
                  </w:r>
                </w:p>
              </w:tc>
            </w:tr>
            <w:tr w14:paraId="7A2E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1000686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4</w:t>
                  </w:r>
                </w:p>
              </w:tc>
              <w:tc>
                <w:tcPr>
                  <w:tcW w:w="1151" w:type="dxa"/>
                  <w:noWrap w:val="0"/>
                  <w:vAlign w:val="center"/>
                </w:tcPr>
                <w:p w14:paraId="2ED540B9">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肉眼可见物</w:t>
                  </w:r>
                </w:p>
              </w:tc>
              <w:tc>
                <w:tcPr>
                  <w:tcW w:w="3118" w:type="dxa"/>
                  <w:noWrap w:val="0"/>
                  <w:vAlign w:val="center"/>
                </w:tcPr>
                <w:p w14:paraId="41248F62">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生活饮用水标准检验方法第4部分感官性状和物理指标GB/T 5750.4-2023 7.1直接观察法</w:t>
                  </w:r>
                </w:p>
              </w:tc>
              <w:tc>
                <w:tcPr>
                  <w:tcW w:w="1559" w:type="dxa"/>
                  <w:noWrap w:val="0"/>
                  <w:vAlign w:val="center"/>
                </w:tcPr>
                <w:p w14:paraId="28D13B45">
                  <w:pPr>
                    <w:keepNext w:val="0"/>
                    <w:keepLines w:val="0"/>
                    <w:widowControl/>
                    <w:suppressLineNumbers w:val="0"/>
                    <w:spacing w:before="0" w:beforeAutospacing="0" w:after="0" w:afterAutospacing="0"/>
                    <w:ind w:left="0" w:right="0"/>
                    <w:jc w:val="center"/>
                    <w:textAlignment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w:t>
                  </w:r>
                </w:p>
              </w:tc>
              <w:tc>
                <w:tcPr>
                  <w:tcW w:w="1418" w:type="dxa"/>
                  <w:noWrap w:val="0"/>
                  <w:vAlign w:val="center"/>
                </w:tcPr>
                <w:p w14:paraId="72B38360">
                  <w:pPr>
                    <w:keepNext w:val="0"/>
                    <w:keepLines w:val="0"/>
                    <w:widowControl/>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w:t>
                  </w:r>
                </w:p>
              </w:tc>
            </w:tr>
            <w:tr w14:paraId="0040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9DD05B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5</w:t>
                  </w:r>
                </w:p>
              </w:tc>
              <w:tc>
                <w:tcPr>
                  <w:tcW w:w="1151" w:type="dxa"/>
                  <w:noWrap w:val="0"/>
                  <w:vAlign w:val="center"/>
                </w:tcPr>
                <w:p w14:paraId="460CE216">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pH</w:t>
                  </w:r>
                </w:p>
              </w:tc>
              <w:tc>
                <w:tcPr>
                  <w:tcW w:w="3118" w:type="dxa"/>
                  <w:shd w:val="clear" w:color="auto" w:fill="auto"/>
                  <w:noWrap w:val="0"/>
                  <w:vAlign w:val="center"/>
                </w:tcPr>
                <w:p w14:paraId="3979704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color w:val="auto"/>
                      <w:szCs w:val="21"/>
                      <w:highlight w:val="none"/>
                    </w:rPr>
                    <w:t>生活饮用水标准检验方法 感官性状和物理指标 pH值</w:t>
                  </w:r>
                </w:p>
                <w:p w14:paraId="4ADD13A6">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0"/>
                      <w:sz w:val="21"/>
                      <w:szCs w:val="21"/>
                      <w:highlight w:val="none"/>
                      <w:lang w:val="en-US" w:eastAsia="zh-CN" w:bidi="ar-SA"/>
                    </w:rPr>
                  </w:pPr>
                  <w:r>
                    <w:rPr>
                      <w:color w:val="auto"/>
                      <w:kern w:val="0"/>
                      <w:szCs w:val="21"/>
                      <w:highlight w:val="none"/>
                    </w:rPr>
                    <w:t>玻璃电极法</w:t>
                  </w:r>
                  <w:r>
                    <w:rPr>
                      <w:color w:val="auto"/>
                      <w:szCs w:val="21"/>
                      <w:highlight w:val="none"/>
                    </w:rPr>
                    <w:t>GB/T 5750.4-</w:t>
                  </w:r>
                  <w:r>
                    <w:rPr>
                      <w:rFonts w:hint="eastAsia"/>
                      <w:color w:val="auto"/>
                      <w:szCs w:val="21"/>
                      <w:highlight w:val="none"/>
                    </w:rPr>
                    <w:t>2023</w:t>
                  </w:r>
                </w:p>
              </w:tc>
              <w:tc>
                <w:tcPr>
                  <w:tcW w:w="1559" w:type="dxa"/>
                  <w:shd w:val="clear" w:color="auto" w:fill="auto"/>
                  <w:noWrap w:val="0"/>
                  <w:vAlign w:val="center"/>
                </w:tcPr>
                <w:p w14:paraId="72AFD2F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p</w:t>
                  </w:r>
                  <w:r>
                    <w:rPr>
                      <w:color w:val="auto"/>
                      <w:kern w:val="0"/>
                      <w:szCs w:val="21"/>
                      <w:highlight w:val="none"/>
                    </w:rPr>
                    <w:t>H</w:t>
                  </w:r>
                  <w:r>
                    <w:rPr>
                      <w:rFonts w:hint="eastAsia"/>
                      <w:color w:val="auto"/>
                      <w:kern w:val="0"/>
                      <w:szCs w:val="21"/>
                      <w:highlight w:val="none"/>
                      <w:lang w:val="en-US" w:eastAsia="zh-CN"/>
                    </w:rPr>
                    <w:t>计</w:t>
                  </w:r>
                </w:p>
              </w:tc>
              <w:tc>
                <w:tcPr>
                  <w:tcW w:w="1418" w:type="dxa"/>
                  <w:shd w:val="clear" w:color="auto" w:fill="auto"/>
                  <w:noWrap w:val="0"/>
                  <w:vAlign w:val="center"/>
                </w:tcPr>
                <w:p w14:paraId="148D54DA">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w:t>
                  </w:r>
                </w:p>
              </w:tc>
            </w:tr>
            <w:tr w14:paraId="1B8D8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54617A9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6</w:t>
                  </w:r>
                </w:p>
              </w:tc>
              <w:tc>
                <w:tcPr>
                  <w:tcW w:w="1151" w:type="dxa"/>
                  <w:noWrap w:val="0"/>
                  <w:vAlign w:val="center"/>
                </w:tcPr>
                <w:p w14:paraId="1C74956B">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总硬度</w:t>
                  </w:r>
                </w:p>
              </w:tc>
              <w:tc>
                <w:tcPr>
                  <w:tcW w:w="3118" w:type="dxa"/>
                  <w:shd w:val="clear" w:color="auto" w:fill="auto"/>
                  <w:noWrap w:val="0"/>
                  <w:vAlign w:val="center"/>
                </w:tcPr>
                <w:p w14:paraId="1754AC09">
                  <w:pPr>
                    <w:keepNext w:val="0"/>
                    <w:keepLines w:val="0"/>
                    <w:widowControl/>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0"/>
                      <w:sz w:val="21"/>
                      <w:szCs w:val="21"/>
                      <w:highlight w:val="none"/>
                      <w:lang w:val="pt-BR" w:eastAsia="zh-CN" w:bidi="ar"/>
                    </w:rPr>
                  </w:pPr>
                  <w:r>
                    <w:rPr>
                      <w:rFonts w:hint="eastAsia"/>
                      <w:color w:val="auto"/>
                      <w:kern w:val="0"/>
                      <w:szCs w:val="21"/>
                      <w:highlight w:val="none"/>
                      <w:lang w:bidi="ar"/>
                    </w:rPr>
                    <w:t>乙二胺四乙酸二钠滴定法</w:t>
                  </w:r>
                  <w:r>
                    <w:rPr>
                      <w:color w:val="auto"/>
                      <w:kern w:val="0"/>
                      <w:szCs w:val="21"/>
                      <w:highlight w:val="none"/>
                      <w:lang w:bidi="ar"/>
                    </w:rPr>
                    <w:t xml:space="preserve"> </w:t>
                  </w:r>
                  <w:r>
                    <w:rPr>
                      <w:rFonts w:hint="eastAsia"/>
                      <w:color w:val="auto"/>
                      <w:kern w:val="0"/>
                      <w:szCs w:val="21"/>
                      <w:highlight w:val="none"/>
                      <w:lang w:bidi="ar"/>
                    </w:rPr>
                    <w:t>生活饮用水标准检验方法</w:t>
                  </w:r>
                  <w:r>
                    <w:rPr>
                      <w:color w:val="auto"/>
                      <w:kern w:val="0"/>
                      <w:szCs w:val="21"/>
                      <w:highlight w:val="none"/>
                      <w:lang w:bidi="ar"/>
                    </w:rPr>
                    <w:t xml:space="preserve"> </w:t>
                  </w:r>
                  <w:r>
                    <w:rPr>
                      <w:rFonts w:hint="eastAsia"/>
                      <w:color w:val="auto"/>
                      <w:kern w:val="0"/>
                      <w:szCs w:val="21"/>
                      <w:highlight w:val="none"/>
                      <w:lang w:bidi="ar"/>
                    </w:rPr>
                    <w:t>感官性状和物理指标</w:t>
                  </w:r>
                  <w:r>
                    <w:rPr>
                      <w:color w:val="auto"/>
                      <w:kern w:val="0"/>
                      <w:szCs w:val="21"/>
                      <w:highlight w:val="none"/>
                      <w:lang w:bidi="ar"/>
                    </w:rPr>
                    <w:t xml:space="preserve">   GB/T 5750.4-</w:t>
                  </w:r>
                  <w:r>
                    <w:rPr>
                      <w:rFonts w:hint="eastAsia"/>
                      <w:color w:val="auto"/>
                      <w:kern w:val="0"/>
                      <w:szCs w:val="21"/>
                      <w:highlight w:val="none"/>
                      <w:lang w:bidi="ar"/>
                    </w:rPr>
                    <w:t>2023</w:t>
                  </w:r>
                </w:p>
              </w:tc>
              <w:tc>
                <w:tcPr>
                  <w:tcW w:w="1559" w:type="dxa"/>
                  <w:shd w:val="clear" w:color="auto" w:fill="auto"/>
                  <w:noWrap w:val="0"/>
                  <w:vAlign w:val="center"/>
                </w:tcPr>
                <w:p w14:paraId="4F418B38">
                  <w:pPr>
                    <w:keepNext w:val="0"/>
                    <w:keepLines w:val="0"/>
                    <w:widowControl/>
                    <w:suppressLineNumbers w:val="0"/>
                    <w:adjustRightInd w:val="0"/>
                    <w:snapToGrid w:val="0"/>
                    <w:spacing w:before="0" w:beforeAutospacing="0" w:after="0" w:afterAutospacing="0"/>
                    <w:ind w:left="0" w:right="0"/>
                    <w:jc w:val="center"/>
                    <w:rPr>
                      <w:color w:val="auto"/>
                      <w:kern w:val="0"/>
                      <w:szCs w:val="21"/>
                      <w:highlight w:val="none"/>
                      <w:lang w:bidi="ar"/>
                    </w:rPr>
                  </w:pPr>
                  <w:r>
                    <w:rPr>
                      <w:rFonts w:hint="eastAsia"/>
                      <w:color w:val="auto"/>
                      <w:kern w:val="0"/>
                      <w:szCs w:val="21"/>
                      <w:highlight w:val="none"/>
                      <w:lang w:bidi="ar"/>
                    </w:rPr>
                    <w:t>滴定管</w:t>
                  </w:r>
                </w:p>
                <w:p w14:paraId="2743E8E1">
                  <w:pPr>
                    <w:keepNext w:val="0"/>
                    <w:keepLines w:val="0"/>
                    <w:widowControl/>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0"/>
                      <w:sz w:val="21"/>
                      <w:szCs w:val="21"/>
                      <w:highlight w:val="none"/>
                      <w:lang w:val="en-US" w:eastAsia="zh-CN" w:bidi="ar"/>
                    </w:rPr>
                  </w:pPr>
                  <w:r>
                    <w:rPr>
                      <w:rFonts w:hint="eastAsia"/>
                      <w:color w:val="auto"/>
                      <w:kern w:val="0"/>
                      <w:szCs w:val="21"/>
                      <w:highlight w:val="none"/>
                      <w:lang w:bidi="ar"/>
                    </w:rPr>
                    <w:t>25</w:t>
                  </w:r>
                  <w:r>
                    <w:rPr>
                      <w:color w:val="auto"/>
                      <w:kern w:val="0"/>
                      <w:szCs w:val="21"/>
                      <w:highlight w:val="none"/>
                      <w:lang w:bidi="ar"/>
                    </w:rPr>
                    <w:t>ml</w:t>
                  </w:r>
                </w:p>
              </w:tc>
              <w:tc>
                <w:tcPr>
                  <w:tcW w:w="1418" w:type="dxa"/>
                  <w:shd w:val="clear" w:color="auto" w:fill="auto"/>
                  <w:noWrap w:val="0"/>
                  <w:vAlign w:val="center"/>
                </w:tcPr>
                <w:p w14:paraId="13860D1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color w:val="auto"/>
                      <w:szCs w:val="22"/>
                      <w:highlight w:val="none"/>
                    </w:rPr>
                    <w:t>1.0</w:t>
                  </w:r>
                  <w:r>
                    <w:rPr>
                      <w:color w:val="auto"/>
                      <w:szCs w:val="21"/>
                      <w:highlight w:val="none"/>
                    </w:rPr>
                    <w:t xml:space="preserve"> mg/L</w:t>
                  </w:r>
                </w:p>
              </w:tc>
            </w:tr>
            <w:tr w14:paraId="404F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771408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7</w:t>
                  </w:r>
                </w:p>
              </w:tc>
              <w:tc>
                <w:tcPr>
                  <w:tcW w:w="1151" w:type="dxa"/>
                  <w:noWrap w:val="0"/>
                  <w:vAlign w:val="center"/>
                </w:tcPr>
                <w:p w14:paraId="5496EF71">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溶解性总固体</w:t>
                  </w:r>
                </w:p>
              </w:tc>
              <w:tc>
                <w:tcPr>
                  <w:tcW w:w="3118" w:type="dxa"/>
                  <w:shd w:val="clear" w:color="auto" w:fill="auto"/>
                  <w:noWrap w:val="0"/>
                  <w:vAlign w:val="center"/>
                </w:tcPr>
                <w:p w14:paraId="6C860EA9">
                  <w:pPr>
                    <w:keepNext w:val="0"/>
                    <w:keepLines w:val="0"/>
                    <w:suppressLineNumbers w:val="0"/>
                    <w:tabs>
                      <w:tab w:val="center" w:pos="4153"/>
                      <w:tab w:val="right" w:pos="8306"/>
                    </w:tabs>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5B68498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电子天平</w:t>
                  </w:r>
                  <w:r>
                    <w:rPr>
                      <w:rFonts w:hint="eastAsia"/>
                      <w:color w:val="auto"/>
                      <w:kern w:val="0"/>
                      <w:szCs w:val="21"/>
                      <w:highlight w:val="none"/>
                      <w:lang w:val="en-US" w:eastAsia="zh-CN"/>
                    </w:rPr>
                    <w:t>BS124S</w:t>
                  </w:r>
                </w:p>
              </w:tc>
              <w:tc>
                <w:tcPr>
                  <w:tcW w:w="1418" w:type="dxa"/>
                  <w:shd w:val="clear" w:color="auto" w:fill="auto"/>
                  <w:noWrap w:val="0"/>
                  <w:vAlign w:val="center"/>
                </w:tcPr>
                <w:p w14:paraId="792C02D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w:t>
                  </w:r>
                </w:p>
              </w:tc>
            </w:tr>
            <w:tr w14:paraId="650B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2B71759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8</w:t>
                  </w:r>
                </w:p>
              </w:tc>
              <w:tc>
                <w:tcPr>
                  <w:tcW w:w="1151" w:type="dxa"/>
                  <w:noWrap w:val="0"/>
                  <w:vAlign w:val="center"/>
                </w:tcPr>
                <w:p w14:paraId="5FBE7312">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硫酸盐</w:t>
                  </w:r>
                </w:p>
              </w:tc>
              <w:tc>
                <w:tcPr>
                  <w:tcW w:w="3118" w:type="dxa"/>
                  <w:shd w:val="clear" w:color="auto" w:fill="auto"/>
                  <w:noWrap w:val="0"/>
                  <w:vAlign w:val="center"/>
                </w:tcPr>
                <w:p w14:paraId="5597CEFD">
                  <w:pPr>
                    <w:keepNext w:val="0"/>
                    <w:keepLines w:val="0"/>
                    <w:suppressLineNumbers w:val="0"/>
                    <w:tabs>
                      <w:tab w:val="center" w:pos="4153"/>
                      <w:tab w:val="right" w:pos="8306"/>
                    </w:tabs>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34C0A7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PIC-10型离子色谱</w:t>
                  </w:r>
                </w:p>
              </w:tc>
              <w:tc>
                <w:tcPr>
                  <w:tcW w:w="1418" w:type="dxa"/>
                  <w:shd w:val="clear" w:color="auto" w:fill="auto"/>
                  <w:noWrap w:val="0"/>
                  <w:vAlign w:val="center"/>
                </w:tcPr>
                <w:p w14:paraId="0DBCEFD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lang w:val="en-US" w:eastAsia="zh-CN"/>
                    </w:rPr>
                    <w:t>0.19</w:t>
                  </w:r>
                  <w:r>
                    <w:rPr>
                      <w:color w:val="auto"/>
                      <w:szCs w:val="21"/>
                      <w:highlight w:val="none"/>
                    </w:rPr>
                    <w:t>mg/L</w:t>
                  </w:r>
                </w:p>
              </w:tc>
            </w:tr>
            <w:tr w14:paraId="6E53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50F0890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9</w:t>
                  </w:r>
                </w:p>
              </w:tc>
              <w:tc>
                <w:tcPr>
                  <w:tcW w:w="1151" w:type="dxa"/>
                  <w:noWrap w:val="0"/>
                  <w:vAlign w:val="center"/>
                </w:tcPr>
                <w:p w14:paraId="0C5A7DD2">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氯化物</w:t>
                  </w:r>
                </w:p>
              </w:tc>
              <w:tc>
                <w:tcPr>
                  <w:tcW w:w="3118" w:type="dxa"/>
                  <w:shd w:val="clear" w:color="auto" w:fill="auto"/>
                  <w:noWrap w:val="0"/>
                  <w:vAlign w:val="center"/>
                </w:tcPr>
                <w:p w14:paraId="49155D21">
                  <w:pPr>
                    <w:keepNext w:val="0"/>
                    <w:keepLines w:val="0"/>
                    <w:suppressLineNumbers w:val="0"/>
                    <w:tabs>
                      <w:tab w:val="center" w:pos="4153"/>
                      <w:tab w:val="right" w:pos="8306"/>
                    </w:tabs>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0E659A61">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滴定管</w:t>
                  </w:r>
                </w:p>
              </w:tc>
              <w:tc>
                <w:tcPr>
                  <w:tcW w:w="1418" w:type="dxa"/>
                  <w:shd w:val="clear" w:color="auto" w:fill="auto"/>
                  <w:noWrap w:val="0"/>
                  <w:vAlign w:val="center"/>
                </w:tcPr>
                <w:p w14:paraId="7CE8CD7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1.0</w:t>
                  </w:r>
                  <w:r>
                    <w:rPr>
                      <w:color w:val="auto"/>
                      <w:szCs w:val="21"/>
                      <w:highlight w:val="none"/>
                    </w:rPr>
                    <w:t>mg/L</w:t>
                  </w:r>
                </w:p>
              </w:tc>
            </w:tr>
            <w:tr w14:paraId="20A8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61E26B2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10</w:t>
                  </w:r>
                </w:p>
              </w:tc>
              <w:tc>
                <w:tcPr>
                  <w:tcW w:w="1151" w:type="dxa"/>
                  <w:noWrap w:val="0"/>
                  <w:vAlign w:val="center"/>
                </w:tcPr>
                <w:p w14:paraId="3AFB802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铁</w:t>
                  </w:r>
                </w:p>
              </w:tc>
              <w:tc>
                <w:tcPr>
                  <w:tcW w:w="3118" w:type="dxa"/>
                  <w:shd w:val="clear" w:color="auto" w:fill="auto"/>
                  <w:noWrap w:val="0"/>
                  <w:vAlign w:val="center"/>
                </w:tcPr>
                <w:p w14:paraId="51ED7E78">
                  <w:pPr>
                    <w:keepNext w:val="0"/>
                    <w:keepLines w:val="0"/>
                    <w:suppressLineNumbers w:val="0"/>
                    <w:spacing w:before="0" w:beforeAutospacing="0" w:after="0" w:afterAutospacing="0"/>
                    <w:ind w:left="0" w:right="0"/>
                    <w:jc w:val="center"/>
                    <w:rPr>
                      <w:color w:val="auto"/>
                      <w:szCs w:val="21"/>
                      <w:highlight w:val="none"/>
                      <w:shd w:val="clear" w:color="auto" w:fill="FFFFFF"/>
                    </w:rPr>
                  </w:pPr>
                  <w:r>
                    <w:rPr>
                      <w:rFonts w:hint="eastAsia"/>
                      <w:color w:val="auto"/>
                      <w:szCs w:val="21"/>
                      <w:highlight w:val="none"/>
                      <w:shd w:val="clear" w:color="auto" w:fill="FFFFFF"/>
                    </w:rPr>
                    <w:t>原子吸收分光光度法</w:t>
                  </w:r>
                  <w:r>
                    <w:rPr>
                      <w:color w:val="auto"/>
                      <w:szCs w:val="21"/>
                      <w:highlight w:val="none"/>
                      <w:shd w:val="clear" w:color="auto" w:fill="FFFFFF"/>
                    </w:rPr>
                    <w:t xml:space="preserve"> </w:t>
                  </w:r>
                  <w:r>
                    <w:rPr>
                      <w:rFonts w:hint="eastAsia"/>
                      <w:color w:val="auto"/>
                      <w:szCs w:val="21"/>
                      <w:highlight w:val="none"/>
                      <w:shd w:val="clear" w:color="auto" w:fill="FFFFFF"/>
                    </w:rPr>
                    <w:t>生活饮用水标准检验方法</w:t>
                  </w:r>
                  <w:r>
                    <w:rPr>
                      <w:color w:val="auto"/>
                      <w:szCs w:val="21"/>
                      <w:highlight w:val="none"/>
                      <w:shd w:val="clear" w:color="auto" w:fill="FFFFFF"/>
                    </w:rPr>
                    <w:t xml:space="preserve">  </w:t>
                  </w:r>
                  <w:r>
                    <w:rPr>
                      <w:rFonts w:hint="eastAsia"/>
                      <w:color w:val="auto"/>
                      <w:szCs w:val="21"/>
                      <w:highlight w:val="none"/>
                      <w:shd w:val="clear" w:color="auto" w:fill="FFFFFF"/>
                    </w:rPr>
                    <w:t>金属指标</w:t>
                  </w:r>
                </w:p>
                <w:p w14:paraId="1DACCC80">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2"/>
                      <w:highlight w:val="none"/>
                      <w:lang w:val="pt-BR" w:eastAsia="zh-CN" w:bidi="ar-SA"/>
                    </w:rPr>
                  </w:pPr>
                  <w:r>
                    <w:rPr>
                      <w:color w:val="auto"/>
                      <w:szCs w:val="21"/>
                      <w:highlight w:val="none"/>
                      <w:shd w:val="clear" w:color="auto" w:fill="FFFFFF"/>
                    </w:rPr>
                    <w:t>GB/T5750.6-2006</w:t>
                  </w:r>
                  <w:r>
                    <w:rPr>
                      <w:rFonts w:hint="eastAsia"/>
                      <w:color w:val="auto"/>
                      <w:szCs w:val="21"/>
                      <w:highlight w:val="none"/>
                      <w:shd w:val="clear" w:color="auto" w:fill="FFFFFF"/>
                    </w:rPr>
                    <w:t>（</w:t>
                  </w:r>
                  <w:r>
                    <w:rPr>
                      <w:color w:val="auto"/>
                      <w:szCs w:val="21"/>
                      <w:highlight w:val="none"/>
                      <w:shd w:val="clear" w:color="auto" w:fill="FFFFFF"/>
                    </w:rPr>
                    <w:t>2.1</w:t>
                  </w:r>
                  <w:r>
                    <w:rPr>
                      <w:rFonts w:hint="eastAsia"/>
                      <w:color w:val="auto"/>
                      <w:szCs w:val="21"/>
                      <w:highlight w:val="none"/>
                      <w:shd w:val="clear" w:color="auto" w:fill="FFFFFF"/>
                    </w:rPr>
                    <w:t>）</w:t>
                  </w:r>
                </w:p>
              </w:tc>
              <w:tc>
                <w:tcPr>
                  <w:tcW w:w="1559" w:type="dxa"/>
                  <w:vMerge w:val="restart"/>
                  <w:shd w:val="clear" w:color="auto" w:fill="auto"/>
                  <w:noWrap w:val="0"/>
                  <w:vAlign w:val="top"/>
                </w:tcPr>
                <w:p w14:paraId="0B613C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kern w:val="0"/>
                      <w:szCs w:val="21"/>
                      <w:highlight w:val="none"/>
                      <w:lang w:val="en-US" w:eastAsia="zh-CN"/>
                    </w:rPr>
                    <w:t>GGX-830型原子吸收分光光度计</w:t>
                  </w:r>
                </w:p>
              </w:tc>
              <w:tc>
                <w:tcPr>
                  <w:tcW w:w="1418" w:type="dxa"/>
                  <w:shd w:val="clear" w:color="auto" w:fill="auto"/>
                  <w:noWrap w:val="0"/>
                  <w:vAlign w:val="center"/>
                </w:tcPr>
                <w:p w14:paraId="7D24C71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rPr>
                    <w:t>0.0</w:t>
                  </w:r>
                  <w:r>
                    <w:rPr>
                      <w:rFonts w:hint="eastAsia"/>
                      <w:color w:val="auto"/>
                      <w:szCs w:val="22"/>
                      <w:highlight w:val="none"/>
                      <w:lang w:val="en-US" w:eastAsia="zh-CN"/>
                    </w:rPr>
                    <w:t>8</w:t>
                  </w:r>
                  <w:r>
                    <w:rPr>
                      <w:color w:val="auto"/>
                      <w:szCs w:val="22"/>
                      <w:highlight w:val="none"/>
                    </w:rPr>
                    <w:t>mg/L</w:t>
                  </w:r>
                </w:p>
              </w:tc>
            </w:tr>
            <w:tr w14:paraId="6D05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05239A7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11</w:t>
                  </w:r>
                </w:p>
              </w:tc>
              <w:tc>
                <w:tcPr>
                  <w:tcW w:w="1151" w:type="dxa"/>
                  <w:noWrap w:val="0"/>
                  <w:vAlign w:val="center"/>
                </w:tcPr>
                <w:p w14:paraId="337671D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锰</w:t>
                  </w:r>
                </w:p>
              </w:tc>
              <w:tc>
                <w:tcPr>
                  <w:tcW w:w="3118" w:type="dxa"/>
                  <w:shd w:val="clear" w:color="auto" w:fill="auto"/>
                  <w:noWrap w:val="0"/>
                  <w:vAlign w:val="center"/>
                </w:tcPr>
                <w:p w14:paraId="661F9DEB">
                  <w:pPr>
                    <w:keepNext w:val="0"/>
                    <w:keepLines w:val="0"/>
                    <w:suppressLineNumbers w:val="0"/>
                    <w:spacing w:before="0" w:beforeAutospacing="0" w:after="0" w:afterAutospacing="0"/>
                    <w:ind w:left="0" w:right="0"/>
                    <w:jc w:val="center"/>
                    <w:rPr>
                      <w:color w:val="auto"/>
                      <w:szCs w:val="21"/>
                      <w:highlight w:val="none"/>
                      <w:shd w:val="clear" w:color="auto" w:fill="FFFFFF"/>
                    </w:rPr>
                  </w:pPr>
                  <w:r>
                    <w:rPr>
                      <w:rFonts w:hint="eastAsia"/>
                      <w:color w:val="auto"/>
                      <w:szCs w:val="21"/>
                      <w:highlight w:val="none"/>
                      <w:shd w:val="clear" w:color="auto" w:fill="FFFFFF"/>
                    </w:rPr>
                    <w:t>原子吸收分光光度法</w:t>
                  </w:r>
                  <w:r>
                    <w:rPr>
                      <w:color w:val="auto"/>
                      <w:szCs w:val="21"/>
                      <w:highlight w:val="none"/>
                      <w:shd w:val="clear" w:color="auto" w:fill="FFFFFF"/>
                    </w:rPr>
                    <w:t xml:space="preserve"> </w:t>
                  </w:r>
                  <w:r>
                    <w:rPr>
                      <w:rFonts w:hint="eastAsia"/>
                      <w:color w:val="auto"/>
                      <w:szCs w:val="21"/>
                      <w:highlight w:val="none"/>
                      <w:shd w:val="clear" w:color="auto" w:fill="FFFFFF"/>
                    </w:rPr>
                    <w:t>生活饮用水标准检验方法</w:t>
                  </w:r>
                  <w:r>
                    <w:rPr>
                      <w:color w:val="auto"/>
                      <w:szCs w:val="21"/>
                      <w:highlight w:val="none"/>
                      <w:shd w:val="clear" w:color="auto" w:fill="FFFFFF"/>
                    </w:rPr>
                    <w:t xml:space="preserve">  </w:t>
                  </w:r>
                  <w:r>
                    <w:rPr>
                      <w:rFonts w:hint="eastAsia"/>
                      <w:color w:val="auto"/>
                      <w:szCs w:val="21"/>
                      <w:highlight w:val="none"/>
                      <w:shd w:val="clear" w:color="auto" w:fill="FFFFFF"/>
                    </w:rPr>
                    <w:t>金属指标</w:t>
                  </w:r>
                </w:p>
                <w:p w14:paraId="4EABC619">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2"/>
                      <w:highlight w:val="none"/>
                      <w:lang w:val="pt-BR" w:eastAsia="zh-CN" w:bidi="ar-SA"/>
                    </w:rPr>
                  </w:pPr>
                  <w:r>
                    <w:rPr>
                      <w:color w:val="auto"/>
                      <w:szCs w:val="21"/>
                      <w:highlight w:val="none"/>
                      <w:shd w:val="clear" w:color="auto" w:fill="FFFFFF"/>
                    </w:rPr>
                    <w:t>GB/T5750.6-2006</w:t>
                  </w:r>
                  <w:r>
                    <w:rPr>
                      <w:rFonts w:hint="eastAsia"/>
                      <w:color w:val="auto"/>
                      <w:szCs w:val="21"/>
                      <w:highlight w:val="none"/>
                      <w:shd w:val="clear" w:color="auto" w:fill="FFFFFF"/>
                    </w:rPr>
                    <w:t>（</w:t>
                  </w:r>
                  <w:r>
                    <w:rPr>
                      <w:color w:val="auto"/>
                      <w:szCs w:val="21"/>
                      <w:highlight w:val="none"/>
                      <w:shd w:val="clear" w:color="auto" w:fill="FFFFFF"/>
                    </w:rPr>
                    <w:t>3.1</w:t>
                  </w:r>
                  <w:r>
                    <w:rPr>
                      <w:rFonts w:hint="eastAsia"/>
                      <w:color w:val="auto"/>
                      <w:szCs w:val="21"/>
                      <w:highlight w:val="none"/>
                      <w:shd w:val="clear" w:color="auto" w:fill="FFFFFF"/>
                    </w:rPr>
                    <w:t>）</w:t>
                  </w:r>
                </w:p>
              </w:tc>
              <w:tc>
                <w:tcPr>
                  <w:tcW w:w="1559" w:type="dxa"/>
                  <w:vMerge w:val="continue"/>
                  <w:shd w:val="clear" w:color="auto" w:fill="auto"/>
                  <w:noWrap w:val="0"/>
                  <w:vAlign w:val="top"/>
                </w:tcPr>
                <w:p w14:paraId="4737889F">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4"/>
                      <w:highlight w:val="none"/>
                      <w:lang w:val="en-US" w:eastAsia="zh-CN" w:bidi="ar-SA"/>
                    </w:rPr>
                  </w:pPr>
                </w:p>
              </w:tc>
              <w:tc>
                <w:tcPr>
                  <w:tcW w:w="1418" w:type="dxa"/>
                  <w:shd w:val="clear" w:color="auto" w:fill="auto"/>
                  <w:noWrap w:val="0"/>
                  <w:vAlign w:val="center"/>
                </w:tcPr>
                <w:p w14:paraId="3DF3016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lang w:val="en-US" w:eastAsia="zh-CN"/>
                    </w:rPr>
                    <w:t>0.03</w:t>
                  </w:r>
                  <w:r>
                    <w:rPr>
                      <w:color w:val="auto"/>
                      <w:szCs w:val="22"/>
                      <w:highlight w:val="none"/>
                    </w:rPr>
                    <w:t>mg/L</w:t>
                  </w:r>
                </w:p>
              </w:tc>
            </w:tr>
            <w:tr w14:paraId="125B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693A9A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12</w:t>
                  </w:r>
                </w:p>
              </w:tc>
              <w:tc>
                <w:tcPr>
                  <w:tcW w:w="1151" w:type="dxa"/>
                  <w:noWrap w:val="0"/>
                  <w:vAlign w:val="center"/>
                </w:tcPr>
                <w:p w14:paraId="696CA3D9">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铜</w:t>
                  </w:r>
                </w:p>
              </w:tc>
              <w:tc>
                <w:tcPr>
                  <w:tcW w:w="3118" w:type="dxa"/>
                  <w:shd w:val="clear" w:color="auto" w:fill="auto"/>
                  <w:noWrap w:val="0"/>
                  <w:vAlign w:val="center"/>
                </w:tcPr>
                <w:p w14:paraId="74E6B6E2">
                  <w:pPr>
                    <w:keepNext w:val="0"/>
                    <w:keepLines w:val="0"/>
                    <w:suppressLineNumbers w:val="0"/>
                    <w:tabs>
                      <w:tab w:val="center" w:pos="4153"/>
                      <w:tab w:val="right" w:pos="8306"/>
                    </w:tabs>
                    <w:snapToGrid w:val="0"/>
                    <w:spacing w:before="0" w:beforeAutospacing="0" w:after="0" w:afterAutospacing="0"/>
                    <w:ind w:left="0" w:right="0"/>
                    <w:rPr>
                      <w:rFonts w:hint="eastAsia"/>
                      <w:color w:val="auto"/>
                      <w:szCs w:val="21"/>
                      <w:highlight w:val="none"/>
                    </w:rPr>
                  </w:pPr>
                  <w:r>
                    <w:rPr>
                      <w:rFonts w:hint="eastAsia"/>
                      <w:color w:val="auto"/>
                      <w:szCs w:val="21"/>
                      <w:highlight w:val="none"/>
                    </w:rPr>
                    <w:t>生活饮用水标准检验方法 金属指标</w:t>
                  </w:r>
                  <w:r>
                    <w:rPr>
                      <w:color w:val="auto"/>
                      <w:szCs w:val="21"/>
                      <w:highlight w:val="none"/>
                    </w:rPr>
                    <w:t>GB/T 5750.6-2006</w:t>
                  </w:r>
                  <w:r>
                    <w:rPr>
                      <w:rFonts w:hint="eastAsia"/>
                      <w:color w:val="auto"/>
                      <w:szCs w:val="21"/>
                      <w:highlight w:val="none"/>
                    </w:rPr>
                    <w:t xml:space="preserve"> 4.2</w:t>
                  </w:r>
                </w:p>
                <w:p w14:paraId="3DDD2208">
                  <w:pPr>
                    <w:keepNext w:val="0"/>
                    <w:keepLines w:val="0"/>
                    <w:suppressLineNumbers w:val="0"/>
                    <w:tabs>
                      <w:tab w:val="center" w:pos="4153"/>
                      <w:tab w:val="right" w:pos="8306"/>
                    </w:tabs>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火焰原子吸收分光光度法</w:t>
                  </w:r>
                </w:p>
              </w:tc>
              <w:tc>
                <w:tcPr>
                  <w:tcW w:w="1559" w:type="dxa"/>
                  <w:vMerge w:val="continue"/>
                  <w:shd w:val="clear" w:color="auto" w:fill="auto"/>
                  <w:noWrap w:val="0"/>
                  <w:vAlign w:val="top"/>
                </w:tcPr>
                <w:p w14:paraId="7E5F49AD">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4"/>
                      <w:highlight w:val="none"/>
                      <w:lang w:val="en-US" w:eastAsia="zh-CN" w:bidi="ar-SA"/>
                    </w:rPr>
                  </w:pPr>
                </w:p>
              </w:tc>
              <w:tc>
                <w:tcPr>
                  <w:tcW w:w="1418" w:type="dxa"/>
                  <w:shd w:val="clear" w:color="auto" w:fill="auto"/>
                  <w:noWrap w:val="0"/>
                  <w:vAlign w:val="center"/>
                </w:tcPr>
                <w:p w14:paraId="27360F6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lang w:val="en-US" w:eastAsia="zh-CN"/>
                    </w:rPr>
                    <w:t>0.05</w:t>
                  </w:r>
                  <w:r>
                    <w:rPr>
                      <w:color w:val="auto"/>
                      <w:szCs w:val="21"/>
                      <w:highlight w:val="none"/>
                    </w:rPr>
                    <w:t>mg/L</w:t>
                  </w:r>
                </w:p>
              </w:tc>
            </w:tr>
            <w:tr w14:paraId="0B01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7FEF932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13</w:t>
                  </w:r>
                </w:p>
              </w:tc>
              <w:tc>
                <w:tcPr>
                  <w:tcW w:w="1151" w:type="dxa"/>
                  <w:noWrap w:val="0"/>
                  <w:vAlign w:val="center"/>
                </w:tcPr>
                <w:p w14:paraId="1D2B11B8">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锌</w:t>
                  </w:r>
                </w:p>
              </w:tc>
              <w:tc>
                <w:tcPr>
                  <w:tcW w:w="3118" w:type="dxa"/>
                  <w:shd w:val="clear" w:color="auto" w:fill="auto"/>
                  <w:noWrap w:val="0"/>
                  <w:vAlign w:val="center"/>
                </w:tcPr>
                <w:p w14:paraId="591DDDA8">
                  <w:pPr>
                    <w:keepNext w:val="0"/>
                    <w:keepLines w:val="0"/>
                    <w:suppressLineNumbers w:val="0"/>
                    <w:tabs>
                      <w:tab w:val="center" w:pos="4153"/>
                      <w:tab w:val="right" w:pos="8306"/>
                    </w:tabs>
                    <w:snapToGrid w:val="0"/>
                    <w:spacing w:before="0" w:beforeAutospacing="0" w:after="0" w:afterAutospacing="0"/>
                    <w:ind w:left="0" w:right="0"/>
                    <w:jc w:val="center"/>
                    <w:rPr>
                      <w:rFonts w:hint="eastAsia"/>
                      <w:color w:val="auto"/>
                      <w:szCs w:val="21"/>
                      <w:highlight w:val="none"/>
                    </w:rPr>
                  </w:pPr>
                  <w:r>
                    <w:rPr>
                      <w:rFonts w:hint="eastAsia"/>
                      <w:color w:val="auto"/>
                      <w:szCs w:val="21"/>
                      <w:highlight w:val="none"/>
                    </w:rPr>
                    <w:t>生活饮用水标准检验方法 金属指杯</w:t>
                  </w:r>
                  <w:r>
                    <w:rPr>
                      <w:color w:val="auto"/>
                      <w:szCs w:val="21"/>
                      <w:highlight w:val="none"/>
                    </w:rPr>
                    <w:t>GB/T 5750.6-2006</w:t>
                  </w:r>
                  <w:r>
                    <w:rPr>
                      <w:rFonts w:hint="eastAsia"/>
                      <w:color w:val="auto"/>
                      <w:szCs w:val="21"/>
                      <w:highlight w:val="none"/>
                    </w:rPr>
                    <w:t xml:space="preserve"> 5.1</w:t>
                  </w:r>
                </w:p>
                <w:p w14:paraId="5F0070B5">
                  <w:pPr>
                    <w:keepNext w:val="0"/>
                    <w:keepLines w:val="0"/>
                    <w:suppressLineNumbers w:val="0"/>
                    <w:tabs>
                      <w:tab w:val="center" w:pos="4153"/>
                      <w:tab w:val="right" w:pos="8306"/>
                    </w:tabs>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原子吸收分光光度法</w:t>
                  </w:r>
                </w:p>
              </w:tc>
              <w:tc>
                <w:tcPr>
                  <w:tcW w:w="1559" w:type="dxa"/>
                  <w:vMerge w:val="continue"/>
                  <w:shd w:val="clear" w:color="auto" w:fill="auto"/>
                  <w:noWrap w:val="0"/>
                  <w:vAlign w:val="top"/>
                </w:tcPr>
                <w:p w14:paraId="37E75F20">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4"/>
                      <w:highlight w:val="none"/>
                      <w:lang w:val="en-US" w:eastAsia="zh-CN" w:bidi="ar-SA"/>
                    </w:rPr>
                  </w:pPr>
                </w:p>
              </w:tc>
              <w:tc>
                <w:tcPr>
                  <w:tcW w:w="1418" w:type="dxa"/>
                  <w:shd w:val="clear" w:color="auto" w:fill="auto"/>
                  <w:noWrap w:val="0"/>
                  <w:vAlign w:val="center"/>
                </w:tcPr>
                <w:p w14:paraId="60E5019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0.0</w:t>
                  </w:r>
                  <w:r>
                    <w:rPr>
                      <w:rFonts w:hint="eastAsia"/>
                      <w:color w:val="auto"/>
                      <w:szCs w:val="21"/>
                      <w:highlight w:val="none"/>
                      <w:lang w:val="en-US" w:eastAsia="zh-CN"/>
                    </w:rPr>
                    <w:t>1</w:t>
                  </w:r>
                  <w:r>
                    <w:rPr>
                      <w:color w:val="auto"/>
                      <w:szCs w:val="21"/>
                      <w:highlight w:val="none"/>
                    </w:rPr>
                    <w:t>mg/L</w:t>
                  </w:r>
                </w:p>
              </w:tc>
            </w:tr>
            <w:tr w14:paraId="5DF0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79B629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14</w:t>
                  </w:r>
                </w:p>
              </w:tc>
              <w:tc>
                <w:tcPr>
                  <w:tcW w:w="1151" w:type="dxa"/>
                  <w:noWrap w:val="0"/>
                  <w:vAlign w:val="center"/>
                </w:tcPr>
                <w:p w14:paraId="7E3FAC9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铝</w:t>
                  </w:r>
                </w:p>
              </w:tc>
              <w:tc>
                <w:tcPr>
                  <w:tcW w:w="3118" w:type="dxa"/>
                  <w:shd w:val="clear" w:color="auto" w:fill="auto"/>
                  <w:noWrap w:val="0"/>
                  <w:vAlign w:val="center"/>
                </w:tcPr>
                <w:p w14:paraId="637DBF5A">
                  <w:pPr>
                    <w:keepNext w:val="0"/>
                    <w:keepLines w:val="0"/>
                    <w:suppressLineNumbers w:val="0"/>
                    <w:tabs>
                      <w:tab w:val="center" w:pos="4153"/>
                      <w:tab w:val="right" w:pos="8306"/>
                    </w:tabs>
                    <w:snapToGrid w:val="0"/>
                    <w:spacing w:before="0" w:beforeAutospacing="0" w:after="0" w:afterAutospacing="0"/>
                    <w:ind w:left="0" w:right="0"/>
                    <w:rPr>
                      <w:rFonts w:hint="eastAsia"/>
                      <w:color w:val="auto"/>
                      <w:szCs w:val="21"/>
                      <w:highlight w:val="none"/>
                    </w:rPr>
                  </w:pPr>
                  <w:r>
                    <w:rPr>
                      <w:rFonts w:hint="eastAsia"/>
                      <w:color w:val="auto"/>
                      <w:szCs w:val="21"/>
                      <w:highlight w:val="none"/>
                    </w:rPr>
                    <w:t>生活饮用水标准检验方法 金属指标</w:t>
                  </w:r>
                  <w:r>
                    <w:rPr>
                      <w:color w:val="auto"/>
                      <w:szCs w:val="21"/>
                      <w:highlight w:val="none"/>
                    </w:rPr>
                    <w:t>GB/T5750.6-2006</w:t>
                  </w:r>
                  <w:r>
                    <w:rPr>
                      <w:rFonts w:hint="eastAsia"/>
                      <w:color w:val="auto"/>
                      <w:szCs w:val="21"/>
                      <w:highlight w:val="none"/>
                    </w:rPr>
                    <w:t xml:space="preserve"> 1.1 </w:t>
                  </w:r>
                </w:p>
                <w:p w14:paraId="28ACB837">
                  <w:pPr>
                    <w:keepNext w:val="0"/>
                    <w:keepLines w:val="0"/>
                    <w:suppressLineNumbers w:val="0"/>
                    <w:tabs>
                      <w:tab w:val="center" w:pos="4153"/>
                      <w:tab w:val="right" w:pos="8306"/>
                    </w:tabs>
                    <w:snapToGrid w:val="0"/>
                    <w:spacing w:before="0" w:beforeAutospacing="0" w:after="0" w:afterAutospacing="0"/>
                    <w:ind w:left="0" w:right="0"/>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铬天青S分光光度法</w:t>
                  </w:r>
                </w:p>
              </w:tc>
              <w:tc>
                <w:tcPr>
                  <w:tcW w:w="1559" w:type="dxa"/>
                  <w:vMerge w:val="restart"/>
                  <w:shd w:val="clear" w:color="auto" w:fill="auto"/>
                  <w:noWrap w:val="0"/>
                  <w:vAlign w:val="center"/>
                </w:tcPr>
                <w:p w14:paraId="4E3A5810">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bidi="ar"/>
                    </w:rPr>
                    <w:t>L14紫外</w:t>
                  </w:r>
                  <w:r>
                    <w:rPr>
                      <w:rFonts w:hint="eastAsia"/>
                      <w:color w:val="auto"/>
                      <w:kern w:val="0"/>
                      <w:szCs w:val="21"/>
                      <w:highlight w:val="none"/>
                      <w:lang w:bidi="ar"/>
                    </w:rPr>
                    <w:t>可见分光光度计</w:t>
                  </w:r>
                  <w:r>
                    <w:rPr>
                      <w:color w:val="auto"/>
                      <w:kern w:val="0"/>
                      <w:szCs w:val="21"/>
                      <w:highlight w:val="none"/>
                      <w:lang w:bidi="ar"/>
                    </w:rPr>
                    <w:t xml:space="preserve"> </w:t>
                  </w:r>
                </w:p>
              </w:tc>
              <w:tc>
                <w:tcPr>
                  <w:tcW w:w="1418" w:type="dxa"/>
                  <w:shd w:val="clear" w:color="auto" w:fill="auto"/>
                  <w:noWrap w:val="0"/>
                  <w:vAlign w:val="center"/>
                </w:tcPr>
                <w:p w14:paraId="3C67453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0.008</w:t>
                  </w:r>
                  <w:r>
                    <w:rPr>
                      <w:color w:val="auto"/>
                      <w:szCs w:val="21"/>
                      <w:highlight w:val="none"/>
                    </w:rPr>
                    <w:t>mg/L</w:t>
                  </w:r>
                </w:p>
              </w:tc>
            </w:tr>
            <w:tr w14:paraId="764A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9E74B6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15</w:t>
                  </w:r>
                </w:p>
              </w:tc>
              <w:tc>
                <w:tcPr>
                  <w:tcW w:w="1151" w:type="dxa"/>
                  <w:noWrap w:val="0"/>
                  <w:vAlign w:val="center"/>
                </w:tcPr>
                <w:p w14:paraId="30FCFD41">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挥发酚</w:t>
                  </w:r>
                </w:p>
              </w:tc>
              <w:tc>
                <w:tcPr>
                  <w:tcW w:w="3118" w:type="dxa"/>
                  <w:noWrap w:val="0"/>
                  <w:vAlign w:val="center"/>
                </w:tcPr>
                <w:p w14:paraId="3C3EEAFB">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水质 挥发酚的测定4-氨基安替比林分光光度法HJ</w:t>
                  </w:r>
                  <w:r>
                    <w:rPr>
                      <w:rFonts w:hint="eastAsia"/>
                      <w:color w:val="auto"/>
                      <w:kern w:val="0"/>
                      <w:szCs w:val="21"/>
                      <w:highlight w:val="none"/>
                      <w:lang w:val="en-US" w:eastAsia="zh-CN"/>
                    </w:rPr>
                    <w:t xml:space="preserve"> </w:t>
                  </w:r>
                  <w:r>
                    <w:rPr>
                      <w:rFonts w:hint="eastAsia"/>
                      <w:color w:val="auto"/>
                      <w:kern w:val="0"/>
                      <w:szCs w:val="21"/>
                      <w:highlight w:val="none"/>
                    </w:rPr>
                    <w:t>503-2009</w:t>
                  </w:r>
                </w:p>
              </w:tc>
              <w:tc>
                <w:tcPr>
                  <w:tcW w:w="1559" w:type="dxa"/>
                  <w:vMerge w:val="continue"/>
                  <w:noWrap w:val="0"/>
                  <w:vAlign w:val="center"/>
                </w:tcPr>
                <w:p w14:paraId="7A76A22F">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418" w:type="dxa"/>
                  <w:noWrap w:val="0"/>
                  <w:vAlign w:val="center"/>
                </w:tcPr>
                <w:p w14:paraId="5B3361B0">
                  <w:pPr>
                    <w:keepNext w:val="0"/>
                    <w:keepLines w:val="0"/>
                    <w:widowControl/>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0.0003</w:t>
                  </w:r>
                  <w:r>
                    <w:rPr>
                      <w:color w:val="auto"/>
                      <w:szCs w:val="21"/>
                      <w:highlight w:val="none"/>
                    </w:rPr>
                    <w:t>mg/L</w:t>
                  </w:r>
                </w:p>
              </w:tc>
            </w:tr>
            <w:tr w14:paraId="116C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20582F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16</w:t>
                  </w:r>
                </w:p>
              </w:tc>
              <w:tc>
                <w:tcPr>
                  <w:tcW w:w="1151" w:type="dxa"/>
                  <w:noWrap w:val="0"/>
                  <w:vAlign w:val="center"/>
                </w:tcPr>
                <w:p w14:paraId="24521CEB">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阴离子合成洗涤剂</w:t>
                  </w:r>
                </w:p>
              </w:tc>
              <w:tc>
                <w:tcPr>
                  <w:tcW w:w="3118" w:type="dxa"/>
                  <w:shd w:val="clear" w:color="auto" w:fill="auto"/>
                  <w:noWrap w:val="0"/>
                  <w:vAlign w:val="top"/>
                </w:tcPr>
                <w:p w14:paraId="27B00A91">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vMerge w:val="continue"/>
                  <w:shd w:val="clear" w:color="auto" w:fill="auto"/>
                  <w:noWrap w:val="0"/>
                  <w:vAlign w:val="center"/>
                </w:tcPr>
                <w:p w14:paraId="3879AEE3">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p>
              </w:tc>
              <w:tc>
                <w:tcPr>
                  <w:tcW w:w="1418" w:type="dxa"/>
                  <w:shd w:val="clear" w:color="auto" w:fill="auto"/>
                  <w:noWrap w:val="0"/>
                  <w:vAlign w:val="center"/>
                </w:tcPr>
                <w:p w14:paraId="137DF409">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0.0</w:t>
                  </w:r>
                  <w:r>
                    <w:rPr>
                      <w:rFonts w:hint="eastAsia"/>
                      <w:color w:val="auto"/>
                      <w:szCs w:val="21"/>
                      <w:highlight w:val="none"/>
                    </w:rPr>
                    <w:t>50</w:t>
                  </w:r>
                  <w:r>
                    <w:rPr>
                      <w:color w:val="auto"/>
                      <w:szCs w:val="21"/>
                      <w:highlight w:val="none"/>
                    </w:rPr>
                    <w:t>mg/</w:t>
                  </w:r>
                </w:p>
              </w:tc>
            </w:tr>
            <w:tr w14:paraId="09AE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D2D74A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17</w:t>
                  </w:r>
                </w:p>
              </w:tc>
              <w:tc>
                <w:tcPr>
                  <w:tcW w:w="1151" w:type="dxa"/>
                  <w:noWrap w:val="0"/>
                  <w:vAlign w:val="center"/>
                </w:tcPr>
                <w:p w14:paraId="2F4183F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高锰酸盐指数</w:t>
                  </w:r>
                </w:p>
              </w:tc>
              <w:tc>
                <w:tcPr>
                  <w:tcW w:w="3118" w:type="dxa"/>
                  <w:shd w:val="clear" w:color="auto" w:fill="auto"/>
                  <w:noWrap w:val="0"/>
                  <w:vAlign w:val="center"/>
                </w:tcPr>
                <w:p w14:paraId="4136C810">
                  <w:pPr>
                    <w:keepNext w:val="0"/>
                    <w:keepLines w:val="0"/>
                    <w:suppressLineNumbers w:val="0"/>
                    <w:tabs>
                      <w:tab w:val="center" w:pos="4153"/>
                      <w:tab w:val="right" w:pos="8306"/>
                    </w:tabs>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4C25FE9D">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滴定管</w:t>
                  </w:r>
                </w:p>
              </w:tc>
              <w:tc>
                <w:tcPr>
                  <w:tcW w:w="1418" w:type="dxa"/>
                  <w:shd w:val="clear" w:color="auto" w:fill="auto"/>
                  <w:noWrap w:val="0"/>
                  <w:vAlign w:val="center"/>
                </w:tcPr>
                <w:p w14:paraId="7C91E7A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0.05</w:t>
                  </w:r>
                  <w:r>
                    <w:rPr>
                      <w:color w:val="auto"/>
                      <w:szCs w:val="21"/>
                      <w:highlight w:val="none"/>
                    </w:rPr>
                    <w:t>mg/L</w:t>
                  </w:r>
                </w:p>
              </w:tc>
            </w:tr>
            <w:tr w14:paraId="26A0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5EDE65C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18</w:t>
                  </w:r>
                </w:p>
              </w:tc>
              <w:tc>
                <w:tcPr>
                  <w:tcW w:w="1151" w:type="dxa"/>
                  <w:noWrap w:val="0"/>
                  <w:vAlign w:val="center"/>
                </w:tcPr>
                <w:p w14:paraId="5DD31E86">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氨</w:t>
                  </w:r>
                </w:p>
              </w:tc>
              <w:tc>
                <w:tcPr>
                  <w:tcW w:w="3118" w:type="dxa"/>
                  <w:noWrap w:val="0"/>
                  <w:vAlign w:val="center"/>
                </w:tcPr>
                <w:p w14:paraId="670E6EDF">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生活饮用水标准检验方法第5部分:无机非金属指标GB/T 5750.5-2023 11.1 纳氏试剂分光光度法</w:t>
                  </w:r>
                </w:p>
              </w:tc>
              <w:tc>
                <w:tcPr>
                  <w:tcW w:w="1559" w:type="dxa"/>
                  <w:noWrap w:val="0"/>
                  <w:vAlign w:val="center"/>
                </w:tcPr>
                <w:p w14:paraId="3C48DCA9">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lang w:val="en-US" w:eastAsia="zh-CN" w:bidi="ar"/>
                    </w:rPr>
                    <w:t>L14紫外</w:t>
                  </w:r>
                  <w:r>
                    <w:rPr>
                      <w:rFonts w:hint="eastAsia"/>
                      <w:color w:val="auto"/>
                      <w:kern w:val="0"/>
                      <w:szCs w:val="21"/>
                      <w:highlight w:val="none"/>
                      <w:lang w:bidi="ar"/>
                    </w:rPr>
                    <w:t>可见分光光度计</w:t>
                  </w:r>
                </w:p>
              </w:tc>
              <w:tc>
                <w:tcPr>
                  <w:tcW w:w="1418" w:type="dxa"/>
                  <w:noWrap w:val="0"/>
                  <w:vAlign w:val="center"/>
                </w:tcPr>
                <w:p w14:paraId="66E2C6BE">
                  <w:pPr>
                    <w:keepNext w:val="0"/>
                    <w:keepLines w:val="0"/>
                    <w:widowControl/>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0.02</w:t>
                  </w:r>
                  <w:r>
                    <w:rPr>
                      <w:color w:val="auto"/>
                      <w:szCs w:val="21"/>
                      <w:highlight w:val="none"/>
                    </w:rPr>
                    <w:t>mg/L</w:t>
                  </w:r>
                </w:p>
              </w:tc>
            </w:tr>
            <w:tr w14:paraId="51D4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44E0241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19</w:t>
                  </w:r>
                </w:p>
              </w:tc>
              <w:tc>
                <w:tcPr>
                  <w:tcW w:w="1151" w:type="dxa"/>
                  <w:noWrap w:val="0"/>
                  <w:vAlign w:val="center"/>
                </w:tcPr>
                <w:p w14:paraId="4264C501">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硫化物</w:t>
                  </w:r>
                </w:p>
              </w:tc>
              <w:tc>
                <w:tcPr>
                  <w:tcW w:w="3118" w:type="dxa"/>
                  <w:shd w:val="clear" w:color="auto" w:fill="auto"/>
                  <w:noWrap w:val="0"/>
                  <w:vAlign w:val="top"/>
                </w:tcPr>
                <w:p w14:paraId="05921197">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1FA58C8C">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
                    </w:rPr>
                  </w:pPr>
                  <w:r>
                    <w:rPr>
                      <w:rFonts w:hint="eastAsia"/>
                      <w:color w:val="auto"/>
                      <w:kern w:val="0"/>
                      <w:szCs w:val="21"/>
                      <w:highlight w:val="none"/>
                      <w:lang w:eastAsia="zh-CN" w:bidi="ar"/>
                    </w:rPr>
                    <w:t>L14紫外可见分光光度计</w:t>
                  </w:r>
                </w:p>
              </w:tc>
              <w:tc>
                <w:tcPr>
                  <w:tcW w:w="1418" w:type="dxa"/>
                  <w:shd w:val="clear" w:color="auto" w:fill="auto"/>
                  <w:noWrap w:val="0"/>
                  <w:vAlign w:val="center"/>
                </w:tcPr>
                <w:p w14:paraId="2095DFB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rPr>
                    <w:t>0.02</w:t>
                  </w:r>
                  <w:r>
                    <w:rPr>
                      <w:color w:val="auto"/>
                      <w:szCs w:val="21"/>
                      <w:highlight w:val="none"/>
                    </w:rPr>
                    <w:t>mg/L</w:t>
                  </w:r>
                </w:p>
              </w:tc>
            </w:tr>
            <w:tr w14:paraId="7885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380EFAB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20</w:t>
                  </w:r>
                </w:p>
              </w:tc>
              <w:tc>
                <w:tcPr>
                  <w:tcW w:w="1151" w:type="dxa"/>
                  <w:noWrap w:val="0"/>
                  <w:vAlign w:val="center"/>
                </w:tcPr>
                <w:p w14:paraId="5FF56C86">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钠</w:t>
                  </w:r>
                </w:p>
              </w:tc>
              <w:tc>
                <w:tcPr>
                  <w:tcW w:w="3118" w:type="dxa"/>
                  <w:shd w:val="clear" w:color="auto" w:fill="auto"/>
                  <w:noWrap w:val="0"/>
                  <w:vAlign w:val="center"/>
                </w:tcPr>
                <w:p w14:paraId="294AB84B">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6E5B3060">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GGX-830型原子吸收分光光度计</w:t>
                  </w:r>
                </w:p>
              </w:tc>
              <w:tc>
                <w:tcPr>
                  <w:tcW w:w="1418" w:type="dxa"/>
                  <w:shd w:val="clear" w:color="auto" w:fill="auto"/>
                  <w:noWrap w:val="0"/>
                  <w:vAlign w:val="center"/>
                </w:tcPr>
                <w:p w14:paraId="1C15E56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0.1</w:t>
                  </w:r>
                  <w:r>
                    <w:rPr>
                      <w:color w:val="auto"/>
                      <w:szCs w:val="21"/>
                      <w:highlight w:val="none"/>
                    </w:rPr>
                    <w:t>mg/L</w:t>
                  </w:r>
                </w:p>
              </w:tc>
            </w:tr>
            <w:tr w14:paraId="0059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2230670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21</w:t>
                  </w:r>
                </w:p>
              </w:tc>
              <w:tc>
                <w:tcPr>
                  <w:tcW w:w="1151" w:type="dxa"/>
                  <w:noWrap w:val="0"/>
                  <w:vAlign w:val="center"/>
                </w:tcPr>
                <w:p w14:paraId="3E797D7D">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硝酸盐</w:t>
                  </w:r>
                </w:p>
              </w:tc>
              <w:tc>
                <w:tcPr>
                  <w:tcW w:w="3118" w:type="dxa"/>
                  <w:vMerge w:val="restart"/>
                  <w:shd w:val="clear" w:color="auto" w:fill="auto"/>
                  <w:noWrap w:val="0"/>
                  <w:vAlign w:val="center"/>
                </w:tcPr>
                <w:p w14:paraId="42193627">
                  <w:pPr>
                    <w:keepNext w:val="0"/>
                    <w:keepLines w:val="0"/>
                    <w:widowControl/>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0"/>
                      <w:sz w:val="21"/>
                      <w:szCs w:val="21"/>
                      <w:highlight w:val="none"/>
                      <w:lang w:val="en-US" w:eastAsia="zh-CN" w:bidi="ar-SA"/>
                    </w:rPr>
                  </w:pPr>
                  <w:r>
                    <w:rPr>
                      <w:rFonts w:hint="eastAsia"/>
                      <w:color w:val="auto"/>
                      <w:szCs w:val="21"/>
                      <w:highlight w:val="none"/>
                    </w:rPr>
                    <w:t>生活饮用水标准检验方法 感官性状和物理指标GB/T 5750.4-2023</w:t>
                  </w:r>
                </w:p>
                <w:p w14:paraId="00FB4BEA">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559" w:type="dxa"/>
                  <w:vMerge w:val="restart"/>
                  <w:shd w:val="clear" w:color="auto" w:fill="auto"/>
                  <w:noWrap w:val="0"/>
                  <w:vAlign w:val="center"/>
                </w:tcPr>
                <w:p w14:paraId="5281F472">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szCs w:val="21"/>
                      <w:highlight w:val="none"/>
                      <w:lang w:eastAsia="zh-CN"/>
                    </w:rPr>
                    <w:t>L14紫外可见分光光度计</w:t>
                  </w:r>
                </w:p>
              </w:tc>
              <w:tc>
                <w:tcPr>
                  <w:tcW w:w="1418" w:type="dxa"/>
                  <w:shd w:val="clear" w:color="auto" w:fill="auto"/>
                  <w:noWrap w:val="0"/>
                  <w:vAlign w:val="center"/>
                </w:tcPr>
                <w:p w14:paraId="096CC88A">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color w:val="auto"/>
                      <w:kern w:val="0"/>
                      <w:szCs w:val="21"/>
                      <w:highlight w:val="none"/>
                    </w:rPr>
                    <w:t>0.</w:t>
                  </w:r>
                  <w:r>
                    <w:rPr>
                      <w:rFonts w:hint="eastAsia"/>
                      <w:color w:val="auto"/>
                      <w:kern w:val="0"/>
                      <w:szCs w:val="21"/>
                      <w:highlight w:val="none"/>
                    </w:rPr>
                    <w:t>2</w:t>
                  </w:r>
                  <w:r>
                    <w:rPr>
                      <w:color w:val="auto"/>
                      <w:szCs w:val="21"/>
                      <w:highlight w:val="none"/>
                    </w:rPr>
                    <w:t>mg/L</w:t>
                  </w:r>
                </w:p>
              </w:tc>
            </w:tr>
            <w:tr w14:paraId="1F57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15DD2C6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22</w:t>
                  </w:r>
                </w:p>
              </w:tc>
              <w:tc>
                <w:tcPr>
                  <w:tcW w:w="1151" w:type="dxa"/>
                  <w:noWrap w:val="0"/>
                  <w:vAlign w:val="center"/>
                </w:tcPr>
                <w:p w14:paraId="07DDF0C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亚硝酸盐</w:t>
                  </w:r>
                </w:p>
              </w:tc>
              <w:tc>
                <w:tcPr>
                  <w:tcW w:w="3118" w:type="dxa"/>
                  <w:vMerge w:val="continue"/>
                  <w:noWrap w:val="0"/>
                  <w:vAlign w:val="center"/>
                </w:tcPr>
                <w:p w14:paraId="7EF96853">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559" w:type="dxa"/>
                  <w:vMerge w:val="continue"/>
                  <w:noWrap w:val="0"/>
                  <w:vAlign w:val="center"/>
                </w:tcPr>
                <w:p w14:paraId="7BB68971">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418" w:type="dxa"/>
                  <w:shd w:val="clear" w:color="auto" w:fill="auto"/>
                  <w:noWrap w:val="0"/>
                  <w:vAlign w:val="center"/>
                </w:tcPr>
                <w:p w14:paraId="493DAE93">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0.001</w:t>
                  </w:r>
                  <w:r>
                    <w:rPr>
                      <w:color w:val="auto"/>
                      <w:szCs w:val="21"/>
                      <w:highlight w:val="none"/>
                    </w:rPr>
                    <w:t>mg/L</w:t>
                  </w:r>
                </w:p>
              </w:tc>
            </w:tr>
            <w:tr w14:paraId="5D44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7725E23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23</w:t>
                  </w:r>
                </w:p>
              </w:tc>
              <w:tc>
                <w:tcPr>
                  <w:tcW w:w="1151" w:type="dxa"/>
                  <w:noWrap w:val="0"/>
                  <w:vAlign w:val="center"/>
                </w:tcPr>
                <w:p w14:paraId="4970692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氰化物</w:t>
                  </w:r>
                </w:p>
              </w:tc>
              <w:tc>
                <w:tcPr>
                  <w:tcW w:w="3118" w:type="dxa"/>
                  <w:noWrap w:val="0"/>
                  <w:vAlign w:val="center"/>
                </w:tcPr>
                <w:p w14:paraId="4DCFA7EB">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生活饮用水标准检验方法第5部分:无机非金属指标GB/T 5750.5-2023 11.1 纳氏试剂分光光度法</w:t>
                  </w:r>
                </w:p>
              </w:tc>
              <w:tc>
                <w:tcPr>
                  <w:tcW w:w="1559" w:type="dxa"/>
                  <w:shd w:val="clear" w:color="auto" w:fill="auto"/>
                  <w:noWrap w:val="0"/>
                  <w:vAlign w:val="center"/>
                </w:tcPr>
                <w:p w14:paraId="6236C701">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szCs w:val="21"/>
                      <w:highlight w:val="none"/>
                      <w:lang w:eastAsia="zh-CN"/>
                    </w:rPr>
                    <w:t>L14紫外可见分光光度计</w:t>
                  </w:r>
                </w:p>
              </w:tc>
              <w:tc>
                <w:tcPr>
                  <w:tcW w:w="1418" w:type="dxa"/>
                  <w:shd w:val="clear" w:color="auto" w:fill="auto"/>
                  <w:noWrap w:val="0"/>
                  <w:vAlign w:val="center"/>
                </w:tcPr>
                <w:p w14:paraId="4BB38CB4">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 w:val="21"/>
                      <w:szCs w:val="21"/>
                      <w:highlight w:val="none"/>
                      <w:lang w:val="en-US" w:eastAsia="zh-CN" w:bidi="ar-SA"/>
                    </w:rPr>
                  </w:pPr>
                  <w:r>
                    <w:rPr>
                      <w:color w:val="auto"/>
                      <w:kern w:val="0"/>
                      <w:szCs w:val="21"/>
                      <w:highlight w:val="none"/>
                    </w:rPr>
                    <w:t>0.</w:t>
                  </w:r>
                  <w:r>
                    <w:rPr>
                      <w:rFonts w:hint="eastAsia"/>
                      <w:color w:val="auto"/>
                      <w:kern w:val="0"/>
                      <w:szCs w:val="21"/>
                      <w:highlight w:val="none"/>
                      <w:lang w:val="en-US" w:eastAsia="zh-CN"/>
                    </w:rPr>
                    <w:t>00</w:t>
                  </w:r>
                  <w:r>
                    <w:rPr>
                      <w:rFonts w:hint="eastAsia"/>
                      <w:color w:val="auto"/>
                      <w:kern w:val="0"/>
                      <w:szCs w:val="21"/>
                      <w:highlight w:val="none"/>
                    </w:rPr>
                    <w:t>2</w:t>
                  </w:r>
                  <w:r>
                    <w:rPr>
                      <w:color w:val="auto"/>
                      <w:szCs w:val="21"/>
                      <w:highlight w:val="none"/>
                    </w:rPr>
                    <w:t>mg/L</w:t>
                  </w:r>
                </w:p>
              </w:tc>
            </w:tr>
            <w:tr w14:paraId="1F22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152090E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24</w:t>
                  </w:r>
                </w:p>
              </w:tc>
              <w:tc>
                <w:tcPr>
                  <w:tcW w:w="1151" w:type="dxa"/>
                  <w:noWrap w:val="0"/>
                  <w:vAlign w:val="center"/>
                </w:tcPr>
                <w:p w14:paraId="4547E03C">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氟化物</w:t>
                  </w:r>
                </w:p>
              </w:tc>
              <w:tc>
                <w:tcPr>
                  <w:tcW w:w="3118" w:type="dxa"/>
                  <w:shd w:val="clear" w:color="auto" w:fill="auto"/>
                  <w:noWrap w:val="0"/>
                  <w:vAlign w:val="top"/>
                </w:tcPr>
                <w:p w14:paraId="48ACC6D2">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719BE244">
                  <w:pPr>
                    <w:keepNext w:val="0"/>
                    <w:keepLines w:val="0"/>
                    <w:widowControl/>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SA"/>
                    </w:rPr>
                    <w:t>PIC-10型离子色谱</w:t>
                  </w:r>
                </w:p>
              </w:tc>
              <w:tc>
                <w:tcPr>
                  <w:tcW w:w="1418" w:type="dxa"/>
                  <w:shd w:val="clear" w:color="auto" w:fill="auto"/>
                  <w:noWrap w:val="0"/>
                  <w:vAlign w:val="center"/>
                </w:tcPr>
                <w:p w14:paraId="57EDDA8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rPr>
                    <w:t>0.</w:t>
                  </w:r>
                  <w:r>
                    <w:rPr>
                      <w:rFonts w:hint="eastAsia"/>
                      <w:color w:val="auto"/>
                      <w:szCs w:val="22"/>
                      <w:highlight w:val="none"/>
                      <w:lang w:val="en-US" w:eastAsia="zh-CN"/>
                    </w:rPr>
                    <w:t>03</w:t>
                  </w:r>
                  <w:r>
                    <w:rPr>
                      <w:color w:val="auto"/>
                      <w:szCs w:val="21"/>
                      <w:highlight w:val="none"/>
                    </w:rPr>
                    <w:t>mg/L</w:t>
                  </w:r>
                </w:p>
              </w:tc>
            </w:tr>
            <w:tr w14:paraId="179D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0526089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25</w:t>
                  </w:r>
                </w:p>
              </w:tc>
              <w:tc>
                <w:tcPr>
                  <w:tcW w:w="1151" w:type="dxa"/>
                  <w:noWrap w:val="0"/>
                  <w:vAlign w:val="center"/>
                </w:tcPr>
                <w:p w14:paraId="3370DADB">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碘化物</w:t>
                  </w:r>
                </w:p>
              </w:tc>
              <w:tc>
                <w:tcPr>
                  <w:tcW w:w="3118" w:type="dxa"/>
                  <w:shd w:val="clear" w:color="auto" w:fill="auto"/>
                  <w:noWrap w:val="0"/>
                  <w:vAlign w:val="top"/>
                </w:tcPr>
                <w:p w14:paraId="0E780B4A">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2CBD8A54">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滴定管</w:t>
                  </w:r>
                </w:p>
              </w:tc>
              <w:tc>
                <w:tcPr>
                  <w:tcW w:w="1418" w:type="dxa"/>
                  <w:shd w:val="clear" w:color="auto" w:fill="auto"/>
                  <w:noWrap w:val="0"/>
                  <w:vAlign w:val="center"/>
                </w:tcPr>
                <w:p w14:paraId="70B41AEE">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0.025</w:t>
                  </w:r>
                  <w:r>
                    <w:rPr>
                      <w:color w:val="auto"/>
                      <w:szCs w:val="21"/>
                      <w:highlight w:val="none"/>
                    </w:rPr>
                    <w:t>mg/L</w:t>
                  </w:r>
                </w:p>
              </w:tc>
            </w:tr>
            <w:tr w14:paraId="5FB6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39B2248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26</w:t>
                  </w:r>
                </w:p>
              </w:tc>
              <w:tc>
                <w:tcPr>
                  <w:tcW w:w="1151" w:type="dxa"/>
                  <w:noWrap w:val="0"/>
                  <w:vAlign w:val="center"/>
                </w:tcPr>
                <w:p w14:paraId="154AE6E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砷</w:t>
                  </w:r>
                </w:p>
              </w:tc>
              <w:tc>
                <w:tcPr>
                  <w:tcW w:w="3118" w:type="dxa"/>
                  <w:shd w:val="clear" w:color="auto" w:fill="auto"/>
                  <w:noWrap w:val="0"/>
                  <w:vAlign w:val="top"/>
                </w:tcPr>
                <w:p w14:paraId="4C9D8678">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vMerge w:val="restart"/>
                  <w:shd w:val="clear" w:color="auto" w:fill="auto"/>
                  <w:noWrap w:val="0"/>
                  <w:vAlign w:val="center"/>
                </w:tcPr>
                <w:p w14:paraId="0818CB86">
                  <w:pPr>
                    <w:keepNext w:val="0"/>
                    <w:keepLines w:val="0"/>
                    <w:suppressLineNumbers w:val="0"/>
                    <w:spacing w:before="0" w:beforeAutospacing="0" w:after="0" w:afterAutospacing="0"/>
                    <w:ind w:left="0" w:right="0"/>
                    <w:jc w:val="left"/>
                    <w:rPr>
                      <w:rFonts w:ascii="Times New Roman" w:hAnsi="Times New Roman" w:eastAsia="宋体" w:cs="Times New Roman"/>
                      <w:color w:val="auto"/>
                      <w:kern w:val="2"/>
                      <w:sz w:val="21"/>
                      <w:szCs w:val="24"/>
                      <w:highlight w:val="none"/>
                      <w:lang w:val="en-US" w:eastAsia="zh-CN" w:bidi="ar-SA"/>
                    </w:rPr>
                  </w:pPr>
                  <w:r>
                    <w:rPr>
                      <w:rFonts w:hint="eastAsia"/>
                      <w:color w:val="auto"/>
                      <w:kern w:val="0"/>
                      <w:szCs w:val="21"/>
                      <w:highlight w:val="none"/>
                      <w:lang w:val="en-US" w:eastAsia="zh-CN"/>
                    </w:rPr>
                    <w:t>GGX-830型原子吸收分光光度计</w:t>
                  </w:r>
                </w:p>
              </w:tc>
              <w:tc>
                <w:tcPr>
                  <w:tcW w:w="1418" w:type="dxa"/>
                  <w:shd w:val="clear" w:color="auto" w:fill="auto"/>
                  <w:noWrap w:val="0"/>
                  <w:vAlign w:val="center"/>
                </w:tcPr>
                <w:p w14:paraId="5F7CFE1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color w:val="auto"/>
                      <w:szCs w:val="22"/>
                      <w:highlight w:val="none"/>
                    </w:rPr>
                    <w:t>1.0μg/L</w:t>
                  </w:r>
                </w:p>
              </w:tc>
            </w:tr>
            <w:tr w14:paraId="2C90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04C7FDE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27</w:t>
                  </w:r>
                </w:p>
              </w:tc>
              <w:tc>
                <w:tcPr>
                  <w:tcW w:w="1151" w:type="dxa"/>
                  <w:noWrap w:val="0"/>
                  <w:vAlign w:val="center"/>
                </w:tcPr>
                <w:p w14:paraId="6BB2534D">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汞</w:t>
                  </w:r>
                </w:p>
              </w:tc>
              <w:tc>
                <w:tcPr>
                  <w:tcW w:w="3118" w:type="dxa"/>
                  <w:shd w:val="clear" w:color="auto" w:fill="auto"/>
                  <w:noWrap w:val="0"/>
                  <w:vAlign w:val="top"/>
                </w:tcPr>
                <w:p w14:paraId="54D9E89C">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vMerge w:val="continue"/>
                  <w:shd w:val="clear" w:color="auto" w:fill="auto"/>
                  <w:noWrap w:val="0"/>
                  <w:vAlign w:val="center"/>
                </w:tcPr>
                <w:p w14:paraId="3148D633">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4"/>
                      <w:highlight w:val="none"/>
                      <w:lang w:val="en-US" w:eastAsia="zh-CN" w:bidi="ar-SA"/>
                    </w:rPr>
                  </w:pPr>
                </w:p>
              </w:tc>
              <w:tc>
                <w:tcPr>
                  <w:tcW w:w="1418" w:type="dxa"/>
                  <w:shd w:val="clear" w:color="auto" w:fill="auto"/>
                  <w:noWrap w:val="0"/>
                  <w:vAlign w:val="center"/>
                </w:tcPr>
                <w:p w14:paraId="4AD8221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rPr>
                    <w:t>0.1</w:t>
                  </w:r>
                  <w:r>
                    <w:rPr>
                      <w:color w:val="auto"/>
                      <w:szCs w:val="22"/>
                      <w:highlight w:val="none"/>
                    </w:rPr>
                    <w:t>μg/L</w:t>
                  </w:r>
                </w:p>
              </w:tc>
            </w:tr>
            <w:tr w14:paraId="0990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32602CD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28</w:t>
                  </w:r>
                </w:p>
              </w:tc>
              <w:tc>
                <w:tcPr>
                  <w:tcW w:w="1151" w:type="dxa"/>
                  <w:noWrap w:val="0"/>
                  <w:vAlign w:val="center"/>
                </w:tcPr>
                <w:p w14:paraId="4E6BAEF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硒</w:t>
                  </w:r>
                </w:p>
              </w:tc>
              <w:tc>
                <w:tcPr>
                  <w:tcW w:w="3118" w:type="dxa"/>
                  <w:shd w:val="clear" w:color="auto" w:fill="auto"/>
                  <w:noWrap w:val="0"/>
                  <w:vAlign w:val="top"/>
                </w:tcPr>
                <w:p w14:paraId="2F157686">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vMerge w:val="continue"/>
                  <w:shd w:val="clear" w:color="auto" w:fill="auto"/>
                  <w:noWrap w:val="0"/>
                  <w:vAlign w:val="center"/>
                </w:tcPr>
                <w:p w14:paraId="30B8600A">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4"/>
                      <w:highlight w:val="none"/>
                      <w:lang w:val="en-US" w:eastAsia="zh-CN" w:bidi="ar-SA"/>
                    </w:rPr>
                  </w:pPr>
                </w:p>
              </w:tc>
              <w:tc>
                <w:tcPr>
                  <w:tcW w:w="1418" w:type="dxa"/>
                  <w:shd w:val="clear" w:color="auto" w:fill="auto"/>
                  <w:noWrap w:val="0"/>
                  <w:vAlign w:val="center"/>
                </w:tcPr>
                <w:p w14:paraId="42AB970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rPr>
                    <w:t>0.4</w:t>
                  </w:r>
                  <w:r>
                    <w:rPr>
                      <w:color w:val="auto"/>
                      <w:szCs w:val="22"/>
                      <w:highlight w:val="none"/>
                    </w:rPr>
                    <w:t>μg/L</w:t>
                  </w:r>
                </w:p>
              </w:tc>
            </w:tr>
            <w:tr w14:paraId="4FB2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shd w:val="clear" w:color="auto" w:fill="auto"/>
                  <w:noWrap w:val="0"/>
                  <w:vAlign w:val="center"/>
                </w:tcPr>
                <w:p w14:paraId="2B9B454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29</w:t>
                  </w:r>
                </w:p>
              </w:tc>
              <w:tc>
                <w:tcPr>
                  <w:tcW w:w="1151" w:type="dxa"/>
                  <w:noWrap w:val="0"/>
                  <w:vAlign w:val="center"/>
                </w:tcPr>
                <w:p w14:paraId="233FB593">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镉</w:t>
                  </w:r>
                </w:p>
              </w:tc>
              <w:tc>
                <w:tcPr>
                  <w:tcW w:w="3118" w:type="dxa"/>
                  <w:shd w:val="clear" w:color="auto" w:fill="auto"/>
                  <w:noWrap w:val="0"/>
                  <w:vAlign w:val="center"/>
                </w:tcPr>
                <w:p w14:paraId="040E5AAC">
                  <w:pPr>
                    <w:keepNext w:val="0"/>
                    <w:keepLines w:val="0"/>
                    <w:suppressLineNumbers w:val="0"/>
                    <w:spacing w:before="0" w:beforeAutospacing="0" w:after="0" w:afterAutospacing="0"/>
                    <w:ind w:left="0" w:right="0"/>
                    <w:jc w:val="left"/>
                    <w:rPr>
                      <w:rFonts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rPr>
                    <w:t>无火焰原子吸收分光光度法</w:t>
                  </w:r>
                  <w:r>
                    <w:rPr>
                      <w:color w:val="auto"/>
                      <w:szCs w:val="22"/>
                      <w:highlight w:val="none"/>
                    </w:rPr>
                    <w:t xml:space="preserve">  </w:t>
                  </w:r>
                  <w:r>
                    <w:rPr>
                      <w:rFonts w:hint="eastAsia"/>
                      <w:color w:val="auto"/>
                      <w:szCs w:val="22"/>
                      <w:highlight w:val="none"/>
                    </w:rPr>
                    <w:t>生活饮用水标准检验方法金属指标</w:t>
                  </w:r>
                  <w:r>
                    <w:rPr>
                      <w:color w:val="auto"/>
                      <w:szCs w:val="22"/>
                      <w:highlight w:val="none"/>
                    </w:rPr>
                    <w:t xml:space="preserve"> </w:t>
                  </w:r>
                  <w:r>
                    <w:rPr>
                      <w:color w:val="auto"/>
                      <w:szCs w:val="21"/>
                      <w:highlight w:val="none"/>
                      <w:shd w:val="clear" w:color="auto" w:fill="FFFFFF"/>
                    </w:rPr>
                    <w:t>GB/T5750.6-2006</w:t>
                  </w:r>
                  <w:r>
                    <w:rPr>
                      <w:rFonts w:hint="eastAsia"/>
                      <w:color w:val="auto"/>
                      <w:szCs w:val="21"/>
                      <w:highlight w:val="none"/>
                      <w:shd w:val="clear" w:color="auto" w:fill="FFFFFF"/>
                    </w:rPr>
                    <w:t>（</w:t>
                  </w:r>
                  <w:r>
                    <w:rPr>
                      <w:color w:val="auto"/>
                      <w:szCs w:val="21"/>
                      <w:highlight w:val="none"/>
                      <w:shd w:val="clear" w:color="auto" w:fill="FFFFFF"/>
                    </w:rPr>
                    <w:t>9.1</w:t>
                  </w:r>
                  <w:r>
                    <w:rPr>
                      <w:rFonts w:hint="eastAsia"/>
                      <w:color w:val="auto"/>
                      <w:szCs w:val="21"/>
                      <w:highlight w:val="none"/>
                      <w:shd w:val="clear" w:color="auto" w:fill="FFFFFF"/>
                    </w:rPr>
                    <w:t>）</w:t>
                  </w:r>
                </w:p>
              </w:tc>
              <w:tc>
                <w:tcPr>
                  <w:tcW w:w="1559" w:type="dxa"/>
                  <w:vMerge w:val="continue"/>
                  <w:shd w:val="clear" w:color="auto" w:fill="auto"/>
                  <w:noWrap w:val="0"/>
                  <w:vAlign w:val="top"/>
                </w:tcPr>
                <w:p w14:paraId="0E834776">
                  <w:pPr>
                    <w:keepNext w:val="0"/>
                    <w:keepLines w:val="0"/>
                    <w:suppressLineNumbers w:val="0"/>
                    <w:spacing w:before="0" w:beforeAutospacing="0" w:after="0" w:afterAutospacing="0"/>
                    <w:ind w:left="0" w:right="0"/>
                    <w:jc w:val="left"/>
                    <w:rPr>
                      <w:rFonts w:ascii="Times New Roman" w:hAnsi="Times New Roman" w:eastAsia="宋体" w:cs="Times New Roman"/>
                      <w:color w:val="auto"/>
                      <w:kern w:val="2"/>
                      <w:sz w:val="21"/>
                      <w:szCs w:val="24"/>
                      <w:highlight w:val="none"/>
                      <w:lang w:val="en-US" w:eastAsia="zh-CN" w:bidi="ar-SA"/>
                    </w:rPr>
                  </w:pPr>
                </w:p>
              </w:tc>
              <w:tc>
                <w:tcPr>
                  <w:tcW w:w="1418" w:type="dxa"/>
                  <w:shd w:val="clear" w:color="auto" w:fill="auto"/>
                  <w:noWrap w:val="0"/>
                  <w:vAlign w:val="center"/>
                </w:tcPr>
                <w:p w14:paraId="436ACFD9">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rPr>
                    <w:t>0.5</w:t>
                  </w:r>
                  <w:r>
                    <w:rPr>
                      <w:color w:val="auto"/>
                      <w:szCs w:val="22"/>
                      <w:highlight w:val="none"/>
                    </w:rPr>
                    <w:t>μg/</w:t>
                  </w:r>
                  <w:r>
                    <w:rPr>
                      <w:rFonts w:hint="eastAsia"/>
                      <w:color w:val="auto"/>
                      <w:szCs w:val="22"/>
                      <w:highlight w:val="none"/>
                    </w:rPr>
                    <w:t>L</w:t>
                  </w:r>
                </w:p>
              </w:tc>
            </w:tr>
            <w:tr w14:paraId="33BB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01A2A7E1">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30</w:t>
                  </w:r>
                </w:p>
              </w:tc>
              <w:tc>
                <w:tcPr>
                  <w:tcW w:w="1151" w:type="dxa"/>
                  <w:noWrap w:val="0"/>
                  <w:vAlign w:val="center"/>
                </w:tcPr>
                <w:p w14:paraId="4C66EE1F">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铬</w:t>
                  </w:r>
                </w:p>
              </w:tc>
              <w:tc>
                <w:tcPr>
                  <w:tcW w:w="3118" w:type="dxa"/>
                  <w:shd w:val="clear" w:color="auto" w:fill="auto"/>
                  <w:noWrap w:val="0"/>
                  <w:vAlign w:val="top"/>
                </w:tcPr>
                <w:p w14:paraId="0D247EE2">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71AF252E">
                  <w:pPr>
                    <w:keepNext w:val="0"/>
                    <w:keepLines w:val="0"/>
                    <w:widowControl/>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0"/>
                      <w:sz w:val="21"/>
                      <w:szCs w:val="21"/>
                      <w:highlight w:val="none"/>
                      <w:lang w:val="en-US" w:eastAsia="zh-CN" w:bidi="ar"/>
                    </w:rPr>
                  </w:pPr>
                  <w:r>
                    <w:rPr>
                      <w:rFonts w:hint="eastAsia"/>
                      <w:color w:val="auto"/>
                      <w:szCs w:val="21"/>
                      <w:highlight w:val="none"/>
                      <w:lang w:eastAsia="zh-CN"/>
                    </w:rPr>
                    <w:t>L14紫外可见分光光度计</w:t>
                  </w:r>
                </w:p>
              </w:tc>
              <w:tc>
                <w:tcPr>
                  <w:tcW w:w="1418" w:type="dxa"/>
                  <w:shd w:val="clear" w:color="auto" w:fill="auto"/>
                  <w:noWrap w:val="0"/>
                  <w:vAlign w:val="center"/>
                </w:tcPr>
                <w:p w14:paraId="4F5196C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Cs w:val="22"/>
                      <w:highlight w:val="none"/>
                    </w:rPr>
                    <w:t>0.004</w:t>
                  </w:r>
                  <w:r>
                    <w:rPr>
                      <w:color w:val="auto"/>
                      <w:szCs w:val="21"/>
                      <w:highlight w:val="none"/>
                    </w:rPr>
                    <w:t>mg/L</w:t>
                  </w:r>
                </w:p>
              </w:tc>
            </w:tr>
            <w:tr w14:paraId="587C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728270F9">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31</w:t>
                  </w:r>
                </w:p>
              </w:tc>
              <w:tc>
                <w:tcPr>
                  <w:tcW w:w="1151" w:type="dxa"/>
                  <w:noWrap w:val="0"/>
                  <w:vAlign w:val="center"/>
                </w:tcPr>
                <w:p w14:paraId="177B33D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铅</w:t>
                  </w:r>
                </w:p>
              </w:tc>
              <w:tc>
                <w:tcPr>
                  <w:tcW w:w="3118" w:type="dxa"/>
                  <w:shd w:val="clear" w:color="auto" w:fill="auto"/>
                  <w:noWrap w:val="0"/>
                  <w:vAlign w:val="top"/>
                </w:tcPr>
                <w:p w14:paraId="3FCCD112">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shd w:val="clear" w:color="auto" w:fill="auto"/>
                  <w:noWrap w:val="0"/>
                  <w:vAlign w:val="center"/>
                </w:tcPr>
                <w:p w14:paraId="4946A77E">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GGX-830型原子吸收分光光度计</w:t>
                  </w:r>
                </w:p>
              </w:tc>
              <w:tc>
                <w:tcPr>
                  <w:tcW w:w="1418" w:type="dxa"/>
                  <w:shd w:val="clear" w:color="auto" w:fill="auto"/>
                  <w:noWrap w:val="0"/>
                  <w:vAlign w:val="center"/>
                </w:tcPr>
                <w:p w14:paraId="58905411">
                  <w:pPr>
                    <w:keepNext w:val="0"/>
                    <w:keepLines w:val="0"/>
                    <w:widowControl/>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2.5</w:t>
                  </w:r>
                  <w:r>
                    <w:rPr>
                      <w:color w:val="auto"/>
                      <w:szCs w:val="22"/>
                      <w:highlight w:val="none"/>
                    </w:rPr>
                    <w:t>μg/L</w:t>
                  </w:r>
                </w:p>
              </w:tc>
            </w:tr>
            <w:tr w14:paraId="7B22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5F14B445">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32</w:t>
                  </w:r>
                </w:p>
              </w:tc>
              <w:tc>
                <w:tcPr>
                  <w:tcW w:w="1151" w:type="dxa"/>
                  <w:noWrap w:val="0"/>
                  <w:vAlign w:val="center"/>
                </w:tcPr>
                <w:p w14:paraId="674FFA6D">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三氯甲烷</w:t>
                  </w:r>
                </w:p>
              </w:tc>
              <w:tc>
                <w:tcPr>
                  <w:tcW w:w="3118" w:type="dxa"/>
                  <w:shd w:val="clear" w:color="auto" w:fill="auto"/>
                  <w:noWrap w:val="0"/>
                  <w:vAlign w:val="top"/>
                </w:tcPr>
                <w:p w14:paraId="7C47E2FF">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vMerge w:val="restart"/>
                  <w:shd w:val="clear" w:color="auto" w:fill="auto"/>
                  <w:noWrap w:val="0"/>
                  <w:vAlign w:val="center"/>
                </w:tcPr>
                <w:p w14:paraId="783F485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rPr>
                    <w:t>GC</w:t>
                  </w:r>
                  <w:r>
                    <w:rPr>
                      <w:rFonts w:hint="eastAsia"/>
                      <w:color w:val="auto"/>
                      <w:kern w:val="0"/>
                      <w:szCs w:val="21"/>
                      <w:highlight w:val="none"/>
                      <w:lang w:val="en-US" w:eastAsia="zh-CN"/>
                    </w:rPr>
                    <w:t>1120</w:t>
                  </w:r>
                  <w:r>
                    <w:rPr>
                      <w:rFonts w:hint="eastAsia"/>
                      <w:color w:val="auto"/>
                      <w:kern w:val="0"/>
                      <w:szCs w:val="21"/>
                      <w:highlight w:val="none"/>
                    </w:rPr>
                    <w:t>气相色谱仪</w:t>
                  </w:r>
                </w:p>
              </w:tc>
              <w:tc>
                <w:tcPr>
                  <w:tcW w:w="1418" w:type="dxa"/>
                  <w:shd w:val="clear" w:color="auto" w:fill="auto"/>
                  <w:noWrap w:val="0"/>
                  <w:vAlign w:val="center"/>
                </w:tcPr>
                <w:p w14:paraId="7EE80F8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0.2</w:t>
                  </w:r>
                  <w:r>
                    <w:rPr>
                      <w:color w:val="auto"/>
                      <w:szCs w:val="22"/>
                      <w:highlight w:val="none"/>
                    </w:rPr>
                    <w:t>μg/L</w:t>
                  </w:r>
                </w:p>
              </w:tc>
            </w:tr>
            <w:tr w14:paraId="1DA7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52F55A47">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33</w:t>
                  </w:r>
                </w:p>
              </w:tc>
              <w:tc>
                <w:tcPr>
                  <w:tcW w:w="1151" w:type="dxa"/>
                  <w:noWrap w:val="0"/>
                  <w:vAlign w:val="center"/>
                </w:tcPr>
                <w:p w14:paraId="4F1F4E1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四氯化碳</w:t>
                  </w:r>
                </w:p>
              </w:tc>
              <w:tc>
                <w:tcPr>
                  <w:tcW w:w="3118" w:type="dxa"/>
                  <w:shd w:val="clear" w:color="auto" w:fill="auto"/>
                  <w:noWrap w:val="0"/>
                  <w:vAlign w:val="top"/>
                </w:tcPr>
                <w:p w14:paraId="56BD2855">
                  <w:pPr>
                    <w:keepNext w:val="0"/>
                    <w:keepLines w:val="0"/>
                    <w:suppressLineNumbers w:val="0"/>
                    <w:spacing w:before="0" w:beforeAutospacing="0" w:after="0" w:afterAutospacing="0"/>
                    <w:ind w:left="0" w:right="0"/>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生活饮用水标准检验方法 感官性状和物理指标GB/T 5750.4-2023</w:t>
                  </w:r>
                </w:p>
              </w:tc>
              <w:tc>
                <w:tcPr>
                  <w:tcW w:w="1559" w:type="dxa"/>
                  <w:vMerge w:val="continue"/>
                  <w:shd w:val="clear" w:color="auto" w:fill="auto"/>
                  <w:noWrap w:val="0"/>
                  <w:vAlign w:val="center"/>
                </w:tcPr>
                <w:p w14:paraId="65B2A3CE">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0"/>
                      <w:sz w:val="21"/>
                      <w:szCs w:val="21"/>
                      <w:highlight w:val="none"/>
                      <w:lang w:val="en-US" w:eastAsia="zh-CN" w:bidi="ar-SA"/>
                    </w:rPr>
                  </w:pPr>
                </w:p>
              </w:tc>
              <w:tc>
                <w:tcPr>
                  <w:tcW w:w="1418" w:type="dxa"/>
                  <w:shd w:val="clear" w:color="auto" w:fill="auto"/>
                  <w:noWrap w:val="0"/>
                  <w:vAlign w:val="center"/>
                </w:tcPr>
                <w:p w14:paraId="75B9304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0.1</w:t>
                  </w:r>
                  <w:r>
                    <w:rPr>
                      <w:color w:val="auto"/>
                      <w:szCs w:val="22"/>
                      <w:highlight w:val="none"/>
                    </w:rPr>
                    <w:t>μg/L</w:t>
                  </w:r>
                </w:p>
              </w:tc>
            </w:tr>
            <w:tr w14:paraId="46E6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2E9CA1E9">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34</w:t>
                  </w:r>
                </w:p>
              </w:tc>
              <w:tc>
                <w:tcPr>
                  <w:tcW w:w="1151" w:type="dxa"/>
                  <w:noWrap w:val="0"/>
                  <w:vAlign w:val="center"/>
                </w:tcPr>
                <w:p w14:paraId="0D2503AF">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苯</w:t>
                  </w:r>
                </w:p>
              </w:tc>
              <w:tc>
                <w:tcPr>
                  <w:tcW w:w="3118" w:type="dxa"/>
                  <w:shd w:val="clear" w:color="auto" w:fill="auto"/>
                  <w:noWrap w:val="0"/>
                  <w:vAlign w:val="center"/>
                </w:tcPr>
                <w:p w14:paraId="6CA95AA8">
                  <w:pPr>
                    <w:keepNext w:val="0"/>
                    <w:keepLines w:val="0"/>
                    <w:suppressLineNumbers w:val="0"/>
                    <w:spacing w:before="0" w:beforeAutospacing="0" w:after="0" w:afterAutospacing="0"/>
                    <w:ind w:left="0" w:right="0"/>
                    <w:jc w:val="center"/>
                    <w:rPr>
                      <w:color w:val="auto"/>
                      <w:kern w:val="0"/>
                      <w:szCs w:val="21"/>
                      <w:highlight w:val="none"/>
                    </w:rPr>
                  </w:pPr>
                  <w:r>
                    <w:rPr>
                      <w:rFonts w:hint="eastAsia"/>
                      <w:color w:val="auto"/>
                      <w:kern w:val="0"/>
                      <w:szCs w:val="21"/>
                      <w:highlight w:val="none"/>
                    </w:rPr>
                    <w:t>生活饮用水标准检验方法第8部分有机物指标GB/T5750.8-202321.1液液萃取毛细管柱气相色谱法</w:t>
                  </w:r>
                </w:p>
              </w:tc>
              <w:tc>
                <w:tcPr>
                  <w:tcW w:w="1559" w:type="dxa"/>
                  <w:vMerge w:val="continue"/>
                  <w:shd w:val="clear" w:color="auto" w:fill="auto"/>
                  <w:noWrap w:val="0"/>
                  <w:vAlign w:val="center"/>
                </w:tcPr>
                <w:p w14:paraId="1AB7063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SA"/>
                    </w:rPr>
                  </w:pPr>
                </w:p>
              </w:tc>
              <w:tc>
                <w:tcPr>
                  <w:tcW w:w="1418" w:type="dxa"/>
                  <w:shd w:val="clear" w:color="auto" w:fill="auto"/>
                  <w:noWrap w:val="0"/>
                  <w:vAlign w:val="center"/>
                </w:tcPr>
                <w:p w14:paraId="6BA8AB1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0.005</w:t>
                  </w:r>
                  <w:r>
                    <w:rPr>
                      <w:color w:val="auto"/>
                      <w:szCs w:val="21"/>
                      <w:highlight w:val="none"/>
                    </w:rPr>
                    <w:t>mg/L</w:t>
                  </w:r>
                </w:p>
              </w:tc>
            </w:tr>
            <w:tr w14:paraId="1488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3E9B92DF">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35</w:t>
                  </w:r>
                </w:p>
              </w:tc>
              <w:tc>
                <w:tcPr>
                  <w:tcW w:w="1151" w:type="dxa"/>
                  <w:noWrap w:val="0"/>
                  <w:vAlign w:val="center"/>
                </w:tcPr>
                <w:p w14:paraId="1803CE93">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甲苯</w:t>
                  </w:r>
                </w:p>
              </w:tc>
              <w:tc>
                <w:tcPr>
                  <w:tcW w:w="3118" w:type="dxa"/>
                  <w:vMerge w:val="restart"/>
                  <w:noWrap w:val="0"/>
                  <w:vAlign w:val="center"/>
                </w:tcPr>
                <w:p w14:paraId="3E953E2E">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生活饮用水标准检验方法第8部分有机物指标GB/T5750.8-202322.2液液萃取毛细管柱气相色谱法</w:t>
                  </w:r>
                </w:p>
              </w:tc>
              <w:tc>
                <w:tcPr>
                  <w:tcW w:w="1559" w:type="dxa"/>
                  <w:vMerge w:val="continue"/>
                  <w:noWrap w:val="0"/>
                  <w:vAlign w:val="center"/>
                </w:tcPr>
                <w:p w14:paraId="54A17E06">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418" w:type="dxa"/>
                  <w:vMerge w:val="restart"/>
                  <w:shd w:val="clear" w:color="auto" w:fill="auto"/>
                  <w:noWrap w:val="0"/>
                  <w:vAlign w:val="center"/>
                </w:tcPr>
                <w:p w14:paraId="2ADF78A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0.006</w:t>
                  </w:r>
                  <w:r>
                    <w:rPr>
                      <w:color w:val="auto"/>
                      <w:szCs w:val="21"/>
                      <w:highlight w:val="none"/>
                    </w:rPr>
                    <w:t>mg/L</w:t>
                  </w:r>
                </w:p>
              </w:tc>
            </w:tr>
            <w:tr w14:paraId="7B3D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03D9DD2F">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36</w:t>
                  </w:r>
                </w:p>
              </w:tc>
              <w:tc>
                <w:tcPr>
                  <w:tcW w:w="1151" w:type="dxa"/>
                  <w:noWrap w:val="0"/>
                  <w:vAlign w:val="center"/>
                </w:tcPr>
                <w:p w14:paraId="3A3C5A9C">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二甲苯</w:t>
                  </w:r>
                </w:p>
              </w:tc>
              <w:tc>
                <w:tcPr>
                  <w:tcW w:w="3118" w:type="dxa"/>
                  <w:vMerge w:val="continue"/>
                  <w:noWrap w:val="0"/>
                  <w:vAlign w:val="center"/>
                </w:tcPr>
                <w:p w14:paraId="2A983487">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559" w:type="dxa"/>
                  <w:vMerge w:val="continue"/>
                  <w:noWrap w:val="0"/>
                  <w:vAlign w:val="center"/>
                </w:tcPr>
                <w:p w14:paraId="21A63BF5">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418" w:type="dxa"/>
                  <w:vMerge w:val="continue"/>
                  <w:noWrap w:val="0"/>
                  <w:vAlign w:val="center"/>
                </w:tcPr>
                <w:p w14:paraId="3F845F86">
                  <w:pPr>
                    <w:keepNext w:val="0"/>
                    <w:keepLines w:val="0"/>
                    <w:widowControl/>
                    <w:suppressLineNumbers w:val="0"/>
                    <w:adjustRightInd w:val="0"/>
                    <w:snapToGrid w:val="0"/>
                    <w:spacing w:before="0" w:beforeAutospacing="0" w:after="0" w:afterAutospacing="0"/>
                    <w:ind w:left="0" w:right="0"/>
                    <w:jc w:val="center"/>
                    <w:rPr>
                      <w:rFonts w:hint="eastAsia"/>
                      <w:color w:val="auto"/>
                      <w:szCs w:val="21"/>
                      <w:highlight w:val="none"/>
                    </w:rPr>
                  </w:pPr>
                </w:p>
              </w:tc>
            </w:tr>
            <w:tr w14:paraId="4A5E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1FFD26E0">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37</w:t>
                  </w:r>
                </w:p>
              </w:tc>
              <w:tc>
                <w:tcPr>
                  <w:tcW w:w="1151" w:type="dxa"/>
                  <w:noWrap w:val="0"/>
                  <w:vAlign w:val="center"/>
                </w:tcPr>
                <w:p w14:paraId="17F7BDF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苯乙烯</w:t>
                  </w:r>
                </w:p>
              </w:tc>
              <w:tc>
                <w:tcPr>
                  <w:tcW w:w="3118" w:type="dxa"/>
                  <w:vMerge w:val="continue"/>
                  <w:noWrap w:val="0"/>
                  <w:vAlign w:val="center"/>
                </w:tcPr>
                <w:p w14:paraId="36C62475">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559" w:type="dxa"/>
                  <w:vMerge w:val="continue"/>
                  <w:noWrap w:val="0"/>
                  <w:vAlign w:val="center"/>
                </w:tcPr>
                <w:p w14:paraId="4B99C0BE">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418" w:type="dxa"/>
                  <w:vMerge w:val="continue"/>
                  <w:noWrap w:val="0"/>
                  <w:vAlign w:val="center"/>
                </w:tcPr>
                <w:p w14:paraId="2EF22BC4">
                  <w:pPr>
                    <w:keepNext w:val="0"/>
                    <w:keepLines w:val="0"/>
                    <w:widowControl/>
                    <w:suppressLineNumbers w:val="0"/>
                    <w:adjustRightInd w:val="0"/>
                    <w:snapToGrid w:val="0"/>
                    <w:spacing w:before="0" w:beforeAutospacing="0" w:after="0" w:afterAutospacing="0"/>
                    <w:ind w:left="0" w:right="0"/>
                    <w:jc w:val="center"/>
                    <w:rPr>
                      <w:rFonts w:hint="eastAsia"/>
                      <w:color w:val="auto"/>
                      <w:szCs w:val="21"/>
                      <w:highlight w:val="none"/>
                    </w:rPr>
                  </w:pPr>
                </w:p>
              </w:tc>
            </w:tr>
            <w:tr w14:paraId="2C35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18" w:type="dxa"/>
                  <w:noWrap w:val="0"/>
                  <w:vAlign w:val="center"/>
                </w:tcPr>
                <w:p w14:paraId="6361245F">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38</w:t>
                  </w:r>
                </w:p>
              </w:tc>
              <w:tc>
                <w:tcPr>
                  <w:tcW w:w="1151" w:type="dxa"/>
                  <w:noWrap w:val="0"/>
                  <w:vAlign w:val="center"/>
                </w:tcPr>
                <w:p w14:paraId="3E03360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乙烯</w:t>
                  </w:r>
                </w:p>
              </w:tc>
              <w:tc>
                <w:tcPr>
                  <w:tcW w:w="3118" w:type="dxa"/>
                  <w:vMerge w:val="continue"/>
                  <w:noWrap w:val="0"/>
                  <w:vAlign w:val="center"/>
                </w:tcPr>
                <w:p w14:paraId="4A34EA7B">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559" w:type="dxa"/>
                  <w:vMerge w:val="continue"/>
                  <w:noWrap w:val="0"/>
                  <w:vAlign w:val="center"/>
                </w:tcPr>
                <w:p w14:paraId="2E5F08E6">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418" w:type="dxa"/>
                  <w:vMerge w:val="continue"/>
                  <w:noWrap w:val="0"/>
                  <w:vAlign w:val="center"/>
                </w:tcPr>
                <w:p w14:paraId="4D496DCD">
                  <w:pPr>
                    <w:keepNext w:val="0"/>
                    <w:keepLines w:val="0"/>
                    <w:widowControl/>
                    <w:suppressLineNumbers w:val="0"/>
                    <w:adjustRightInd w:val="0"/>
                    <w:snapToGrid w:val="0"/>
                    <w:spacing w:before="0" w:beforeAutospacing="0" w:after="0" w:afterAutospacing="0"/>
                    <w:ind w:left="0" w:right="0"/>
                    <w:jc w:val="center"/>
                    <w:rPr>
                      <w:rFonts w:hint="eastAsia"/>
                      <w:color w:val="auto"/>
                      <w:szCs w:val="21"/>
                      <w:highlight w:val="none"/>
                    </w:rPr>
                  </w:pPr>
                </w:p>
              </w:tc>
            </w:tr>
          </w:tbl>
          <w:p w14:paraId="2180995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bCs/>
                <w:color w:val="auto"/>
                <w:sz w:val="24"/>
                <w:highlight w:val="none"/>
              </w:rPr>
            </w:pPr>
            <w:r>
              <w:rPr>
                <w:rFonts w:hint="eastAsia"/>
                <w:color w:val="auto"/>
                <w:sz w:val="24"/>
                <w:highlight w:val="none"/>
              </w:rPr>
              <w:t>⑤评价标准及评价方法</w:t>
            </w:r>
          </w:p>
          <w:p w14:paraId="3F11759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依据《环境影响评价技术导则·地下水环境》（HJ610-2016）和《地下水质量标准》（GB/T14848-2017）的规定，采用标准指数法进行地下水水质的评价。</w:t>
            </w:r>
          </w:p>
          <w:p w14:paraId="5776703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1）对于评价标准为定值的水质因子，其标准指数计算公式为：</w:t>
            </w:r>
          </w:p>
          <w:p w14:paraId="7C37EA30">
            <w:pPr>
              <w:keepNext w:val="0"/>
              <w:keepLines w:val="0"/>
              <w:suppressLineNumbers w:val="0"/>
              <w:snapToGrid w:val="0"/>
              <w:spacing w:before="0" w:beforeAutospacing="0" w:after="0" w:afterAutospacing="0"/>
              <w:ind w:left="0" w:right="0" w:firstLine="480" w:firstLineChars="200"/>
              <w:jc w:val="center"/>
              <w:rPr>
                <w:color w:val="auto"/>
                <w:sz w:val="24"/>
                <w:highlight w:val="none"/>
              </w:rPr>
            </w:pPr>
            <m:oMathPara>
              <m:oMath>
                <m:sSub>
                  <m:sSubPr>
                    <m:ctrlPr>
                      <w:rPr>
                        <w:rFonts w:ascii="Cambria Math" w:hAnsi="Cambria Math"/>
                        <w:i/>
                        <w:color w:val="auto"/>
                        <w:sz w:val="24"/>
                        <w:highlight w:val="none"/>
                      </w:rPr>
                    </m:ctrlPr>
                  </m:sSubPr>
                  <m:e>
                    <m:r>
                      <m:rPr/>
                      <w:rPr>
                        <w:rFonts w:ascii="Cambria Math" w:hAnsi="Cambria Math"/>
                        <w:color w:val="auto"/>
                        <w:sz w:val="24"/>
                        <w:highlight w:val="none"/>
                      </w:rPr>
                      <m:t>P</m:t>
                    </m:r>
                    <m:ctrlPr>
                      <w:rPr>
                        <w:rFonts w:ascii="Cambria Math" w:hAnsi="Cambria Math"/>
                        <w:i/>
                        <w:color w:val="auto"/>
                        <w:sz w:val="24"/>
                        <w:highlight w:val="none"/>
                      </w:rPr>
                    </m:ctrlPr>
                  </m:e>
                  <m:sub>
                    <m:r>
                      <m:rPr/>
                      <w:rPr>
                        <w:rFonts w:ascii="Cambria Math" w:hAnsi="Cambria Math"/>
                        <w:color w:val="auto"/>
                        <w:sz w:val="24"/>
                        <w:highlight w:val="none"/>
                      </w:rPr>
                      <m:t>i</m:t>
                    </m:r>
                    <m:ctrlPr>
                      <w:rPr>
                        <w:rFonts w:ascii="Cambria Math" w:hAnsi="Cambria Math"/>
                        <w:i/>
                        <w:color w:val="auto"/>
                        <w:sz w:val="24"/>
                        <w:highlight w:val="none"/>
                      </w:rPr>
                    </m:ctrlPr>
                  </m:sub>
                </m:sSub>
                <m:r>
                  <m:rPr/>
                  <w:rPr>
                    <w:rFonts w:ascii="Cambria Math" w:hAnsi="Cambria Math"/>
                    <w:color w:val="auto"/>
                    <w:sz w:val="24"/>
                    <w:highlight w:val="none"/>
                  </w:rPr>
                  <m:t>=</m:t>
                </m:r>
                <m:f>
                  <m:fPr>
                    <m:type m:val="skw"/>
                    <m:ctrlPr>
                      <w:rPr>
                        <w:rFonts w:ascii="Cambria Math" w:hAnsi="Cambria Math"/>
                        <w:i/>
                        <w:color w:val="auto"/>
                        <w:sz w:val="24"/>
                        <w:highlight w:val="none"/>
                      </w:rPr>
                    </m:ctrlPr>
                  </m:fPr>
                  <m:num>
                    <m:sSub>
                      <m:sSubPr>
                        <m:ctrlPr>
                          <w:rPr>
                            <w:rFonts w:ascii="Cambria Math" w:hAnsi="Cambria Math"/>
                            <w:i/>
                            <w:color w:val="auto"/>
                            <w:sz w:val="24"/>
                            <w:highlight w:val="none"/>
                          </w:rPr>
                        </m:ctrlPr>
                      </m:sSubPr>
                      <m:e>
                        <m:r>
                          <m:rPr/>
                          <w:rPr>
                            <w:rFonts w:ascii="Cambria Math" w:hAnsi="Cambria Math"/>
                            <w:color w:val="auto"/>
                            <w:sz w:val="24"/>
                            <w:highlight w:val="none"/>
                          </w:rPr>
                          <m:t>C</m:t>
                        </m:r>
                        <m:ctrlPr>
                          <w:rPr>
                            <w:rFonts w:ascii="Cambria Math" w:hAnsi="Cambria Math"/>
                            <w:i/>
                            <w:color w:val="auto"/>
                            <w:sz w:val="24"/>
                            <w:highlight w:val="none"/>
                          </w:rPr>
                        </m:ctrlPr>
                      </m:e>
                      <m:sub>
                        <m:r>
                          <m:rPr/>
                          <w:rPr>
                            <w:rFonts w:ascii="Cambria Math" w:hAnsi="Cambria Math"/>
                            <w:color w:val="auto"/>
                            <w:sz w:val="24"/>
                            <w:highlight w:val="none"/>
                          </w:rPr>
                          <m:t>i</m:t>
                        </m:r>
                        <m:ctrlPr>
                          <w:rPr>
                            <w:rFonts w:ascii="Cambria Math" w:hAnsi="Cambria Math"/>
                            <w:i/>
                            <w:color w:val="auto"/>
                            <w:sz w:val="24"/>
                            <w:highlight w:val="none"/>
                          </w:rPr>
                        </m:ctrlPr>
                      </m:sub>
                    </m:sSub>
                    <m:ctrlPr>
                      <w:rPr>
                        <w:rFonts w:ascii="Cambria Math" w:hAnsi="Cambria Math"/>
                        <w:i/>
                        <w:color w:val="auto"/>
                        <w:sz w:val="24"/>
                        <w:highlight w:val="none"/>
                      </w:rPr>
                    </m:ctrlPr>
                  </m:num>
                  <m:den>
                    <m:sSub>
                      <m:sSubPr>
                        <m:ctrlPr>
                          <w:rPr>
                            <w:rFonts w:ascii="Cambria Math" w:hAnsi="Cambria Math"/>
                            <w:i/>
                            <w:color w:val="auto"/>
                            <w:sz w:val="24"/>
                            <w:highlight w:val="none"/>
                          </w:rPr>
                        </m:ctrlPr>
                      </m:sSubPr>
                      <m:e>
                        <m:r>
                          <m:rPr/>
                          <w:rPr>
                            <w:rFonts w:ascii="Cambria Math" w:hAnsi="Cambria Math"/>
                            <w:color w:val="auto"/>
                            <w:sz w:val="24"/>
                            <w:highlight w:val="none"/>
                          </w:rPr>
                          <m:t>C</m:t>
                        </m:r>
                        <m:ctrlPr>
                          <w:rPr>
                            <w:rFonts w:ascii="Cambria Math" w:hAnsi="Cambria Math"/>
                            <w:i/>
                            <w:color w:val="auto"/>
                            <w:sz w:val="24"/>
                            <w:highlight w:val="none"/>
                          </w:rPr>
                        </m:ctrlPr>
                      </m:e>
                      <m:sub>
                        <m:r>
                          <m:rPr/>
                          <w:rPr>
                            <w:rFonts w:ascii="Cambria Math" w:hAnsi="Cambria Math"/>
                            <w:color w:val="auto"/>
                            <w:sz w:val="24"/>
                            <w:highlight w:val="none"/>
                          </w:rPr>
                          <m:t>si</m:t>
                        </m:r>
                        <m:ctrlPr>
                          <w:rPr>
                            <w:rFonts w:ascii="Cambria Math" w:hAnsi="Cambria Math"/>
                            <w:i/>
                            <w:color w:val="auto"/>
                            <w:sz w:val="24"/>
                            <w:highlight w:val="none"/>
                          </w:rPr>
                        </m:ctrlPr>
                      </m:sub>
                    </m:sSub>
                    <m:ctrlPr>
                      <w:rPr>
                        <w:rFonts w:ascii="Cambria Math" w:hAnsi="Cambria Math"/>
                        <w:i/>
                        <w:color w:val="auto"/>
                        <w:sz w:val="24"/>
                        <w:highlight w:val="none"/>
                      </w:rPr>
                    </m:ctrlPr>
                  </m:den>
                </m:f>
              </m:oMath>
            </m:oMathPara>
          </w:p>
          <w:p w14:paraId="65C7D2F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式中：P</w:t>
            </w:r>
            <w:r>
              <w:rPr>
                <w:rFonts w:hint="eastAsia"/>
                <w:color w:val="auto"/>
                <w:sz w:val="24"/>
                <w:highlight w:val="none"/>
                <w:vertAlign w:val="subscript"/>
              </w:rPr>
              <w:t>i</w:t>
            </w:r>
            <w:r>
              <w:rPr>
                <w:rFonts w:hint="eastAsia"/>
                <w:color w:val="auto"/>
                <w:sz w:val="24"/>
                <w:highlight w:val="none"/>
              </w:rPr>
              <w:t>——第i个水质因子的标准指数，无量纲；</w:t>
            </w:r>
          </w:p>
          <w:p w14:paraId="7FE682F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C</w:t>
            </w:r>
            <w:r>
              <w:rPr>
                <w:rFonts w:hint="eastAsia"/>
                <w:color w:val="auto"/>
                <w:sz w:val="24"/>
                <w:highlight w:val="none"/>
                <w:vertAlign w:val="subscript"/>
              </w:rPr>
              <w:t>i</w:t>
            </w:r>
            <w:r>
              <w:rPr>
                <w:rFonts w:hint="eastAsia"/>
                <w:color w:val="auto"/>
                <w:sz w:val="24"/>
                <w:highlight w:val="none"/>
              </w:rPr>
              <w:t>——第i个水质因子的监测浓度值，mg/L；</w:t>
            </w:r>
          </w:p>
          <w:p w14:paraId="5D52E67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C</w:t>
            </w:r>
            <w:r>
              <w:rPr>
                <w:rFonts w:hint="eastAsia"/>
                <w:color w:val="auto"/>
                <w:sz w:val="24"/>
                <w:highlight w:val="none"/>
                <w:vertAlign w:val="subscript"/>
              </w:rPr>
              <w:t>si</w:t>
            </w:r>
            <w:r>
              <w:rPr>
                <w:rFonts w:hint="eastAsia"/>
                <w:color w:val="auto"/>
                <w:sz w:val="24"/>
                <w:highlight w:val="none"/>
              </w:rPr>
              <w:t>——第i个水质因子的标准浓度值，mg/L。</w:t>
            </w:r>
          </w:p>
          <w:p w14:paraId="028BB10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2）对于评价标准为区间值的水质因子（如pH值），其标准指数计算公式为：</w:t>
            </w:r>
          </w:p>
          <w:p w14:paraId="581C9BF7">
            <w:pPr>
              <w:keepNext w:val="0"/>
              <w:keepLines w:val="0"/>
              <w:suppressLineNumbers w:val="0"/>
              <w:snapToGrid w:val="0"/>
              <w:spacing w:before="0" w:beforeAutospacing="0" w:after="0" w:afterAutospacing="0"/>
              <w:ind w:left="0" w:right="0" w:firstLine="2400" w:firstLineChars="1000"/>
              <w:rPr>
                <w:color w:val="auto"/>
                <w:sz w:val="24"/>
                <w:highlight w:val="none"/>
              </w:rPr>
            </w:pPr>
            <w:r>
              <w:rPr>
                <w:color w:val="auto"/>
                <w:sz w:val="24"/>
                <w:highlight w:val="none"/>
              </w:rPr>
              <w:fldChar w:fldCharType="begin"/>
            </w:r>
            <w:r>
              <w:rPr>
                <w:color w:val="auto"/>
                <w:sz w:val="24"/>
                <w:highlight w:val="none"/>
              </w:rPr>
              <w:instrText xml:space="preserve"> QUOTE </w:instrText>
            </w:r>
            <w:r>
              <w:rPr>
                <w:color w:val="auto"/>
                <w:position w:val="-23"/>
                <w:highlight w:val="none"/>
              </w:rPr>
              <w:pict>
                <v:shape id="_x0000_i1025" o:spt="75" type="#_x0000_t75" style="height:29.25pt;width:97.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Q3NTBlZWEyYWI1MDNkNWQ3NWI2Yjc1MzAyZWU1MGQifQ==&quot;/&gt;&lt;/w:docVars&gt;&lt;wsp:rsids&gt;&lt;wsp:rsidRoot wsp:val=&quot;00172A27&quot;/&gt;&lt;wsp:rsid wsp:val=&quot;000001D5&quot;/&gt;&lt;wsp:rsid wsp:val=&quot;000015AB&quot;/&gt;&lt;wsp:rsid wsp:val=&quot;000060B3&quot;/&gt;&lt;wsp:rsid wsp:val=&quot;000133A0&quot;/&gt;&lt;wsp:rsid wsp:val=&quot;000135C3&quot;/&gt;&lt;wsp:rsid wsp:val=&quot;00014F88&quot;/&gt;&lt;wsp:rsid wsp:val=&quot;00021008&quot;/&gt;&lt;wsp:rsid wsp:val=&quot;0003757B&quot;/&gt;&lt;wsp:rsid wsp:val=&quot;000402C4&quot;/&gt;&lt;wsp:rsid wsp:val=&quot;0004364B&quot;/&gt;&lt;wsp:rsid wsp:val=&quot;00045C58&quot;/&gt;&lt;wsp:rsid wsp:val=&quot;000516C8&quot;/&gt;&lt;wsp:rsid wsp:val=&quot;00051C6E&quot;/&gt;&lt;wsp:rsid wsp:val=&quot;000566B9&quot;/&gt;&lt;wsp:rsid wsp:val=&quot;000608EF&quot;/&gt;&lt;wsp:rsid wsp:val=&quot;00061B1F&quot;/&gt;&lt;wsp:rsid wsp:val=&quot;00065CB1&quot;/&gt;&lt;wsp:rsid wsp:val=&quot;00065DDB&quot;/&gt;&lt;wsp:rsid wsp:val=&quot;000721D3&quot;/&gt;&lt;wsp:rsid wsp:val=&quot;000733C4&quot;/&gt;&lt;wsp:rsid wsp:val=&quot;00074783&quot;/&gt;&lt;wsp:rsid wsp:val=&quot;00077490&quot;/&gt;&lt;wsp:rsid wsp:val=&quot;00080166&quot;/&gt;&lt;wsp:rsid wsp:val=&quot;00080297&quot;/&gt;&lt;wsp:rsid wsp:val=&quot;0008070B&quot;/&gt;&lt;wsp:rsid wsp:val=&quot;00080755&quot;/&gt;&lt;wsp:rsid wsp:val=&quot;000810AC&quot;/&gt;&lt;wsp:rsid wsp:val=&quot;000817FE&quot;/&gt;&lt;wsp:rsid wsp:val=&quot;00081A02&quot;/&gt;&lt;wsp:rsid wsp:val=&quot;00082231&quot;/&gt;&lt;wsp:rsid wsp:val=&quot;0008392B&quot;/&gt;&lt;wsp:rsid wsp:val=&quot;000841F8&quot;/&gt;&lt;wsp:rsid wsp:val=&quot;00086A47&quot;/&gt;&lt;wsp:rsid wsp:val=&quot;00092D38&quot;/&gt;&lt;wsp:rsid wsp:val=&quot;0009377B&quot;/&gt;&lt;wsp:rsid wsp:val=&quot;00094BE1&quot;/&gt;&lt;wsp:rsid wsp:val=&quot;000A20C9&quot;/&gt;&lt;wsp:rsid wsp:val=&quot;000A7F18&quot;/&gt;&lt;wsp:rsid wsp:val=&quot;000B058F&quot;/&gt;&lt;wsp:rsid wsp:val=&quot;000B1BDD&quot;/&gt;&lt;wsp:rsid wsp:val=&quot;000B4467&quot;/&gt;&lt;wsp:rsid wsp:val=&quot;000B4DB9&quot;/&gt;&lt;wsp:rsid wsp:val=&quot;000C09AC&quot;/&gt;&lt;wsp:rsid wsp:val=&quot;000C2F13&quot;/&gt;&lt;wsp:rsid wsp:val=&quot;000C68AA&quot;/&gt;&lt;wsp:rsid wsp:val=&quot;000C7060&quot;/&gt;&lt;wsp:rsid wsp:val=&quot;000C767F&quot;/&gt;&lt;wsp:rsid wsp:val=&quot;000D2FC9&quot;/&gt;&lt;wsp:rsid wsp:val=&quot;000D5A44&quot;/&gt;&lt;wsp:rsid wsp:val=&quot;000E06B5&quot;/&gt;&lt;wsp:rsid wsp:val=&quot;000E3ED2&quot;/&gt;&lt;wsp:rsid wsp:val=&quot;000E542D&quot;/&gt;&lt;wsp:rsid wsp:val=&quot;000E752C&quot;/&gt;&lt;wsp:rsid wsp:val=&quot;000F4DF7&quot;/&gt;&lt;wsp:rsid wsp:val=&quot;00100322&quot;/&gt;&lt;wsp:rsid wsp:val=&quot;001013DF&quot;/&gt;&lt;wsp:rsid wsp:val=&quot;001043BC&quot;/&gt;&lt;wsp:rsid wsp:val=&quot;0010496F&quot;/&gt;&lt;wsp:rsid wsp:val=&quot;00105887&quot;/&gt;&lt;wsp:rsid wsp:val=&quot;00112010&quot;/&gt;&lt;wsp:rsid wsp:val=&quot;00112376&quot;/&gt;&lt;wsp:rsid wsp:val=&quot;00126AD1&quot;/&gt;&lt;wsp:rsid wsp:val=&quot;00127B40&quot;/&gt;&lt;wsp:rsid wsp:val=&quot;00131F42&quot;/&gt;&lt;wsp:rsid wsp:val=&quot;001357F1&quot;/&gt;&lt;wsp:rsid wsp:val=&quot;00140FA8&quot;/&gt;&lt;wsp:rsid wsp:val=&quot;00142FEB&quot;/&gt;&lt;wsp:rsid wsp:val=&quot;00143A2D&quot;/&gt;&lt;wsp:rsid wsp:val=&quot;00145A41&quot;/&gt;&lt;wsp:rsid wsp:val=&quot;00147A3A&quot;/&gt;&lt;wsp:rsid wsp:val=&quot;00151675&quot;/&gt;&lt;wsp:rsid wsp:val=&quot;001517DA&quot;/&gt;&lt;wsp:rsid wsp:val=&quot;0015498B&quot;/&gt;&lt;wsp:rsid wsp:val=&quot;00157435&quot;/&gt;&lt;wsp:rsid wsp:val=&quot;00162383&quot;/&gt;&lt;wsp:rsid wsp:val=&quot;001641A6&quot;/&gt;&lt;wsp:rsid wsp:val=&quot;00164BD5&quot;/&gt;&lt;wsp:rsid wsp:val=&quot;0016759A&quot;/&gt;&lt;wsp:rsid wsp:val=&quot;001745F0&quot;/&gt;&lt;wsp:rsid wsp:val=&quot;0017504D&quot;/&gt;&lt;wsp:rsid wsp:val=&quot;0017671A&quot;/&gt;&lt;wsp:rsid wsp:val=&quot;00177422&quot;/&gt;&lt;wsp:rsid wsp:val=&quot;001827D4&quot;/&gt;&lt;wsp:rsid wsp:val=&quot;00182F0E&quot;/&gt;&lt;wsp:rsid wsp:val=&quot;00184590&quot;/&gt;&lt;wsp:rsid wsp:val=&quot;001870D1&quot;/&gt;&lt;wsp:rsid wsp:val=&quot;00187102&quot;/&gt;&lt;wsp:rsid wsp:val=&quot;0018781E&quot;/&gt;&lt;wsp:rsid wsp:val=&quot;00187DBE&quot;/&gt;&lt;wsp:rsid wsp:val=&quot;00187DFF&quot;/&gt;&lt;wsp:rsid wsp:val=&quot;00190985&quot;/&gt;&lt;wsp:rsid wsp:val=&quot;0019226E&quot;/&gt;&lt;wsp:rsid wsp:val=&quot;0019262D&quot;/&gt;&lt;wsp:rsid wsp:val=&quot;00194E72&quot;/&gt;&lt;wsp:rsid wsp:val=&quot;00195DD0&quot;/&gt;&lt;wsp:rsid wsp:val=&quot;001967CB&quot;/&gt;&lt;wsp:rsid wsp:val=&quot;001A1B35&quot;/&gt;&lt;wsp:rsid wsp:val=&quot;001A301A&quot;/&gt;&lt;wsp:rsid wsp:val=&quot;001A48A2&quot;/&gt;&lt;wsp:rsid wsp:val=&quot;001A61B6&quot;/&gt;&lt;wsp:rsid wsp:val=&quot;001A6D63&quot;/&gt;&lt;wsp:rsid wsp:val=&quot;001A6F61&quot;/&gt;&lt;wsp:rsid wsp:val=&quot;001A763A&quot;/&gt;&lt;wsp:rsid wsp:val=&quot;001A78E1&quot;/&gt;&lt;wsp:rsid wsp:val=&quot;001B373B&quot;/&gt;&lt;wsp:rsid wsp:val=&quot;001B72B8&quot;/&gt;&lt;wsp:rsid wsp:val=&quot;001C0BB6&quot;/&gt;&lt;wsp:rsid wsp:val=&quot;001C69B3&quot;/&gt;&lt;wsp:rsid wsp:val=&quot;001D1B9A&quot;/&gt;&lt;wsp:rsid wsp:val=&quot;001D5595&quot;/&gt;&lt;wsp:rsid wsp:val=&quot;001D7874&quot;/&gt;&lt;wsp:rsid wsp:val=&quot;001D7F22&quot;/&gt;&lt;wsp:rsid wsp:val=&quot;001E03ED&quot;/&gt;&lt;wsp:rsid wsp:val=&quot;001E0E25&quot;/&gt;&lt;wsp:rsid wsp:val=&quot;001E4AEA&quot;/&gt;&lt;wsp:rsid wsp:val=&quot;001F0F17&quot;/&gt;&lt;wsp:rsid wsp:val=&quot;001F3347&quot;/&gt;&lt;wsp:rsid wsp:val=&quot;001F348D&quot;/&gt;&lt;wsp:rsid wsp:val=&quot;001F69E4&quot;/&gt;&lt;wsp:rsid wsp:val=&quot;002003EF&quot;/&gt;&lt;wsp:rsid wsp:val=&quot;0020350B&quot;/&gt;&lt;wsp:rsid wsp:val=&quot;00203F88&quot;/&gt;&lt;wsp:rsid wsp:val=&quot;002104D9&quot;/&gt;&lt;wsp:rsid wsp:val=&quot;002111E2&quot;/&gt;&lt;wsp:rsid wsp:val=&quot;00211868&quot;/&gt;&lt;wsp:rsid wsp:val=&quot;002125B4&quot;/&gt;&lt;wsp:rsid wsp:val=&quot;002155B8&quot;/&gt;&lt;wsp:rsid wsp:val=&quot;00220461&quot;/&gt;&lt;wsp:rsid wsp:val=&quot;00221FF4&quot;/&gt;&lt;wsp:rsid wsp:val=&quot;00224839&quot;/&gt;&lt;wsp:rsid wsp:val=&quot;002249B2&quot;/&gt;&lt;wsp:rsid wsp:val=&quot;00226574&quot;/&gt;&lt;wsp:rsid wsp:val=&quot;002278EC&quot;/&gt;&lt;wsp:rsid wsp:val=&quot;00231CAC&quot;/&gt;&lt;wsp:rsid wsp:val=&quot;002321C3&quot;/&gt;&lt;wsp:rsid wsp:val=&quot;0023280E&quot;/&gt;&lt;wsp:rsid wsp:val=&quot;002334B7&quot;/&gt;&lt;wsp:rsid wsp:val=&quot;002356E6&quot;/&gt;&lt;wsp:rsid wsp:val=&quot;00236D4C&quot;/&gt;&lt;wsp:rsid wsp:val=&quot;002377D1&quot;/&gt;&lt;wsp:rsid wsp:val=&quot;0024212D&quot;/&gt;&lt;wsp:rsid wsp:val=&quot;00243A38&quot;/&gt;&lt;wsp:rsid wsp:val=&quot;00244405&quot;/&gt;&lt;wsp:rsid wsp:val=&quot;00244B3D&quot;/&gt;&lt;wsp:rsid wsp:val=&quot;002506BC&quot;/&gt;&lt;wsp:rsid wsp:val=&quot;00254345&quot;/&gt;&lt;wsp:rsid wsp:val=&quot;002556DA&quot;/&gt;&lt;wsp:rsid wsp:val=&quot;00264557&quot;/&gt;&lt;wsp:rsid wsp:val=&quot;00264C8F&quot;/&gt;&lt;wsp:rsid wsp:val=&quot;0027763D&quot;/&gt;&lt;wsp:rsid wsp:val=&quot;00277DAE&quot;/&gt;&lt;wsp:rsid wsp:val=&quot;002805AB&quot;/&gt;&lt;wsp:rsid wsp:val=&quot;0028312F&quot;/&gt;&lt;wsp:rsid wsp:val=&quot;00284204&quot;/&gt;&lt;wsp:rsid wsp:val=&quot;00285B6F&quot;/&gt;&lt;wsp:rsid wsp:val=&quot;00291773&quot;/&gt;&lt;wsp:rsid wsp:val=&quot;00292628&quot;/&gt;&lt;wsp:rsid wsp:val=&quot;00292A68&quot;/&gt;&lt;wsp:rsid wsp:val=&quot;00295235&quot;/&gt;&lt;wsp:rsid wsp:val=&quot;0029597C&quot;/&gt;&lt;wsp:rsid wsp:val=&quot;002A168C&quot;/&gt;&lt;wsp:rsid wsp:val=&quot;002A3DC7&quot;/&gt;&lt;wsp:rsid wsp:val=&quot;002B0847&quot;/&gt;&lt;wsp:rsid wsp:val=&quot;002B49E2&quot;/&gt;&lt;wsp:rsid wsp:val=&quot;002B7B00&quot;/&gt;&lt;wsp:rsid wsp:val=&quot;002B7C44&quot;/&gt;&lt;wsp:rsid wsp:val=&quot;002C2B17&quot;/&gt;&lt;wsp:rsid wsp:val=&quot;002C36C5&quot;/&gt;&lt;wsp:rsid wsp:val=&quot;002D30F8&quot;/&gt;&lt;wsp:rsid wsp:val=&quot;002D3DD0&quot;/&gt;&lt;wsp:rsid wsp:val=&quot;002D6CC9&quot;/&gt;&lt;wsp:rsid wsp:val=&quot;002D793B&quot;/&gt;&lt;wsp:rsid wsp:val=&quot;002E0C39&quot;/&gt;&lt;wsp:rsid wsp:val=&quot;002E1F3A&quot;/&gt;&lt;wsp:rsid wsp:val=&quot;002E298A&quot;/&gt;&lt;wsp:rsid wsp:val=&quot;002E376B&quot;/&gt;&lt;wsp:rsid wsp:val=&quot;002E5A02&quot;/&gt;&lt;wsp:rsid wsp:val=&quot;002E625A&quot;/&gt;&lt;wsp:rsid wsp:val=&quot;002E757B&quot;/&gt;&lt;wsp:rsid wsp:val=&quot;002E7ACF&quot;/&gt;&lt;wsp:rsid wsp:val=&quot;002F189B&quot;/&gt;&lt;wsp:rsid wsp:val=&quot;002F5F9E&quot;/&gt;&lt;wsp:rsid wsp:val=&quot;002F6D23&quot;/&gt;&lt;wsp:rsid wsp:val=&quot;00301978&quot;/&gt;&lt;wsp:rsid wsp:val=&quot;0030332C&quot;/&gt;&lt;wsp:rsid wsp:val=&quot;003045A6&quot;/&gt;&lt;wsp:rsid wsp:val=&quot;003051C2&quot;/&gt;&lt;wsp:rsid wsp:val=&quot;00306812&quot;/&gt;&lt;wsp:rsid wsp:val=&quot;00306896&quot;/&gt;&lt;wsp:rsid wsp:val=&quot;00312296&quot;/&gt;&lt;wsp:rsid wsp:val=&quot;00314F0E&quot;/&gt;&lt;wsp:rsid wsp:val=&quot;00321D8E&quot;/&gt;&lt;wsp:rsid wsp:val=&quot;00325928&quot;/&gt;&lt;wsp:rsid wsp:val=&quot;003274EF&quot;/&gt;&lt;wsp:rsid wsp:val=&quot;00332863&quot;/&gt;&lt;wsp:rsid wsp:val=&quot;003361F8&quot;/&gt;&lt;wsp:rsid wsp:val=&quot;0033684D&quot;/&gt;&lt;wsp:rsid wsp:val=&quot;00337B42&quot;/&gt;&lt;wsp:rsid wsp:val=&quot;00341B42&quot;/&gt;&lt;wsp:rsid wsp:val=&quot;0034348F&quot;/&gt;&lt;wsp:rsid wsp:val=&quot;003439AE&quot;/&gt;&lt;wsp:rsid wsp:val=&quot;00344120&quot;/&gt;&lt;wsp:rsid wsp:val=&quot;0034470B&quot;/&gt;&lt;wsp:rsid wsp:val=&quot;00353207&quot;/&gt;&lt;wsp:rsid wsp:val=&quot;003548C5&quot;/&gt;&lt;wsp:rsid wsp:val=&quot;00355C09&quot;/&gt;&lt;wsp:rsid wsp:val=&quot;00356653&quot;/&gt;&lt;wsp:rsid wsp:val=&quot;0035743F&quot;/&gt;&lt;wsp:rsid wsp:val=&quot;00357BE2&quot;/&gt;&lt;wsp:rsid wsp:val=&quot;003604A6&quot;/&gt;&lt;wsp:rsid wsp:val=&quot;0036170C&quot;/&gt;&lt;wsp:rsid wsp:val=&quot;00366E0F&quot;/&gt;&lt;wsp:rsid wsp:val=&quot;00372937&quot;/&gt;&lt;wsp:rsid wsp:val=&quot;00373BA1&quot;/&gt;&lt;wsp:rsid wsp:val=&quot;00374954&quot;/&gt;&lt;wsp:rsid wsp:val=&quot;003775ED&quot;/&gt;&lt;wsp:rsid wsp:val=&quot;00381A72&quot;/&gt;&lt;wsp:rsid wsp:val=&quot;0038275A&quot;/&gt;&lt;wsp:rsid wsp:val=&quot;00382E44&quot;/&gt;&lt;wsp:rsid wsp:val=&quot;00384676&quot;/&gt;&lt;wsp:rsid wsp:val=&quot;0038684E&quot;/&gt;&lt;wsp:rsid wsp:val=&quot;00390857&quot;/&gt;&lt;wsp:rsid wsp:val=&quot;00393E29&quot;/&gt;&lt;wsp:rsid wsp:val=&quot;003A21F2&quot;/&gt;&lt;wsp:rsid wsp:val=&quot;003A4BF3&quot;/&gt;&lt;wsp:rsid wsp:val=&quot;003A5F58&quot;/&gt;&lt;wsp:rsid wsp:val=&quot;003B420D&quot;/&gt;&lt;wsp:rsid wsp:val=&quot;003B7389&quot;/&gt;&lt;wsp:rsid wsp:val=&quot;003C4CE2&quot;/&gt;&lt;wsp:rsid wsp:val=&quot;003C6047&quot;/&gt;&lt;wsp:rsid wsp:val=&quot;003C6C16&quot;/&gt;&lt;wsp:rsid wsp:val=&quot;003D4305&quot;/&gt;&lt;wsp:rsid wsp:val=&quot;003D794D&quot;/&gt;&lt;wsp:rsid wsp:val=&quot;003E2F1B&quot;/&gt;&lt;wsp:rsid wsp:val=&quot;003E3058&quot;/&gt;&lt;wsp:rsid wsp:val=&quot;003E4C0B&quot;/&gt;&lt;wsp:rsid wsp:val=&quot;003E76A9&quot;/&gt;&lt;wsp:rsid wsp:val=&quot;003F0809&quot;/&gt;&lt;wsp:rsid wsp:val=&quot;003F10AC&quot;/&gt;&lt;wsp:rsid wsp:val=&quot;003F6A8C&quot;/&gt;&lt;wsp:rsid wsp:val=&quot;003F755C&quot;/&gt;&lt;wsp:rsid wsp:val=&quot;003F7993&quot;/&gt;&lt;wsp:rsid wsp:val=&quot;004020F0&quot;/&gt;&lt;wsp:rsid wsp:val=&quot;004022B3&quot;/&gt;&lt;wsp:rsid wsp:val=&quot;00403B54&quot;/&gt;&lt;wsp:rsid wsp:val=&quot;00406F01&quot;/&gt;&lt;wsp:rsid wsp:val=&quot;00406F27&quot;/&gt;&lt;wsp:rsid wsp:val=&quot;004079DC&quot;/&gt;&lt;wsp:rsid wsp:val=&quot;00416652&quot;/&gt;&lt;wsp:rsid wsp:val=&quot;00416D50&quot;/&gt;&lt;wsp:rsid wsp:val=&quot;00416FD5&quot;/&gt;&lt;wsp:rsid wsp:val=&quot;00417772&quot;/&gt;&lt;wsp:rsid wsp:val=&quot;00420E6A&quot;/&gt;&lt;wsp:rsid wsp:val=&quot;00422656&quot;/&gt;&lt;wsp:rsid wsp:val=&quot;00425A9E&quot;/&gt;&lt;wsp:rsid wsp:val=&quot;00426D6B&quot;/&gt;&lt;wsp:rsid wsp:val=&quot;00427E16&quot;/&gt;&lt;wsp:rsid wsp:val=&quot;00430215&quot;/&gt;&lt;wsp:rsid wsp:val=&quot;00431E6C&quot;/&gt;&lt;wsp:rsid wsp:val=&quot;00433CE7&quot;/&gt;&lt;wsp:rsid wsp:val=&quot;00437DCD&quot;/&gt;&lt;wsp:rsid wsp:val=&quot;0044199C&quot;/&gt;&lt;wsp:rsid wsp:val=&quot;00442FF6&quot;/&gt;&lt;wsp:rsid wsp:val=&quot;0044477A&quot;/&gt;&lt;wsp:rsid wsp:val=&quot;00452738&quot;/&gt;&lt;wsp:rsid wsp:val=&quot;00452B6F&quot;/&gt;&lt;wsp:rsid wsp:val=&quot;00452F6A&quot;/&gt;&lt;wsp:rsid wsp:val=&quot;00456091&quot;/&gt;&lt;wsp:rsid wsp:val=&quot;00466321&quot;/&gt;&lt;wsp:rsid wsp:val=&quot;0047402B&quot;/&gt;&lt;wsp:rsid wsp:val=&quot;0047420F&quot;/&gt;&lt;wsp:rsid wsp:val=&quot;00482463&quot;/&gt;&lt;wsp:rsid wsp:val=&quot;0048258B&quot;/&gt;&lt;wsp:rsid wsp:val=&quot;00484B9B&quot;/&gt;&lt;wsp:rsid wsp:val=&quot;004855F6&quot;/&gt;&lt;wsp:rsid wsp:val=&quot;0048661E&quot;/&gt;&lt;wsp:rsid wsp:val=&quot;004941DB&quot;/&gt;&lt;wsp:rsid wsp:val=&quot;00494492&quot;/&gt;&lt;wsp:rsid wsp:val=&quot;00494670&quot;/&gt;&lt;wsp:rsid wsp:val=&quot;004A12FC&quot;/&gt;&lt;wsp:rsid wsp:val=&quot;004A1C11&quot;/&gt;&lt;wsp:rsid wsp:val=&quot;004A3823&quot;/&gt;&lt;wsp:rsid wsp:val=&quot;004A664B&quot;/&gt;&lt;wsp:rsid wsp:val=&quot;004B0712&quot;/&gt;&lt;wsp:rsid wsp:val=&quot;004B2AED&quot;/&gt;&lt;wsp:rsid wsp:val=&quot;004B39FE&quot;/&gt;&lt;wsp:rsid wsp:val=&quot;004B3EB7&quot;/&gt;&lt;wsp:rsid wsp:val=&quot;004B60EB&quot;/&gt;&lt;wsp:rsid wsp:val=&quot;004C1246&quot;/&gt;&lt;wsp:rsid wsp:val=&quot;004E00DF&quot;/&gt;&lt;wsp:rsid wsp:val=&quot;004E2407&quot;/&gt;&lt;wsp:rsid wsp:val=&quot;004E6946&quot;/&gt;&lt;wsp:rsid wsp:val=&quot;004F1AD8&quot;/&gt;&lt;wsp:rsid wsp:val=&quot;004F26C4&quot;/&gt;&lt;wsp:rsid wsp:val=&quot;004F3BEC&quot;/&gt;&lt;wsp:rsid wsp:val=&quot;004F5E1E&quot;/&gt;&lt;wsp:rsid wsp:val=&quot;00500177&quot;/&gt;&lt;wsp:rsid wsp:val=&quot;005010F2&quot;/&gt;&lt;wsp:rsid wsp:val=&quot;005039CB&quot;/&gt;&lt;wsp:rsid wsp:val=&quot;0050558F&quot;/&gt;&lt;wsp:rsid wsp:val=&quot;00506286&quot;/&gt;&lt;wsp:rsid wsp:val=&quot;00510813&quot;/&gt;&lt;wsp:rsid wsp:val=&quot;00511990&quot;/&gt;&lt;wsp:rsid wsp:val=&quot;00511DE0&quot;/&gt;&lt;wsp:rsid wsp:val=&quot;00513A67&quot;/&gt;&lt;wsp:rsid wsp:val=&quot;00514870&quot;/&gt;&lt;wsp:rsid wsp:val=&quot;00514B9B&quot;/&gt;&lt;wsp:rsid wsp:val=&quot;00517F02&quot;/&gt;&lt;wsp:rsid wsp:val=&quot;00524303&quot;/&gt;&lt;wsp:rsid wsp:val=&quot;005258A2&quot;/&gt;&lt;wsp:rsid wsp:val=&quot;00527756&quot;/&gt;&lt;wsp:rsid wsp:val=&quot;00531884&quot;/&gt;&lt;wsp:rsid wsp:val=&quot;00534C05&quot;/&gt;&lt;wsp:rsid wsp:val=&quot;005401AE&quot;/&gt;&lt;wsp:rsid wsp:val=&quot;00542D74&quot;/&gt;&lt;wsp:rsid wsp:val=&quot;00542E07&quot;/&gt;&lt;wsp:rsid wsp:val=&quot;00543846&quot;/&gt;&lt;wsp:rsid wsp:val=&quot;00545424&quot;/&gt;&lt;wsp:rsid wsp:val=&quot;00545B8F&quot;/&gt;&lt;wsp:rsid wsp:val=&quot;00552415&quot;/&gt;&lt;wsp:rsid wsp:val=&quot;00554279&quot;/&gt;&lt;wsp:rsid wsp:val=&quot;00554A7B&quot;/&gt;&lt;wsp:rsid wsp:val=&quot;0055572C&quot;/&gt;&lt;wsp:rsid wsp:val=&quot;00556A5B&quot;/&gt;&lt;wsp:rsid wsp:val=&quot;0056106A&quot;/&gt;&lt;wsp:rsid wsp:val=&quot;00563A27&quot;/&gt;&lt;wsp:rsid wsp:val=&quot;005720AE&quot;/&gt;&lt;wsp:rsid wsp:val=&quot;0057751D&quot;/&gt;&lt;wsp:rsid wsp:val=&quot;00580624&quot;/&gt;&lt;wsp:rsid wsp:val=&quot;0058385C&quot;/&gt;&lt;wsp:rsid wsp:val=&quot;00583B0F&quot;/&gt;&lt;wsp:rsid wsp:val=&quot;00586059&quot;/&gt;&lt;wsp:rsid wsp:val=&quot;00587644&quot;/&gt;&lt;wsp:rsid wsp:val=&quot;005914C5&quot;/&gt;&lt;wsp:rsid wsp:val=&quot;00593F2F&quot;/&gt;&lt;wsp:rsid wsp:val=&quot;00594D77&quot;/&gt;&lt;wsp:rsid wsp:val=&quot;00595BD9&quot;/&gt;&lt;wsp:rsid wsp:val=&quot;005969E4&quot;/&gt;&lt;wsp:rsid wsp:val=&quot;00596CDB&quot;/&gt;&lt;wsp:rsid wsp:val=&quot;005A06B7&quot;/&gt;&lt;wsp:rsid wsp:val=&quot;005A1759&quot;/&gt;&lt;wsp:rsid wsp:val=&quot;005A1972&quot;/&gt;&lt;wsp:rsid wsp:val=&quot;005A4C27&quot;/&gt;&lt;wsp:rsid wsp:val=&quot;005A68A7&quot;/&gt;&lt;wsp:rsid wsp:val=&quot;005A79FF&quot;/&gt;&lt;wsp:rsid wsp:val=&quot;005B290B&quot;/&gt;&lt;wsp:rsid wsp:val=&quot;005B39C2&quot;/&gt;&lt;wsp:rsid wsp:val=&quot;005B46E8&quot;/&gt;&lt;wsp:rsid wsp:val=&quot;005B6911&quot;/&gt;&lt;wsp:rsid wsp:val=&quot;005D36AB&quot;/&gt;&lt;wsp:rsid wsp:val=&quot;00600A69&quot;/&gt;&lt;wsp:rsid wsp:val=&quot;006018C8&quot;/&gt;&lt;wsp:rsid wsp:val=&quot;00606BB5&quot;/&gt;&lt;wsp:rsid wsp:val=&quot;00611884&quot;/&gt;&lt;wsp:rsid wsp:val=&quot;00612BFD&quot;/&gt;&lt;wsp:rsid wsp:val=&quot;00617CC3&quot;/&gt;&lt;wsp:rsid wsp:val=&quot;00621597&quot;/&gt;&lt;wsp:rsid wsp:val=&quot;00622128&quot;/&gt;&lt;wsp:rsid wsp:val=&quot;0062450D&quot;/&gt;&lt;wsp:rsid wsp:val=&quot;0062682F&quot;/&gt;&lt;wsp:rsid wsp:val=&quot;00634282&quot;/&gt;&lt;wsp:rsid wsp:val=&quot;006377A6&quot;/&gt;&lt;wsp:rsid wsp:val=&quot;00637A3D&quot;/&gt;&lt;wsp:rsid wsp:val=&quot;006411EF&quot;/&gt;&lt;wsp:rsid wsp:val=&quot;00646953&quot;/&gt;&lt;wsp:rsid wsp:val=&quot;0065088D&quot;/&gt;&lt;wsp:rsid wsp:val=&quot;00650BC4&quot;/&gt;&lt;wsp:rsid wsp:val=&quot;00652B81&quot;/&gt;&lt;wsp:rsid wsp:val=&quot;0065412B&quot;/&gt;&lt;wsp:rsid wsp:val=&quot;006549A1&quot;/&gt;&lt;wsp:rsid wsp:val=&quot;00657575&quot;/&gt;&lt;wsp:rsid wsp:val=&quot;00663759&quot;/&gt;&lt;wsp:rsid wsp:val=&quot;00663DC3&quot;/&gt;&lt;wsp:rsid wsp:val=&quot;00664684&quot;/&gt;&lt;wsp:rsid wsp:val=&quot;00664D05&quot;/&gt;&lt;wsp:rsid wsp:val=&quot;0066686A&quot;/&gt;&lt;wsp:rsid wsp:val=&quot;006713F4&quot;/&gt;&lt;wsp:rsid wsp:val=&quot;006748B8&quot;/&gt;&lt;wsp:rsid wsp:val=&quot;00675989&quot;/&gt;&lt;wsp:rsid wsp:val=&quot;006775C3&quot;/&gt;&lt;wsp:rsid wsp:val=&quot;00683D2D&quot;/&gt;&lt;wsp:rsid wsp:val=&quot;0069002B&quot;/&gt;&lt;wsp:rsid wsp:val=&quot;0069290A&quot;/&gt;&lt;wsp:rsid wsp:val=&quot;0069569A&quot;/&gt;&lt;wsp:rsid wsp:val=&quot;00695A77&quot;/&gt;&lt;wsp:rsid wsp:val=&quot;0069775A&quot;/&gt;&lt;wsp:rsid wsp:val=&quot;00697813&quot;/&gt;&lt;wsp:rsid wsp:val=&quot;006A1794&quot;/&gt;&lt;wsp:rsid wsp:val=&quot;006A2C57&quot;/&gt;&lt;wsp:rsid wsp:val=&quot;006A3EE8&quot;/&gt;&lt;wsp:rsid wsp:val=&quot;006A6B4D&quot;/&gt;&lt;wsp:rsid wsp:val=&quot;006A72BF&quot;/&gt;&lt;wsp:rsid wsp:val=&quot;006A7E6E&quot;/&gt;&lt;wsp:rsid wsp:val=&quot;006B03F2&quot;/&gt;&lt;wsp:rsid wsp:val=&quot;006B072B&quot;/&gt;&lt;wsp:rsid wsp:val=&quot;006B37DC&quot;/&gt;&lt;wsp:rsid wsp:val=&quot;006B4C93&quot;/&gt;&lt;wsp:rsid wsp:val=&quot;006B4F68&quot;/&gt;&lt;wsp:rsid wsp:val=&quot;006C0364&quot;/&gt;&lt;wsp:rsid wsp:val=&quot;006C0592&quot;/&gt;&lt;wsp:rsid wsp:val=&quot;006C0C01&quot;/&gt;&lt;wsp:rsid wsp:val=&quot;006C272E&quot;/&gt;&lt;wsp:rsid wsp:val=&quot;006C4A44&quot;/&gt;&lt;wsp:rsid wsp:val=&quot;006C5479&quot;/&gt;&lt;wsp:rsid wsp:val=&quot;006C6CFC&quot;/&gt;&lt;wsp:rsid wsp:val=&quot;006D13B5&quot;/&gt;&lt;wsp:rsid wsp:val=&quot;006D652B&quot;/&gt;&lt;wsp:rsid wsp:val=&quot;006D7065&quot;/&gt;&lt;wsp:rsid wsp:val=&quot;006E12FF&quot;/&gt;&lt;wsp:rsid wsp:val=&quot;006E607E&quot;/&gt;&lt;wsp:rsid wsp:val=&quot;006E7CFB&quot;/&gt;&lt;wsp:rsid wsp:val=&quot;006F13BC&quot;/&gt;&lt;wsp:rsid wsp:val=&quot;006F696B&quot;/&gt;&lt;wsp:rsid wsp:val=&quot;006F6A6D&quot;/&gt;&lt;wsp:rsid wsp:val=&quot;00706C5D&quot;/&gt;&lt;wsp:rsid wsp:val=&quot;00712FD8&quot;/&gt;&lt;wsp:rsid wsp:val=&quot;007170D9&quot;/&gt;&lt;wsp:rsid wsp:val=&quot;00724B98&quot;/&gt;&lt;wsp:rsid wsp:val=&quot;00732922&quot;/&gt;&lt;wsp:rsid wsp:val=&quot;007366B4&quot;/&gt;&lt;wsp:rsid wsp:val=&quot;007377E8&quot;/&gt;&lt;wsp:rsid wsp:val=&quot;00741262&quot;/&gt;&lt;wsp:rsid wsp:val=&quot;00745276&quot;/&gt;&lt;wsp:rsid wsp:val=&quot;007477E4&quot;/&gt;&lt;wsp:rsid wsp:val=&quot;0075162E&quot;/&gt;&lt;wsp:rsid wsp:val=&quot;00754034&quot;/&gt;&lt;wsp:rsid wsp:val=&quot;00755BFE&quot;/&gt;&lt;wsp:rsid wsp:val=&quot;00756556&quot;/&gt;&lt;wsp:rsid wsp:val=&quot;0076046E&quot;/&gt;&lt;wsp:rsid wsp:val=&quot;007606B0&quot;/&gt;&lt;wsp:rsid wsp:val=&quot;007618C4&quot;/&gt;&lt;wsp:rsid wsp:val=&quot;00766218&quot;/&gt;&lt;wsp:rsid wsp:val=&quot;00767980&quot;/&gt;&lt;wsp:rsid wsp:val=&quot;00770330&quot;/&gt;&lt;wsp:rsid wsp:val=&quot;00770B19&quot;/&gt;&lt;wsp:rsid wsp:val=&quot;0077463F&quot;/&gt;&lt;wsp:rsid wsp:val=&quot;007752A8&quot;/&gt;&lt;wsp:rsid wsp:val=&quot;00782319&quot;/&gt;&lt;wsp:rsid wsp:val=&quot;0078302B&quot;/&gt;&lt;wsp:rsid wsp:val=&quot;007836EA&quot;/&gt;&lt;wsp:rsid wsp:val=&quot;00784CDA&quot;/&gt;&lt;wsp:rsid wsp:val=&quot;007906C4&quot;/&gt;&lt;wsp:rsid wsp:val=&quot;00791070&quot;/&gt;&lt;wsp:rsid wsp:val=&quot;00791A03&quot;/&gt;&lt;wsp:rsid wsp:val=&quot;00792084&quot;/&gt;&lt;wsp:rsid wsp:val=&quot;00793C9E&quot;/&gt;&lt;wsp:rsid wsp:val=&quot;007940EA&quot;/&gt;&lt;wsp:rsid wsp:val=&quot;00795A79&quot;/&gt;&lt;wsp:rsid wsp:val=&quot;007967E8&quot;/&gt;&lt;wsp:rsid wsp:val=&quot;0079760B&quot;/&gt;&lt;wsp:rsid wsp:val=&quot;007A1888&quot;/&gt;&lt;wsp:rsid wsp:val=&quot;007A2170&quot;/&gt;&lt;wsp:rsid wsp:val=&quot;007A22BF&quot;/&gt;&lt;wsp:rsid wsp:val=&quot;007A3323&quot;/&gt;&lt;wsp:rsid wsp:val=&quot;007B3B45&quot;/&gt;&lt;wsp:rsid wsp:val=&quot;007B5F7F&quot;/&gt;&lt;wsp:rsid wsp:val=&quot;007B72B8&quot;/&gt;&lt;wsp:rsid wsp:val=&quot;007B7A58&quot;/&gt;&lt;wsp:rsid wsp:val=&quot;007C21B5&quot;/&gt;&lt;wsp:rsid wsp:val=&quot;007C330C&quot;/&gt;&lt;wsp:rsid wsp:val=&quot;007C3D00&quot;/&gt;&lt;wsp:rsid wsp:val=&quot;007C7B40&quot;/&gt;&lt;wsp:rsid wsp:val=&quot;007E1F10&quot;/&gt;&lt;wsp:rsid wsp:val=&quot;007E4BD2&quot;/&gt;&lt;wsp:rsid wsp:val=&quot;007F0605&quot;/&gt;&lt;wsp:rsid wsp:val=&quot;007F6FED&quot;/&gt;&lt;wsp:rsid wsp:val=&quot;008005D2&quot;/&gt;&lt;wsp:rsid wsp:val=&quot;00801393&quot;/&gt;&lt;wsp:rsid wsp:val=&quot;00802738&quot;/&gt;&lt;wsp:rsid wsp:val=&quot;00802F88&quot;/&gt;&lt;wsp:rsid wsp:val=&quot;0080469E&quot;/&gt;&lt;wsp:rsid wsp:val=&quot;00807C1B&quot;/&gt;&lt;wsp:rsid wsp:val=&quot;0081293E&quot;/&gt;&lt;wsp:rsid wsp:val=&quot;00815465&quot;/&gt;&lt;wsp:rsid wsp:val=&quot;00817E9A&quot;/&gt;&lt;wsp:rsid wsp:val=&quot;00825E48&quot;/&gt;&lt;wsp:rsid wsp:val=&quot;0082602E&quot;/&gt;&lt;wsp:rsid wsp:val=&quot;0082624F&quot;/&gt;&lt;wsp:rsid wsp:val=&quot;00827546&quot;/&gt;&lt;wsp:rsid wsp:val=&quot;0082794A&quot;/&gt;&lt;wsp:rsid wsp:val=&quot;008279E5&quot;/&gt;&lt;wsp:rsid wsp:val=&quot;008306BD&quot;/&gt;&lt;wsp:rsid wsp:val=&quot;00831A80&quot;/&gt;&lt;wsp:rsid wsp:val=&quot;00833743&quot;/&gt;&lt;wsp:rsid wsp:val=&quot;00833B02&quot;/&gt;&lt;wsp:rsid wsp:val=&quot;008340A4&quot;/&gt;&lt;wsp:rsid wsp:val=&quot;00834CAA&quot;/&gt;&lt;wsp:rsid wsp:val=&quot;00835160&quot;/&gt;&lt;wsp:rsid wsp:val=&quot;008424AA&quot;/&gt;&lt;wsp:rsid wsp:val=&quot;008428E7&quot;/&gt;&lt;wsp:rsid wsp:val=&quot;008477FE&quot;/&gt;&lt;wsp:rsid wsp:val=&quot;00861538&quot;/&gt;&lt;wsp:rsid wsp:val=&quot;008617D8&quot;/&gt;&lt;wsp:rsid wsp:val=&quot;0086367C&quot;/&gt;&lt;wsp:rsid wsp:val=&quot;008650BC&quot;/&gt;&lt;wsp:rsid wsp:val=&quot;0087135F&quot;/&gt;&lt;wsp:rsid wsp:val=&quot;00872D94&quot;/&gt;&lt;wsp:rsid wsp:val=&quot;00877885&quot;/&gt;&lt;wsp:rsid wsp:val=&quot;00877AA2&quot;/&gt;&lt;wsp:rsid wsp:val=&quot;00880364&quot;/&gt;&lt;wsp:rsid wsp:val=&quot;00881B29&quot;/&gt;&lt;wsp:rsid wsp:val=&quot;00883181&quot;/&gt;&lt;wsp:rsid wsp:val=&quot;00883862&quot;/&gt;&lt;wsp:rsid wsp:val=&quot;00891592&quot;/&gt;&lt;wsp:rsid wsp:val=&quot;00891E9E&quot;/&gt;&lt;wsp:rsid wsp:val=&quot;00892A1F&quot;/&gt;&lt;wsp:rsid wsp:val=&quot;008A2F68&quot;/&gt;&lt;wsp:rsid wsp:val=&quot;008A7E1D&quot;/&gt;&lt;wsp:rsid wsp:val=&quot;008B4FA6&quot;/&gt;&lt;wsp:rsid wsp:val=&quot;008B5282&quot;/&gt;&lt;wsp:rsid wsp:val=&quot;008B7C17&quot;/&gt;&lt;wsp:rsid wsp:val=&quot;008C2D01&quot;/&gt;&lt;wsp:rsid wsp:val=&quot;008C40E6&quot;/&gt;&lt;wsp:rsid wsp:val=&quot;008C517B&quot;/&gt;&lt;wsp:rsid wsp:val=&quot;008D0F7A&quot;/&gt;&lt;wsp:rsid wsp:val=&quot;008D68E4&quot;/&gt;&lt;wsp:rsid wsp:val=&quot;008E0506&quot;/&gt;&lt;wsp:rsid wsp:val=&quot;008E0CFF&quot;/&gt;&lt;wsp:rsid wsp:val=&quot;008E2B1E&quot;/&gt;&lt;wsp:rsid wsp:val=&quot;008E3BC0&quot;/&gt;&lt;wsp:rsid wsp:val=&quot;008E5D6B&quot;/&gt;&lt;wsp:rsid wsp:val=&quot;008E76F0&quot;/&gt;&lt;wsp:rsid wsp:val=&quot;008F10BB&quot;/&gt;&lt;wsp:rsid wsp:val=&quot;008F12B0&quot;/&gt;&lt;wsp:rsid wsp:val=&quot;008F15FE&quot;/&gt;&lt;wsp:rsid wsp:val=&quot;008F2022&quot;/&gt;&lt;wsp:rsid wsp:val=&quot;008F2D29&quot;/&gt;&lt;wsp:rsid wsp:val=&quot;008F5187&quot;/&gt;&lt;wsp:rsid wsp:val=&quot;008F60D8&quot;/&gt;&lt;wsp:rsid wsp:val=&quot;00902727&quot;/&gt;&lt;wsp:rsid wsp:val=&quot;0090312B&quot;/&gt;&lt;wsp:rsid wsp:val=&quot;0090465E&quot;/&gt;&lt;wsp:rsid wsp:val=&quot;00905151&quot;/&gt;&lt;wsp:rsid wsp:val=&quot;00906144&quot;/&gt;&lt;wsp:rsid wsp:val=&quot;009074C0&quot;/&gt;&lt;wsp:rsid wsp:val=&quot;00907561&quot;/&gt;&lt;wsp:rsid wsp:val=&quot;00911FE8&quot;/&gt;&lt;wsp:rsid wsp:val=&quot;0091736D&quot;/&gt;&lt;wsp:rsid wsp:val=&quot;00923E09&quot;/&gt;&lt;wsp:rsid wsp:val=&quot;0093037A&quot;/&gt;&lt;wsp:rsid wsp:val=&quot;009310A3&quot;/&gt;&lt;wsp:rsid wsp:val=&quot;00931D2D&quot;/&gt;&lt;wsp:rsid wsp:val=&quot;00933BF2&quot;/&gt;&lt;wsp:rsid wsp:val=&quot;009346EB&quot;/&gt;&lt;wsp:rsid wsp:val=&quot;0093510D&quot;/&gt;&lt;wsp:rsid wsp:val=&quot;00940470&quot;/&gt;&lt;wsp:rsid wsp:val=&quot;0094154D&quot;/&gt;&lt;wsp:rsid wsp:val=&quot;00941815&quot;/&gt;&lt;wsp:rsid wsp:val=&quot;00942E72&quot;/&gt;&lt;wsp:rsid wsp:val=&quot;00946AEA&quot;/&gt;&lt;wsp:rsid wsp:val=&quot;0095155F&quot;/&gt;&lt;wsp:rsid wsp:val=&quot;00951B1C&quot;/&gt;&lt;wsp:rsid wsp:val=&quot;00954429&quot;/&gt;&lt;wsp:rsid wsp:val=&quot;00955B75&quot;/&gt;&lt;wsp:rsid wsp:val=&quot;009563CE&quot;/&gt;&lt;wsp:rsid wsp:val=&quot;00957118&quot;/&gt;&lt;wsp:rsid wsp:val=&quot;00957895&quot;/&gt;&lt;wsp:rsid wsp:val=&quot;00962DDD&quot;/&gt;&lt;wsp:rsid wsp:val=&quot;00976328&quot;/&gt;&lt;wsp:rsid wsp:val=&quot;0097680D&quot;/&gt;&lt;wsp:rsid wsp:val=&quot;00982438&quot;/&gt;&lt;wsp:rsid wsp:val=&quot;00982A9B&quot;/&gt;&lt;wsp:rsid wsp:val=&quot;0098404C&quot;/&gt;&lt;wsp:rsid wsp:val=&quot;00985283&quot;/&gt;&lt;wsp:rsid wsp:val=&quot;00987A66&quot;/&gt;&lt;wsp:rsid wsp:val=&quot;00995992&quot;/&gt;&lt;wsp:rsid wsp:val=&quot;009A03E5&quot;/&gt;&lt;wsp:rsid wsp:val=&quot;009A0F3B&quot;/&gt;&lt;wsp:rsid wsp:val=&quot;009A1BB4&quot;/&gt;&lt;wsp:rsid wsp:val=&quot;009A2628&quot;/&gt;&lt;wsp:rsid wsp:val=&quot;009A3200&quot;/&gt;&lt;wsp:rsid wsp:val=&quot;009A78A6&quot;/&gt;&lt;wsp:rsid wsp:val=&quot;009B046D&quot;/&gt;&lt;wsp:rsid wsp:val=&quot;009B0792&quot;/&gt;&lt;wsp:rsid wsp:val=&quot;009B0897&quot;/&gt;&lt;wsp:rsid wsp:val=&quot;009B379E&quot;/&gt;&lt;wsp:rsid wsp:val=&quot;009B66B6&quot;/&gt;&lt;wsp:rsid wsp:val=&quot;009B6A62&quot;/&gt;&lt;wsp:rsid wsp:val=&quot;009B7BD9&quot;/&gt;&lt;wsp:rsid wsp:val=&quot;009C0563&quot;/&gt;&lt;wsp:rsid wsp:val=&quot;009C425C&quot;/&gt;&lt;wsp:rsid wsp:val=&quot;009C6D2D&quot;/&gt;&lt;wsp:rsid wsp:val=&quot;009C7DD5&quot;/&gt;&lt;wsp:rsid wsp:val=&quot;009D2B98&quot;/&gt;&lt;wsp:rsid wsp:val=&quot;009D7A4D&quot;/&gt;&lt;wsp:rsid wsp:val=&quot;009E227D&quot;/&gt;&lt;wsp:rsid wsp:val=&quot;009E3774&quot;/&gt;&lt;wsp:rsid wsp:val=&quot;009E5019&quot;/&gt;&lt;wsp:rsid wsp:val=&quot;009E56D8&quot;/&gt;&lt;wsp:rsid wsp:val=&quot;009F103F&quot;/&gt;&lt;wsp:rsid wsp:val=&quot;009F54C0&quot;/&gt;&lt;wsp:rsid wsp:val=&quot;009F7B25&quot;/&gt;&lt;wsp:rsid wsp:val=&quot;00A04F1B&quot;/&gt;&lt;wsp:rsid wsp:val=&quot;00A0501B&quot;/&gt;&lt;wsp:rsid wsp:val=&quot;00A1053C&quot;/&gt;&lt;wsp:rsid wsp:val=&quot;00A14947&quot;/&gt;&lt;wsp:rsid wsp:val=&quot;00A22D5E&quot;/&gt;&lt;wsp:rsid wsp:val=&quot;00A32A83&quot;/&gt;&lt;wsp:rsid wsp:val=&quot;00A34813&quot;/&gt;&lt;wsp:rsid wsp:val=&quot;00A359FC&quot;/&gt;&lt;wsp:rsid wsp:val=&quot;00A368DB&quot;/&gt;&lt;wsp:rsid wsp:val=&quot;00A3720B&quot;/&gt;&lt;wsp:rsid wsp:val=&quot;00A40483&quot;/&gt;&lt;wsp:rsid wsp:val=&quot;00A41B44&quot;/&gt;&lt;wsp:rsid wsp:val=&quot;00A423AA&quot;/&gt;&lt;wsp:rsid wsp:val=&quot;00A46AF4&quot;/&gt;&lt;wsp:rsid wsp:val=&quot;00A50E5C&quot;/&gt;&lt;wsp:rsid wsp:val=&quot;00A53EC6&quot;/&gt;&lt;wsp:rsid wsp:val=&quot;00A543A3&quot;/&gt;&lt;wsp:rsid wsp:val=&quot;00A55C0F&quot;/&gt;&lt;wsp:rsid wsp:val=&quot;00A62E43&quot;/&gt;&lt;wsp:rsid wsp:val=&quot;00A6477E&quot;/&gt;&lt;wsp:rsid wsp:val=&quot;00A651F9&quot;/&gt;&lt;wsp:rsid wsp:val=&quot;00A707D1&quot;/&gt;&lt;wsp:rsid wsp:val=&quot;00A75926&quot;/&gt;&lt;wsp:rsid wsp:val=&quot;00A760B1&quot;/&gt;&lt;wsp:rsid wsp:val=&quot;00A80B36&quot;/&gt;&lt;wsp:rsid wsp:val=&quot;00A80E94&quot;/&gt;&lt;wsp:rsid wsp:val=&quot;00A8713F&quot;/&gt;&lt;wsp:rsid wsp:val=&quot;00A90BA1&quot;/&gt;&lt;wsp:rsid wsp:val=&quot;00A9337D&quot;/&gt;&lt;wsp:rsid wsp:val=&quot;00A96027&quot;/&gt;&lt;wsp:rsid wsp:val=&quot;00A9666F&quot;/&gt;&lt;wsp:rsid wsp:val=&quot;00A97A9A&quot;/&gt;&lt;wsp:rsid wsp:val=&quot;00AA0671&quot;/&gt;&lt;wsp:rsid wsp:val=&quot;00AA2531&quot;/&gt;&lt;wsp:rsid wsp:val=&quot;00AA4704&quot;/&gt;&lt;wsp:rsid wsp:val=&quot;00AA66C3&quot;/&gt;&lt;wsp:rsid wsp:val=&quot;00AB1E09&quot;/&gt;&lt;wsp:rsid wsp:val=&quot;00AB5330&quot;/&gt;&lt;wsp:rsid wsp:val=&quot;00AB7747&quot;/&gt;&lt;wsp:rsid wsp:val=&quot;00AC14CE&quot;/&gt;&lt;wsp:rsid wsp:val=&quot;00AC1E58&quot;/&gt;&lt;wsp:rsid wsp:val=&quot;00AC2A56&quot;/&gt;&lt;wsp:rsid wsp:val=&quot;00AC344E&quot;/&gt;&lt;wsp:rsid wsp:val=&quot;00AC7081&quot;/&gt;&lt;wsp:rsid wsp:val=&quot;00AD055E&quot;/&gt;&lt;wsp:rsid wsp:val=&quot;00AD2872&quot;/&gt;&lt;wsp:rsid wsp:val=&quot;00AD47A7&quot;/&gt;&lt;wsp:rsid wsp:val=&quot;00AD625A&quot;/&gt;&lt;wsp:rsid wsp:val=&quot;00AE2FBF&quot;/&gt;&lt;wsp:rsid wsp:val=&quot;00AE32A7&quot;/&gt;&lt;wsp:rsid wsp:val=&quot;00AE64DE&quot;/&gt;&lt;wsp:rsid wsp:val=&quot;00AE7606&quot;/&gt;&lt;wsp:rsid wsp:val=&quot;00AF0CBF&quot;/&gt;&lt;wsp:rsid wsp:val=&quot;00AF257F&quot;/&gt;&lt;wsp:rsid wsp:val=&quot;00AF33CF&quot;/&gt;&lt;wsp:rsid wsp:val=&quot;00AF4D50&quot;/&gt;&lt;wsp:rsid wsp:val=&quot;00AF6179&quot;/&gt;&lt;wsp:rsid wsp:val=&quot;00B1295A&quot;/&gt;&lt;wsp:rsid wsp:val=&quot;00B13C49&quot;/&gt;&lt;wsp:rsid wsp:val=&quot;00B13DE3&quot;/&gt;&lt;wsp:rsid wsp:val=&quot;00B20A45&quot;/&gt;&lt;wsp:rsid wsp:val=&quot;00B22736&quot;/&gt;&lt;wsp:rsid wsp:val=&quot;00B22C5C&quot;/&gt;&lt;wsp:rsid wsp:val=&quot;00B24F30&quot;/&gt;&lt;wsp:rsid wsp:val=&quot;00B272A8&quot;/&gt;&lt;wsp:rsid wsp:val=&quot;00B27E7F&quot;/&gt;&lt;wsp:rsid wsp:val=&quot;00B31037&quot;/&gt;&lt;wsp:rsid wsp:val=&quot;00B31ABF&quot;/&gt;&lt;wsp:rsid wsp:val=&quot;00B31C2A&quot;/&gt;&lt;wsp:rsid wsp:val=&quot;00B33BE3&quot;/&gt;&lt;wsp:rsid wsp:val=&quot;00B36E64&quot;/&gt;&lt;wsp:rsid wsp:val=&quot;00B4215F&quot;/&gt;&lt;wsp:rsid wsp:val=&quot;00B43435&quot;/&gt;&lt;wsp:rsid wsp:val=&quot;00B511ED&quot;/&gt;&lt;wsp:rsid wsp:val=&quot;00B51F4B&quot;/&gt;&lt;wsp:rsid wsp:val=&quot;00B52694&quot;/&gt;&lt;wsp:rsid wsp:val=&quot;00B53B5D&quot;/&gt;&lt;wsp:rsid wsp:val=&quot;00B56775&quot;/&gt;&lt;wsp:rsid wsp:val=&quot;00B57FE2&quot;/&gt;&lt;wsp:rsid wsp:val=&quot;00B6055E&quot;/&gt;&lt;wsp:rsid wsp:val=&quot;00B6317D&quot;/&gt;&lt;wsp:rsid wsp:val=&quot;00B63669&quot;/&gt;&lt;wsp:rsid wsp:val=&quot;00B64424&quot;/&gt;&lt;wsp:rsid wsp:val=&quot;00B67990&quot;/&gt;&lt;wsp:rsid wsp:val=&quot;00B7723F&quot;/&gt;&lt;wsp:rsid wsp:val=&quot;00B80534&quot;/&gt;&lt;wsp:rsid wsp:val=&quot;00B80546&quot;/&gt;&lt;wsp:rsid wsp:val=&quot;00B8433C&quot;/&gt;&lt;wsp:rsid wsp:val=&quot;00B87491&quot;/&gt;&lt;wsp:rsid wsp:val=&quot;00B918F9&quot;/&gt;&lt;wsp:rsid wsp:val=&quot;00B92EA1&quot;/&gt;&lt;wsp:rsid wsp:val=&quot;00B94296&quot;/&gt;&lt;wsp:rsid wsp:val=&quot;00BA273A&quot;/&gt;&lt;wsp:rsid wsp:val=&quot;00BA29E9&quot;/&gt;&lt;wsp:rsid wsp:val=&quot;00BA7142&quot;/&gt;&lt;wsp:rsid wsp:val=&quot;00BB237C&quot;/&gt;&lt;wsp:rsid wsp:val=&quot;00BB41A3&quot;/&gt;&lt;wsp:rsid wsp:val=&quot;00BB44F2&quot;/&gt;&lt;wsp:rsid wsp:val=&quot;00BC0A0A&quot;/&gt;&lt;wsp:rsid wsp:val=&quot;00BC0E92&quot;/&gt;&lt;wsp:rsid wsp:val=&quot;00BC32DC&quot;/&gt;&lt;wsp:rsid wsp:val=&quot;00BC35B6&quot;/&gt;&lt;wsp:rsid wsp:val=&quot;00BD1B51&quot;/&gt;&lt;wsp:rsid wsp:val=&quot;00BD4596&quot;/&gt;&lt;wsp:rsid wsp:val=&quot;00BE1405&quot;/&gt;&lt;wsp:rsid wsp:val=&quot;00BE23DE&quot;/&gt;&lt;wsp:rsid wsp:val=&quot;00BE312D&quot;/&gt;&lt;wsp:rsid wsp:val=&quot;00BE7AFE&quot;/&gt;&lt;wsp:rsid wsp:val=&quot;00BE7E1B&quot;/&gt;&lt;wsp:rsid wsp:val=&quot;00BF097C&quot;/&gt;&lt;wsp:rsid wsp:val=&quot;00BF1C20&quot;/&gt;&lt;wsp:rsid wsp:val=&quot;00BF21F7&quot;/&gt;&lt;wsp:rsid wsp:val=&quot;00BF2D2C&quot;/&gt;&lt;wsp:rsid wsp:val=&quot;00C10578&quot;/&gt;&lt;wsp:rsid wsp:val=&quot;00C1061A&quot;/&gt;&lt;wsp:rsid wsp:val=&quot;00C135BC&quot;/&gt;&lt;wsp:rsid wsp:val=&quot;00C15C95&quot;/&gt;&lt;wsp:rsid wsp:val=&quot;00C175E7&quot;/&gt;&lt;wsp:rsid wsp:val=&quot;00C22BEE&quot;/&gt;&lt;wsp:rsid wsp:val=&quot;00C234CE&quot;/&gt;&lt;wsp:rsid wsp:val=&quot;00C2596A&quot;/&gt;&lt;wsp:rsid wsp:val=&quot;00C26866&quot;/&gt;&lt;wsp:rsid wsp:val=&quot;00C27537&quot;/&gt;&lt;wsp:rsid wsp:val=&quot;00C31C31&quot;/&gt;&lt;wsp:rsid wsp:val=&quot;00C32398&quot;/&gt;&lt;wsp:rsid wsp:val=&quot;00C328FE&quot;/&gt;&lt;wsp:rsid wsp:val=&quot;00C33507&quot;/&gt;&lt;wsp:rsid wsp:val=&quot;00C408C1&quot;/&gt;&lt;wsp:rsid wsp:val=&quot;00C41D3D&quot;/&gt;&lt;wsp:rsid wsp:val=&quot;00C4409D&quot;/&gt;&lt;wsp:rsid wsp:val=&quot;00C44E72&quot;/&gt;&lt;wsp:rsid wsp:val=&quot;00C45A06&quot;/&gt;&lt;wsp:rsid wsp:val=&quot;00C47E5B&quot;/&gt;&lt;wsp:rsid wsp:val=&quot;00C61E4B&quot;/&gt;&lt;wsp:rsid wsp:val=&quot;00C639CA&quot;/&gt;&lt;wsp:rsid wsp:val=&quot;00C63B46&quot;/&gt;&lt;wsp:rsid wsp:val=&quot;00C64BFF&quot;/&gt;&lt;wsp:rsid wsp:val=&quot;00C6506C&quot;/&gt;&lt;wsp:rsid wsp:val=&quot;00C65333&quot;/&gt;&lt;wsp:rsid wsp:val=&quot;00C70448&quot;/&gt;&lt;wsp:rsid wsp:val=&quot;00C704E9&quot;/&gt;&lt;wsp:rsid wsp:val=&quot;00C74F21&quot;/&gt;&lt;wsp:rsid wsp:val=&quot;00C754D4&quot;/&gt;&lt;wsp:rsid wsp:val=&quot;00C763C9&quot;/&gt;&lt;wsp:rsid wsp:val=&quot;00C769E6&quot;/&gt;&lt;wsp:rsid wsp:val=&quot;00C80057&quot;/&gt;&lt;wsp:rsid wsp:val=&quot;00C82232&quot;/&gt;&lt;wsp:rsid wsp:val=&quot;00C82913&quot;/&gt;&lt;wsp:rsid wsp:val=&quot;00C86203&quot;/&gt;&lt;wsp:rsid wsp:val=&quot;00C86713&quot;/&gt;&lt;wsp:rsid wsp:val=&quot;00C925C0&quot;/&gt;&lt;wsp:rsid wsp:val=&quot;00C934E1&quot;/&gt;&lt;wsp:rsid wsp:val=&quot;00C972B1&quot;/&gt;&lt;wsp:rsid wsp:val=&quot;00CA29B0&quot;/&gt;&lt;wsp:rsid wsp:val=&quot;00CA2CCE&quot;/&gt;&lt;wsp:rsid wsp:val=&quot;00CA43FD&quot;/&gt;&lt;wsp:rsid wsp:val=&quot;00CA7DDE&quot;/&gt;&lt;wsp:rsid wsp:val=&quot;00CA7EF8&quot;/&gt;&lt;wsp:rsid wsp:val=&quot;00CB03E2&quot;/&gt;&lt;wsp:rsid wsp:val=&quot;00CC489B&quot;/&gt;&lt;wsp:rsid wsp:val=&quot;00CC66AE&quot;/&gt;&lt;wsp:rsid wsp:val=&quot;00CD2BCD&quot;/&gt;&lt;wsp:rsid wsp:val=&quot;00CD3A4C&quot;/&gt;&lt;wsp:rsid wsp:val=&quot;00CD4045&quot;/&gt;&lt;wsp:rsid wsp:val=&quot;00CD4D87&quot;/&gt;&lt;wsp:rsid wsp:val=&quot;00CE10E9&quot;/&gt;&lt;wsp:rsid wsp:val=&quot;00CE2910&quot;/&gt;&lt;wsp:rsid wsp:val=&quot;00CE2AC6&quot;/&gt;&lt;wsp:rsid wsp:val=&quot;00CE3BB1&quot;/&gt;&lt;wsp:rsid wsp:val=&quot;00CE3EA2&quot;/&gt;&lt;wsp:rsid wsp:val=&quot;00CE5393&quot;/&gt;&lt;wsp:rsid wsp:val=&quot;00CE7D84&quot;/&gt;&lt;wsp:rsid wsp:val=&quot;00CF040C&quot;/&gt;&lt;wsp:rsid wsp:val=&quot;00CF2EF3&quot;/&gt;&lt;wsp:rsid wsp:val=&quot;00CF314B&quot;/&gt;&lt;wsp:rsid wsp:val=&quot;00CF36BE&quot;/&gt;&lt;wsp:rsid wsp:val=&quot;00CF3709&quot;/&gt;&lt;wsp:rsid wsp:val=&quot;00CF5E3D&quot;/&gt;&lt;wsp:rsid wsp:val=&quot;00CF6000&quot;/&gt;&lt;wsp:rsid wsp:val=&quot;00D003F3&quot;/&gt;&lt;wsp:rsid wsp:val=&quot;00D0364F&quot;/&gt;&lt;wsp:rsid wsp:val=&quot;00D03CF0&quot;/&gt;&lt;wsp:rsid wsp:val=&quot;00D0588C&quot;/&gt;&lt;wsp:rsid wsp:val=&quot;00D06834&quot;/&gt;&lt;wsp:rsid wsp:val=&quot;00D07B3E&quot;/&gt;&lt;wsp:rsid wsp:val=&quot;00D12094&quot;/&gt;&lt;wsp:rsid wsp:val=&quot;00D15CD3&quot;/&gt;&lt;wsp:rsid wsp:val=&quot;00D258BD&quot;/&gt;&lt;wsp:rsid wsp:val=&quot;00D308ED&quot;/&gt;&lt;wsp:rsid wsp:val=&quot;00D328E0&quot;/&gt;&lt;wsp:rsid wsp:val=&quot;00D36D86&quot;/&gt;&lt;wsp:rsid wsp:val=&quot;00D428AA&quot;/&gt;&lt;wsp:rsid wsp:val=&quot;00D438FB&quot;/&gt;&lt;wsp:rsid wsp:val=&quot;00D43A8C&quot;/&gt;&lt;wsp:rsid wsp:val=&quot;00D4506F&quot;/&gt;&lt;wsp:rsid wsp:val=&quot;00D47829&quot;/&gt;&lt;wsp:rsid wsp:val=&quot;00D50A34&quot;/&gt;&lt;wsp:rsid wsp:val=&quot;00D52015&quot;/&gt;&lt;wsp:rsid wsp:val=&quot;00D53EFA&quot;/&gt;&lt;wsp:rsid wsp:val=&quot;00D54DC0&quot;/&gt;&lt;wsp:rsid wsp:val=&quot;00D57C39&quot;/&gt;&lt;wsp:rsid wsp:val=&quot;00D623D9&quot;/&gt;&lt;wsp:rsid wsp:val=&quot;00D67E3E&quot;/&gt;&lt;wsp:rsid wsp:val=&quot;00D77609&quot;/&gt;&lt;wsp:rsid wsp:val=&quot;00D8116E&quot;/&gt;&lt;wsp:rsid wsp:val=&quot;00D84E5D&quot;/&gt;&lt;wsp:rsid wsp:val=&quot;00D94046&quot;/&gt;&lt;wsp:rsid wsp:val=&quot;00D94A7C&quot;/&gt;&lt;wsp:rsid wsp:val=&quot;00D95896&quot;/&gt;&lt;wsp:rsid wsp:val=&quot;00D9630A&quot;/&gt;&lt;wsp:rsid wsp:val=&quot;00DA0D62&quot;/&gt;&lt;wsp:rsid wsp:val=&quot;00DA28F5&quot;/&gt;&lt;wsp:rsid wsp:val=&quot;00DB28D3&quot;/&gt;&lt;wsp:rsid wsp:val=&quot;00DB2983&quot;/&gt;&lt;wsp:rsid wsp:val=&quot;00DB489D&quot;/&gt;&lt;wsp:rsid wsp:val=&quot;00DC06CE&quot;/&gt;&lt;wsp:rsid wsp:val=&quot;00DC1257&quot;/&gt;&lt;wsp:rsid wsp:val=&quot;00DC2D8B&quot;/&gt;&lt;wsp:rsid wsp:val=&quot;00DC367F&quot;/&gt;&lt;wsp:rsid wsp:val=&quot;00DC3DC0&quot;/&gt;&lt;wsp:rsid wsp:val=&quot;00DC4661&quot;/&gt;&lt;wsp:rsid wsp:val=&quot;00DC5B2B&quot;/&gt;&lt;wsp:rsid wsp:val=&quot;00DC5FAC&quot;/&gt;&lt;wsp:rsid wsp:val=&quot;00DD163A&quot;/&gt;&lt;wsp:rsid wsp:val=&quot;00DD1F2A&quot;/&gt;&lt;wsp:rsid wsp:val=&quot;00DD318D&quot;/&gt;&lt;wsp:rsid wsp:val=&quot;00DD6C43&quot;/&gt;&lt;wsp:rsid wsp:val=&quot;00DE1BE8&quot;/&gt;&lt;wsp:rsid wsp:val=&quot;00DE3458&quot;/&gt;&lt;wsp:rsid wsp:val=&quot;00DE4BBF&quot;/&gt;&lt;wsp:rsid wsp:val=&quot;00DE7604&quot;/&gt;&lt;wsp:rsid wsp:val=&quot;00DF2C09&quot;/&gt;&lt;wsp:rsid wsp:val=&quot;00DF2E12&quot;/&gt;&lt;wsp:rsid wsp:val=&quot;00DF514A&quot;/&gt;&lt;wsp:rsid wsp:val=&quot;00DF6690&quot;/&gt;&lt;wsp:rsid wsp:val=&quot;00DF6804&quot;/&gt;&lt;wsp:rsid wsp:val=&quot;00E02B88&quot;/&gt;&lt;wsp:rsid wsp:val=&quot;00E0358D&quot;/&gt;&lt;wsp:rsid wsp:val=&quot;00E04323&quot;/&gt;&lt;wsp:rsid wsp:val=&quot;00E070A2&quot;/&gt;&lt;wsp:rsid wsp:val=&quot;00E1068E&quot;/&gt;&lt;wsp:rsid wsp:val=&quot;00E23C39&quot;/&gt;&lt;wsp:rsid wsp:val=&quot;00E2441C&quot;/&gt;&lt;wsp:rsid wsp:val=&quot;00E24AD8&quot;/&gt;&lt;wsp:rsid wsp:val=&quot;00E2656A&quot;/&gt;&lt;wsp:rsid wsp:val=&quot;00E34FE3&quot;/&gt;&lt;wsp:rsid wsp:val=&quot;00E412D0&quot;/&gt;&lt;wsp:rsid wsp:val=&quot;00E4174A&quot;/&gt;&lt;wsp:rsid wsp:val=&quot;00E43310&quot;/&gt;&lt;wsp:rsid wsp:val=&quot;00E43B81&quot;/&gt;&lt;wsp:rsid wsp:val=&quot;00E44883&quot;/&gt;&lt;wsp:rsid wsp:val=&quot;00E52032&quot;/&gt;&lt;wsp:rsid wsp:val=&quot;00E56322&quot;/&gt;&lt;wsp:rsid wsp:val=&quot;00E56328&quot;/&gt;&lt;wsp:rsid wsp:val=&quot;00E60982&quot;/&gt;&lt;wsp:rsid wsp:val=&quot;00E62C62&quot;/&gt;&lt;wsp:rsid wsp:val=&quot;00E62F8D&quot;/&gt;&lt;wsp:rsid wsp:val=&quot;00E64141&quot;/&gt;&lt;wsp:rsid wsp:val=&quot;00E654C1&quot;/&gt;&lt;wsp:rsid wsp:val=&quot;00E65D97&quot;/&gt;&lt;wsp:rsid wsp:val=&quot;00E708AC&quot;/&gt;&lt;wsp:rsid wsp:val=&quot;00E72A5A&quot;/&gt;&lt;wsp:rsid wsp:val=&quot;00E72F5F&quot;/&gt;&lt;wsp:rsid wsp:val=&quot;00E73354&quot;/&gt;&lt;wsp:rsid wsp:val=&quot;00E829AF&quot;/&gt;&lt;wsp:rsid wsp:val=&quot;00E9242D&quot;/&gt;&lt;wsp:rsid wsp:val=&quot;00EB1450&quot;/&gt;&lt;wsp:rsid wsp:val=&quot;00EB3A77&quot;/&gt;&lt;wsp:rsid wsp:val=&quot;00EB5255&quot;/&gt;&lt;wsp:rsid wsp:val=&quot;00EB5C47&quot;/&gt;&lt;wsp:rsid wsp:val=&quot;00EC5675&quot;/&gt;&lt;wsp:rsid wsp:val=&quot;00EC5D42&quot;/&gt;&lt;wsp:rsid wsp:val=&quot;00ED0639&quot;/&gt;&lt;wsp:rsid wsp:val=&quot;00ED1959&quot;/&gt;&lt;wsp:rsid wsp:val=&quot;00EE34BF&quot;/&gt;&lt;wsp:rsid wsp:val=&quot;00EE55C7&quot;/&gt;&lt;wsp:rsid wsp:val=&quot;00EF0145&quot;/&gt;&lt;wsp:rsid wsp:val=&quot;00EF0281&quot;/&gt;&lt;wsp:rsid wsp:val=&quot;00EF2394&quot;/&gt;&lt;wsp:rsid wsp:val=&quot;00EF2586&quot;/&gt;&lt;wsp:rsid wsp:val=&quot;00EF436D&quot;/&gt;&lt;wsp:rsid wsp:val=&quot;00EF4755&quot;/&gt;&lt;wsp:rsid wsp:val=&quot;00EF7135&quot;/&gt;&lt;wsp:rsid wsp:val=&quot;00F027DB&quot;/&gt;&lt;wsp:rsid wsp:val=&quot;00F077FA&quot;/&gt;&lt;wsp:rsid wsp:val=&quot;00F105C4&quot;/&gt;&lt;wsp:rsid wsp:val=&quot;00F14A7A&quot;/&gt;&lt;wsp:rsid wsp:val=&quot;00F22985&quot;/&gt;&lt;wsp:rsid wsp:val=&quot;00F26CF8&quot;/&gt;&lt;wsp:rsid wsp:val=&quot;00F313F6&quot;/&gt;&lt;wsp:rsid wsp:val=&quot;00F3383E&quot;/&gt;&lt;wsp:rsid wsp:val=&quot;00F43EAC&quot;/&gt;&lt;wsp:rsid wsp:val=&quot;00F465A7&quot;/&gt;&lt;wsp:rsid wsp:val=&quot;00F50B7C&quot;/&gt;&lt;wsp:rsid wsp:val=&quot;00F53C06&quot;/&gt;&lt;wsp:rsid wsp:val=&quot;00F53EF2&quot;/&gt;&lt;wsp:rsid wsp:val=&quot;00F5409D&quot;/&gt;&lt;wsp:rsid wsp:val=&quot;00F54ED7&quot;/&gt;&lt;wsp:rsid wsp:val=&quot;00F550E6&quot;/&gt;&lt;wsp:rsid wsp:val=&quot;00F57E83&quot;/&gt;&lt;wsp:rsid wsp:val=&quot;00F622CB&quot;/&gt;&lt;wsp:rsid wsp:val=&quot;00F679B4&quot;/&gt;&lt;wsp:rsid wsp:val=&quot;00F74345&quot;/&gt;&lt;wsp:rsid wsp:val=&quot;00F8014E&quot;/&gt;&lt;wsp:rsid wsp:val=&quot;00F80A0A&quot;/&gt;&lt;wsp:rsid wsp:val=&quot;00F82B19&quot;/&gt;&lt;wsp:rsid wsp:val=&quot;00F84754&quot;/&gt;&lt;wsp:rsid wsp:val=&quot;00F9212D&quot;/&gt;&lt;wsp:rsid wsp:val=&quot;00F965DA&quot;/&gt;&lt;wsp:rsid wsp:val=&quot;00FA406A&quot;/&gt;&lt;wsp:rsid wsp:val=&quot;00FB503A&quot;/&gt;&lt;wsp:rsid wsp:val=&quot;00FB516C&quot;/&gt;&lt;wsp:rsid wsp:val=&quot;00FC4A11&quot;/&gt;&lt;wsp:rsid wsp:val=&quot;00FC53BD&quot;/&gt;&lt;wsp:rsid wsp:val=&quot;00FD0236&quot;/&gt;&lt;wsp:rsid wsp:val=&quot;00FD116B&quot;/&gt;&lt;wsp:rsid wsp:val=&quot;00FD18F4&quot;/&gt;&lt;wsp:rsid wsp:val=&quot;00FD322F&quot;/&gt;&lt;wsp:rsid wsp:val=&quot;00FD54DB&quot;/&gt;&lt;wsp:rsid wsp:val=&quot;00FD5790&quot;/&gt;&lt;wsp:rsid wsp:val=&quot;00FD619F&quot;/&gt;&lt;wsp:rsid wsp:val=&quot;00FE43B9&quot;/&gt;&lt;wsp:rsid wsp:val=&quot;00FF495D&quot;/&gt;&lt;wsp:rsid wsp:val=&quot;00FF7B0B&quot;/&gt;&lt;wsp:rsid wsp:val=&quot;011454F9&quot;/&gt;&lt;wsp:rsid wsp:val=&quot;0122177B&quot;/&gt;&lt;wsp:rsid wsp:val=&quot;01290F7E&quot;/&gt;&lt;wsp:rsid wsp:val=&quot;012D5AD8&quot;/&gt;&lt;wsp:rsid wsp:val=&quot;015D1E09&quot;/&gt;&lt;wsp:rsid wsp:val=&quot;016C4C19&quot;/&gt;&lt;wsp:rsid wsp:val=&quot;01D512FE&quot;/&gt;&lt;wsp:rsid wsp:val=&quot;021C461D&quot;/&gt;&lt;wsp:rsid wsp:val=&quot;02316736&quot;/&gt;&lt;wsp:rsid wsp:val=&quot;02697903&quot;/&gt;&lt;wsp:rsid wsp:val=&quot;02743AD7&quot;/&gt;&lt;wsp:rsid wsp:val=&quot;02774E21&quot;/&gt;&lt;wsp:rsid wsp:val=&quot;02C73A9D&quot;/&gt;&lt;wsp:rsid wsp:val=&quot;02DF3F93&quot;/&gt;&lt;wsp:rsid wsp:val=&quot;02EF0302&quot;/&gt;&lt;wsp:rsid wsp:val=&quot;02F42AF6&quot;/&gt;&lt;wsp:rsid wsp:val=&quot;02F96569&quot;/&gt;&lt;wsp:rsid wsp:val=&quot;032A4004&quot;/&gt;&lt;wsp:rsid wsp:val=&quot;03343439&quot;/&gt;&lt;wsp:rsid wsp:val=&quot;03917223&quot;/&gt;&lt;wsp:rsid wsp:val=&quot;03924037&quot;/&gt;&lt;wsp:rsid wsp:val=&quot;03E4090F&quot;/&gt;&lt;wsp:rsid wsp:val=&quot;03EA7B21&quot;/&gt;&lt;wsp:rsid wsp:val=&quot;041B75AD&quot;/&gt;&lt;wsp:rsid wsp:val=&quot;041D3E29&quot;/&gt;&lt;wsp:rsid wsp:val=&quot;04AE7167&quot;/&gt;&lt;wsp:rsid wsp:val=&quot;04B35764&quot;/&gt;&lt;wsp:rsid wsp:val=&quot;04BE5847&quot;/&gt;&lt;wsp:rsid wsp:val=&quot;04C06A59&quot;/&gt;&lt;wsp:rsid wsp:val=&quot;04C7345C&quot;/&gt;&lt;wsp:rsid wsp:val=&quot;050425F9&quot;/&gt;&lt;wsp:rsid wsp:val=&quot;05065C62&quot;/&gt;&lt;wsp:rsid wsp:val=&quot;05086887&quot;/&gt;&lt;wsp:rsid wsp:val=&quot;052A6349&quot;/&gt;&lt;wsp:rsid wsp:val=&quot;052D4FD8&quot;/&gt;&lt;wsp:rsid wsp:val=&quot;053C0EA0&quot;/&gt;&lt;wsp:rsid wsp:val=&quot;05585C3D&quot;/&gt;&lt;wsp:rsid wsp:val=&quot;05692BD6&quot;/&gt;&lt;wsp:rsid wsp:val=&quot;05A57C50&quot;/&gt;&lt;wsp:rsid wsp:val=&quot;05DC2619&quot;/&gt;&lt;wsp:rsid wsp:val=&quot;05EB3AE6&quot;/&gt;&lt;wsp:rsid wsp:val=&quot;05F83EAE&quot;/&gt;&lt;wsp:rsid wsp:val=&quot;060D1384&quot;/&gt;&lt;wsp:rsid wsp:val=&quot;063B1344&quot;/&gt;&lt;wsp:rsid wsp:val=&quot;063E7D85&quot;/&gt;&lt;wsp:rsid wsp:val=&quot;06B45BE4&quot;/&gt;&lt;wsp:rsid wsp:val=&quot;06C04DE4&quot;/&gt;&lt;wsp:rsid wsp:val=&quot;06CE49C9&quot;/&gt;&lt;wsp:rsid wsp:val=&quot;07293586&quot;/&gt;&lt;wsp:rsid wsp:val=&quot;07295285&quot;/&gt;&lt;wsp:rsid wsp:val=&quot;07366D47&quot;/&gt;&lt;wsp:rsid wsp:val=&quot;07457CCE&quot;/&gt;&lt;wsp:rsid wsp:val=&quot;07636392&quot;/&gt;&lt;wsp:rsid wsp:val=&quot;07770C56&quot;/&gt;&lt;wsp:rsid wsp:val=&quot;077A6DC4&quot;/&gt;&lt;wsp:rsid wsp:val=&quot;07CD6198&quot;/&gt;&lt;wsp:rsid wsp:val=&quot;07F34BE0&quot;/&gt;&lt;wsp:rsid wsp:val=&quot;081125CE&quot;/&gt;&lt;wsp:rsid wsp:val=&quot;081D1500&quot;/&gt;&lt;wsp:rsid wsp:val=&quot;08246246&quot;/&gt;&lt;wsp:rsid wsp:val=&quot;083F1958&quot;/&gt;&lt;wsp:rsid wsp:val=&quot;08820311&quot;/&gt;&lt;wsp:rsid wsp:val=&quot;08940749&quot;/&gt;&lt;wsp:rsid wsp:val=&quot;08EB5F01&quot;/&gt;&lt;wsp:rsid wsp:val=&quot;08F22476&quot;/&gt;&lt;wsp:rsid wsp:val=&quot;08F22726&quot;/&gt;&lt;wsp:rsid wsp:val=&quot;092217DD&quot;/&gt;&lt;wsp:rsid wsp:val=&quot;093A7294&quot;/&gt;&lt;wsp:rsid wsp:val=&quot;0942299C&quot;/&gt;&lt;wsp:rsid wsp:val=&quot;09C53BBD&quot;/&gt;&lt;wsp:rsid wsp:val=&quot;09CD1774&quot;/&gt;&lt;wsp:rsid wsp:val=&quot;0A15216D&quot;/&gt;&lt;wsp:rsid wsp:val=&quot;0A263993&quot;/&gt;&lt;wsp:rsid wsp:val=&quot;0A2D3AC2&quot;/&gt;&lt;wsp:rsid wsp:val=&quot;0A3470C9&quot;/&gt;&lt;wsp:rsid wsp:val=&quot;0A4B711F&quot;/&gt;&lt;wsp:rsid wsp:val=&quot;0A556D5C&quot;/&gt;&lt;wsp:rsid wsp:val=&quot;0A5A582A&quot;/&gt;&lt;wsp:rsid wsp:val=&quot;0A723C9C&quot;/&gt;&lt;wsp:rsid wsp:val=&quot;0AA755DF&quot;/&gt;&lt;wsp:rsid wsp:val=&quot;0AAF064A&quot;/&gt;&lt;wsp:rsid wsp:val=&quot;0ACF06BA&quot;/&gt;&lt;wsp:rsid wsp:val=&quot;0AEC69F3&quot;/&gt;&lt;wsp:rsid wsp:val=&quot;0B022F0D&quot;/&gt;&lt;wsp:rsid wsp:val=&quot;0B120D44&quot;/&gt;&lt;wsp:rsid wsp:val=&quot;0B146C26&quot;/&gt;&lt;wsp:rsid wsp:val=&quot;0B264B2A&quot;/&gt;&lt;wsp:rsid wsp:val=&quot;0B586211&quot;/&gt;&lt;wsp:rsid wsp:val=&quot;0BB60AD4&quot;/&gt;&lt;wsp:rsid wsp:val=&quot;0BC02EB0&quot;/&gt;&lt;wsp:rsid wsp:val=&quot;0BD27BF6&quot;/&gt;&lt;wsp:rsid wsp:val=&quot;0BDA5200&quot;/&gt;&lt;wsp:rsid wsp:val=&quot;0C3B3C7D&quot;/&gt;&lt;wsp:rsid wsp:val=&quot;0C6246E6&quot;/&gt;&lt;wsp:rsid wsp:val=&quot;0C6422CB&quot;/&gt;&lt;wsp:rsid wsp:val=&quot;0C790683&quot;/&gt;&lt;wsp:rsid wsp:val=&quot;0CA8688B&quot;/&gt;&lt;wsp:rsid wsp:val=&quot;0CAA2036&quot;/&gt;&lt;wsp:rsid wsp:val=&quot;0CAB2EAE&quot;/&gt;&lt;wsp:rsid wsp:val=&quot;0CCB061E&quot;/&gt;&lt;wsp:rsid wsp:val=&quot;0CD6602D&quot;/&gt;&lt;wsp:rsid wsp:val=&quot;0CEF6424&quot;/&gt;&lt;wsp:rsid wsp:val=&quot;0D2565E2&quot;/&gt;&lt;wsp:rsid wsp:val=&quot;0D547385&quot;/&gt;&lt;wsp:rsid wsp:val=&quot;0D621C7D&quot;/&gt;&lt;wsp:rsid wsp:val=&quot;0DB564F7&quot;/&gt;&lt;wsp:rsid wsp:val=&quot;0DFD4B76&quot;/&gt;&lt;wsp:rsid wsp:val=&quot;0E075839&quot;/&gt;&lt;wsp:rsid wsp:val=&quot;0E0F477D&quot;/&gt;&lt;wsp:rsid wsp:val=&quot;0E561104&quot;/&gt;&lt;wsp:rsid wsp:val=&quot;0E73034D&quot;/&gt;&lt;wsp:rsid wsp:val=&quot;0EA67B00&quot;/&gt;&lt;wsp:rsid wsp:val=&quot;0EBD2634&quot;/&gt;&lt;wsp:rsid wsp:val=&quot;0EC8676A&quot;/&gt;&lt;wsp:rsid wsp:val=&quot;0F103591&quot;/&gt;&lt;wsp:rsid wsp:val=&quot;0F13775A&quot;/&gt;&lt;wsp:rsid wsp:val=&quot;0F332577&quot;/&gt;&lt;wsp:rsid wsp:val=&quot;0F3364D0&quot;/&gt;&lt;wsp:rsid wsp:val=&quot;0F362CB2&quot;/&gt;&lt;wsp:rsid wsp:val=&quot;0F5F45FE&quot;/&gt;&lt;wsp:rsid wsp:val=&quot;0F600F7E&quot;/&gt;&lt;wsp:rsid wsp:val=&quot;0F803C12&quot;/&gt;&lt;wsp:rsid wsp:val=&quot;0F8451AF&quot;/&gt;&lt;wsp:rsid wsp:val=&quot;0F9A112B&quot;/&gt;&lt;wsp:rsid wsp:val=&quot;0FA13A21&quot;/&gt;&lt;wsp:rsid wsp:val=&quot;0FA4036D&quot;/&gt;&lt;wsp:rsid wsp:val=&quot;0FAC682D&quot;/&gt;&lt;wsp:rsid wsp:val=&quot;0FF74BED&quot;/&gt;&lt;wsp:rsid wsp:val=&quot;10166590&quot;/&gt;&lt;wsp:rsid wsp:val=&quot;10166E2D&quot;/&gt;&lt;wsp:rsid wsp:val=&quot;103A155A&quot;/&gt;&lt;wsp:rsid wsp:val=&quot;10534B8C&quot;/&gt;&lt;wsp:rsid wsp:val=&quot;106D2F64&quot;/&gt;&lt;wsp:rsid wsp:val=&quot;108400D5&quot;/&gt;&lt;wsp:rsid wsp:val=&quot;10854A12&quot;/&gt;&lt;wsp:rsid wsp:val=&quot;10892FC3&quot;/&gt;&lt;wsp:rsid wsp:val=&quot;108931C0&quot;/&gt;&lt;wsp:rsid wsp:val=&quot;10913E2E&quot;/&gt;&lt;wsp:rsid wsp:val=&quot;10B63710&quot;/&gt;&lt;wsp:rsid wsp:val=&quot;10B7799D&quot;/&gt;&lt;wsp:rsid wsp:val=&quot;10BA3969&quot;/&gt;&lt;wsp:rsid wsp:val=&quot;10D06513&quot;/&gt;&lt;wsp:rsid wsp:val=&quot;10D41A87&quot;/&gt;&lt;wsp:rsid wsp:val=&quot;10DB5B8E&quot;/&gt;&lt;wsp:rsid wsp:val=&quot;10EE637E&quot;/&gt;&lt;wsp:rsid wsp:val=&quot;10F10820&quot;/&gt;&lt;wsp:rsid wsp:val=&quot;111239FE&quot;/&gt;&lt;wsp:rsid wsp:val=&quot;111C2F7A&quot;/&gt;&lt;wsp:rsid wsp:val=&quot;113742F5&quot;/&gt;&lt;wsp:rsid wsp:val=&quot;115033DA&quot;/&gt;&lt;wsp:rsid wsp:val=&quot;11587961&quot;/&gt;&lt;wsp:rsid wsp:val=&quot;11665CA1&quot;/&gt;&lt;wsp:rsid wsp:val=&quot;11860CB9&quot;/&gt;&lt;wsp:rsid wsp:val=&quot;1186606E&quot;/&gt;&lt;wsp:rsid wsp:val=&quot;1198426E&quot;/&gt;&lt;wsp:rsid wsp:val=&quot;11AC4230&quot;/&gt;&lt;wsp:rsid wsp:val=&quot;11AD6F74&quot;/&gt;&lt;wsp:rsid wsp:val=&quot;11BE0CED&quot;/&gt;&lt;wsp:rsid wsp:val=&quot;11C23998&quot;/&gt;&lt;wsp:rsid wsp:val=&quot;11DA1AEB&quot;/&gt;&lt;wsp:rsid wsp:val=&quot;11EC7D9E&quot;/&gt;&lt;wsp:rsid wsp:val=&quot;1224317D&quot;/&gt;&lt;wsp:rsid wsp:val=&quot;12392222&quot;/&gt;&lt;wsp:rsid wsp:val=&quot;123F2702&quot;/&gt;&lt;wsp:rsid wsp:val=&quot;12444F86&quot;/&gt;&lt;wsp:rsid wsp:val=&quot;1286119F&quot;/&gt;&lt;wsp:rsid wsp:val=&quot;129338CC&quot;/&gt;&lt;wsp:rsid wsp:val=&quot;129E0A7C&quot;/&gt;&lt;wsp:rsid wsp:val=&quot;12A23F42&quot;/&gt;&lt;wsp:rsid wsp:val=&quot;12B94687&quot;/&gt;&lt;wsp:rsid wsp:val=&quot;12E144DA&quot;/&gt;&lt;wsp:rsid wsp:val=&quot;13787D05&quot;/&gt;&lt;wsp:rsid wsp:val=&quot;13951726&quot;/&gt;&lt;wsp:rsid wsp:val=&quot;13A059FF&quot;/&gt;&lt;wsp:rsid wsp:val=&quot;13FF3510&quot;/&gt;&lt;wsp:rsid wsp:val=&quot;141A646D&quot;/&gt;&lt;wsp:rsid wsp:val=&quot;142F0B3A&quot;/&gt;&lt;wsp:rsid wsp:val=&quot;1436303E&quot;/&gt;&lt;wsp:rsid wsp:val=&quot;14396509&quot;/&gt;&lt;wsp:rsid wsp:val=&quot;144C19A0&quot;/&gt;&lt;wsp:rsid wsp:val=&quot;146E0E9E&quot;/&gt;&lt;wsp:rsid wsp:val=&quot;14C3594F&quot;/&gt;&lt;wsp:rsid wsp:val=&quot;14DD2C3C&quot;/&gt;&lt;wsp:rsid wsp:val=&quot;14F344C7&quot;/&gt;&lt;wsp:rsid wsp:val=&quot;150C77BF&quot;/&gt;&lt;wsp:rsid wsp:val=&quot;150F34DF&quot;/&gt;&lt;wsp:rsid wsp:val=&quot;15200AF7&quot;/&gt;&lt;wsp:rsid wsp:val=&quot;15810F82&quot;/&gt;&lt;wsp:rsid wsp:val=&quot;158B6093&quot;/&gt;&lt;wsp:rsid wsp:val=&quot;159B2FD2&quot;/&gt;&lt;wsp:rsid wsp:val=&quot;15C51650&quot;/&gt;&lt;wsp:rsid wsp:val=&quot;15C91C45&quot;/&gt;&lt;wsp:rsid wsp:val=&quot;16087E1D&quot;/&gt;&lt;wsp:rsid wsp:val=&quot;161673DF&quot;/&gt;&lt;wsp:rsid wsp:val=&quot;162360E5&quot;/&gt;&lt;wsp:rsid wsp:val=&quot;1637336C&quot;/&gt;&lt;wsp:rsid wsp:val=&quot;164A03CA&quot;/&gt;&lt;wsp:rsid wsp:val=&quot;164D4109&quot;/&gt;&lt;wsp:rsid wsp:val=&quot;169B49F3&quot;/&gt;&lt;wsp:rsid wsp:val=&quot;16BB0F29&quot;/&gt;&lt;wsp:rsid wsp:val=&quot;16BE3E40&quot;/&gt;&lt;wsp:rsid wsp:val=&quot;16CD64BD&quot;/&gt;&lt;wsp:rsid wsp:val=&quot;16DB368E&quot;/&gt;&lt;wsp:rsid wsp:val=&quot;16DB631A&quot;/&gt;&lt;wsp:rsid wsp:val=&quot;16DC78BC&quot;/&gt;&lt;wsp:rsid wsp:val=&quot;1736338A&quot;/&gt;&lt;wsp:rsid wsp:val=&quot;17463338&quot;/&gt;&lt;wsp:rsid wsp:val=&quot;17701D14&quot;/&gt;&lt;wsp:rsid wsp:val=&quot;17735226&quot;/&gt;&lt;wsp:rsid wsp:val=&quot;178F0015&quot;/&gt;&lt;wsp:rsid wsp:val=&quot;178F21FF&quot;/&gt;&lt;wsp:rsid wsp:val=&quot;17E41D2C&quot;/&gt;&lt;wsp:rsid wsp:val=&quot;17E54A2F&quot;/&gt;&lt;wsp:rsid wsp:val=&quot;181F2BD6&quot;/&gt;&lt;wsp:rsid wsp:val=&quot;186355BB&quot;/&gt;&lt;wsp:rsid wsp:val=&quot;189F624C&quot;/&gt;&lt;wsp:rsid wsp:val=&quot;18AB41E7&quot;/&gt;&lt;wsp:rsid wsp:val=&quot;18AC19C5&quot;/&gt;&lt;wsp:rsid wsp:val=&quot;18F76176&quot;/&gt;&lt;wsp:rsid wsp:val=&quot;192C5483&quot;/&gt;&lt;wsp:rsid wsp:val=&quot;19573E06&quot;/&gt;&lt;wsp:rsid wsp:val=&quot;196460D6&quot;/&gt;&lt;wsp:rsid wsp:val=&quot;19651AD8&quot;/&gt;&lt;wsp:rsid wsp:val=&quot;1968538D&quot;/&gt;&lt;wsp:rsid wsp:val=&quot;198620D6&quot;/&gt;&lt;wsp:rsid wsp:val=&quot;19B17E87&quot;/&gt;&lt;wsp:rsid wsp:val=&quot;19C226EB&quot;/&gt;&lt;wsp:rsid wsp:val=&quot;19D7417A&quot;/&gt;&lt;wsp:rsid wsp:val=&quot;1A1C66C0&quot;/&gt;&lt;wsp:rsid wsp:val=&quot;1A42393B&quot;/&gt;&lt;wsp:rsid wsp:val=&quot;1A466C59&quot;/&gt;&lt;wsp:rsid wsp:val=&quot;1A507A77&quot;/&gt;&lt;wsp:rsid wsp:val=&quot;1A5910F0&quot;/&gt;&lt;wsp:rsid wsp:val=&quot;1AAD45DE&quot;/&gt;&lt;wsp:rsid wsp:val=&quot;1ACE6341&quot;/&gt;&lt;wsp:rsid wsp:val=&quot;1AE14E8A&quot;/&gt;&lt;wsp:rsid wsp:val=&quot;1AE43477&quot;/&gt;&lt;wsp:rsid wsp:val=&quot;1B044BEA&quot;/&gt;&lt;wsp:rsid wsp:val=&quot;1B046F80&quot;/&gt;&lt;wsp:rsid wsp:val=&quot;1B3267B5&quot;/&gt;&lt;wsp:rsid wsp:val=&quot;1B352BF3&quot;/&gt;&lt;wsp:rsid wsp:val=&quot;1B40161D&quot;/&gt;&lt;wsp:rsid wsp:val=&quot;1B441859&quot;/&gt;&lt;wsp:rsid wsp:val=&quot;1B454EAD&quot;/&gt;&lt;wsp:rsid wsp:val=&quot;1B474F18&quot;/&gt;&lt;wsp:rsid wsp:val=&quot;1B644B29&quot;/&gt;&lt;wsp:rsid wsp:val=&quot;1B6606B1&quot;/&gt;&lt;wsp:rsid wsp:val=&quot;1B674700&quot;/&gt;&lt;wsp:rsid wsp:val=&quot;1B8F6DD1&quot;/&gt;&lt;wsp:rsid wsp:val=&quot;1B9978FB&quot;/&gt;&lt;wsp:rsid wsp:val=&quot;1B9B581B&quot;/&gt;&lt;wsp:rsid wsp:val=&quot;1BAE628C&quot;/&gt;&lt;wsp:rsid wsp:val=&quot;1BDD16FA&quot;/&gt;&lt;wsp:rsid wsp:val=&quot;1C054A99&quot;/&gt;&lt;wsp:rsid wsp:val=&quot;1C057B80&quot;/&gt;&lt;wsp:rsid wsp:val=&quot;1C2B5B3D&quot;/&gt;&lt;wsp:rsid wsp:val=&quot;1C475FFF&quot;/&gt;&lt;wsp:rsid wsp:val=&quot;1C5E7925&quot;/&gt;&lt;wsp:rsid wsp:val=&quot;1C6F78E3&quot;/&gt;&lt;wsp:rsid wsp:val=&quot;1C803289&quot;/&gt;&lt;wsp:rsid wsp:val=&quot;1CA16166&quot;/&gt;&lt;wsp:rsid wsp:val=&quot;1CF366E6&quot;/&gt;&lt;wsp:rsid wsp:val=&quot;1CFD070F&quot;/&gt;&lt;wsp:rsid wsp:val=&quot;1D5F6196&quot;/&gt;&lt;wsp:rsid wsp:val=&quot;1D6132A5&quot;/&gt;&lt;wsp:rsid wsp:val=&quot;1D8E56D5&quot;/&gt;&lt;wsp:rsid wsp:val=&quot;1DFB31A4&quot;/&gt;&lt;wsp:rsid wsp:val=&quot;1E0D6277&quot;/&gt;&lt;wsp:rsid wsp:val=&quot;1E576DBD&quot;/&gt;&lt;wsp:rsid wsp:val=&quot;1E7A43DA&quot;/&gt;&lt;wsp:rsid wsp:val=&quot;1E850517&quot;/&gt;&lt;wsp:rsid wsp:val=&quot;1F5338E4&quot;/&gt;&lt;wsp:rsid wsp:val=&quot;1F6257E5&quot;/&gt;&lt;wsp:rsid wsp:val=&quot;1F625C1D&quot;/&gt;&lt;wsp:rsid wsp:val=&quot;1F9821A0&quot;/&gt;&lt;wsp:rsid wsp:val=&quot;1FE7539E&quot;/&gt;&lt;wsp:rsid wsp:val=&quot;20391D58&quot;/&gt;&lt;wsp:rsid wsp:val=&quot;2041182F&quot;/&gt;&lt;wsp:rsid wsp:val=&quot;20552D71&quot;/&gt;&lt;wsp:rsid wsp:val=&quot;20671BE0&quot;/&gt;&lt;wsp:rsid wsp:val=&quot;20673FE1&quot;/&gt;&lt;wsp:rsid wsp:val=&quot;209158F8&quot;/&gt;&lt;wsp:rsid wsp:val=&quot;20963CB8&quot;/&gt;&lt;wsp:rsid wsp:val=&quot;20A81A1B&quot;/&gt;&lt;wsp:rsid wsp:val=&quot;20B07FB6&quot;/&gt;&lt;wsp:rsid wsp:val=&quot;20B646FB&quot;/&gt;&lt;wsp:rsid wsp:val=&quot;20EA6499&quot;/&gt;&lt;wsp:rsid wsp:val=&quot;20F01054&quot;/&gt;&lt;wsp:rsid wsp:val=&quot;20FC141B&quot;/&gt;&lt;wsp:rsid wsp:val=&quot;20FE1B70&quot;/&gt;&lt;wsp:rsid wsp:val=&quot;210F5164&quot;/&gt;&lt;wsp:rsid wsp:val=&quot;211F30A1&quot;/&gt;&lt;wsp:rsid wsp:val=&quot;212450B6&quot;/&gt;&lt;wsp:rsid wsp:val=&quot;21321CA7&quot;/&gt;&lt;wsp:rsid wsp:val=&quot;213B74B1&quot;/&gt;&lt;wsp:rsid wsp:val=&quot;21484562&quot;/&gt;&lt;wsp:rsid wsp:val=&quot;214B1912&quot;/&gt;&lt;wsp:rsid wsp:val=&quot;2152264B&quot;/&gt;&lt;wsp:rsid wsp:val=&quot;215A2310&quot;/&gt;&lt;wsp:rsid wsp:val=&quot;216702D2&quot;/&gt;&lt;wsp:rsid wsp:val=&quot;21701179&quot;/&gt;&lt;wsp:rsid wsp:val=&quot;21992D50&quot;/&gt;&lt;wsp:rsid wsp:val=&quot;21AE6B19&quot;/&gt;&lt;wsp:rsid wsp:val=&quot;21B76F07&quot;/&gt;&lt;wsp:rsid wsp:val=&quot;21BF5E84&quot;/&gt;&lt;wsp:rsid wsp:val=&quot;21D50D70&quot;/&gt;&lt;wsp:rsid wsp:val=&quot;21DE318A&quot;/&gt;&lt;wsp:rsid wsp:val=&quot;21EF5B80&quot;/&gt;&lt;wsp:rsid wsp:val=&quot;21F435F1&quot;/&gt;&lt;wsp:rsid wsp:val=&quot;21F654C7&quot;/&gt;&lt;wsp:rsid wsp:val=&quot;21FF51AF&quot;/&gt;&lt;wsp:rsid wsp:val=&quot;221F3B4E&quot;/&gt;&lt;wsp:rsid wsp:val=&quot;222379D9&quot;/&gt;&lt;wsp:rsid wsp:val=&quot;2243776C&quot;/&gt;&lt;wsp:rsid wsp:val=&quot;22576990&quot;/&gt;&lt;wsp:rsid wsp:val=&quot;22787A45&quot;/&gt;&lt;wsp:rsid wsp:val=&quot;227E6396&quot;/&gt;&lt;wsp:rsid wsp:val=&quot;22856B7F&quot;/&gt;&lt;wsp:rsid wsp:val=&quot;229C4C96&quot;/&gt;&lt;wsp:rsid wsp:val=&quot;22CF7EE0&quot;/&gt;&lt;wsp:rsid wsp:val=&quot;22DD5403&quot;/&gt;&lt;wsp:rsid wsp:val=&quot;22F2739F&quot;/&gt;&lt;wsp:rsid wsp:val=&quot;22F47480&quot;/&gt;&lt;wsp:rsid wsp:val=&quot;22F8223D&quot;/&gt;&lt;wsp:rsid wsp:val=&quot;230C7555&quot;/&gt;&lt;wsp:rsid wsp:val=&quot;234A1CAB&quot;/&gt;&lt;wsp:rsid wsp:val=&quot;235D0A6A&quot;/&gt;&lt;wsp:rsid wsp:val=&quot;235D3F1A&quot;/&gt;&lt;wsp:rsid wsp:val=&quot;236E24FF&quot;/&gt;&lt;wsp:rsid wsp:val=&quot;239B0C2C&quot;/&gt;&lt;wsp:rsid wsp:val=&quot;23DA41A0&quot;/&gt;&lt;wsp:rsid wsp:val=&quot;23DE1C48&quot;/&gt;&lt;wsp:rsid wsp:val=&quot;240210CD&quot;/&gt;&lt;wsp:rsid wsp:val=&quot;24110525&quot;/&gt;&lt;wsp:rsid wsp:val=&quot;241F6274&quot;/&gt;&lt;wsp:rsid wsp:val=&quot;244250D8&quot;/&gt;&lt;wsp:rsid wsp:val=&quot;24437762&quot;/&gt;&lt;wsp:rsid wsp:val=&quot;24BC54EC&quot;/&gt;&lt;wsp:rsid wsp:val=&quot;24BF08CF&quot;/&gt;&lt;wsp:rsid wsp:val=&quot;24BF09F7&quot;/&gt;&lt;wsp:rsid wsp:val=&quot;24D14F23&quot;/&gt;&lt;wsp:rsid wsp:val=&quot;24DD3DBB&quot;/&gt;&lt;wsp:rsid wsp:val=&quot;25160215&quot;/&gt;&lt;wsp:rsid wsp:val=&quot;252D53FE&quot;/&gt;&lt;wsp:rsid wsp:val=&quot;253802A7&quot;/&gt;&lt;wsp:rsid wsp:val=&quot;25671663&quot;/&gt;&lt;wsp:rsid wsp:val=&quot;256E2DE4&quot;/&gt;&lt;wsp:rsid wsp:val=&quot;25922B3B&quot;/&gt;&lt;wsp:rsid wsp:val=&quot;25EC2D81&quot;/&gt;&lt;wsp:rsid wsp:val=&quot;25F55AE2&quot;/&gt;&lt;wsp:rsid wsp:val=&quot;25F7019A&quot;/&gt;&lt;wsp:rsid wsp:val=&quot;261037AD&quot;/&gt;&lt;wsp:rsid wsp:val=&quot;26281C0E&quot;/&gt;&lt;wsp:rsid wsp:val=&quot;262F74C8&quot;/&gt;&lt;wsp:rsid wsp:val=&quot;264B3EA7&quot;/&gt;&lt;wsp:rsid wsp:val=&quot;265155C2&quot;/&gt;&lt;wsp:rsid wsp:val=&quot;26545AD0&quot;/&gt;&lt;wsp:rsid wsp:val=&quot;265461A8&quot;/&gt;&lt;wsp:rsid wsp:val=&quot;265533F3&quot;/&gt;&lt;wsp:rsid wsp:val=&quot;265852B8&quot;/&gt;&lt;wsp:rsid wsp:val=&quot;265F10EB&quot;/&gt;&lt;wsp:rsid wsp:val=&quot;26607D23&quot;/&gt;&lt;wsp:rsid wsp:val=&quot;267329ED&quot;/&gt;&lt;wsp:rsid wsp:val=&quot;26797437&quot;/&gt;&lt;wsp:rsid wsp:val=&quot;268A0AE8&quot;/&gt;&lt;wsp:rsid wsp:val=&quot;2697590D&quot;/&gt;&lt;wsp:rsid wsp:val=&quot;269A744F&quot;/&gt;&lt;wsp:rsid wsp:val=&quot;26E35F4C&quot;/&gt;&lt;wsp:rsid wsp:val=&quot;27186AFB&quot;/&gt;&lt;wsp:rsid wsp:val=&quot;27266DB6&quot;/&gt;&lt;wsp:rsid wsp:val=&quot;27357EB0&quot;/&gt;&lt;wsp:rsid wsp:val=&quot;27432A12&quot;/&gt;&lt;wsp:rsid wsp:val=&quot;274D72B9&quot;/&gt;&lt;wsp:rsid wsp:val=&quot;276758B1&quot;/&gt;&lt;wsp:rsid wsp:val=&quot;277057A2&quot;/&gt;&lt;wsp:rsid wsp:val=&quot;2798123C&quot;/&gt;&lt;wsp:rsid wsp:val=&quot;27C668CE&quot;/&gt;&lt;wsp:rsid wsp:val=&quot;27E36AF0&quot;/&gt;&lt;wsp:rsid wsp:val=&quot;27FA55BF&quot;/&gt;&lt;wsp:rsid wsp:val=&quot;280727BD&quot;/&gt;&lt;wsp:rsid wsp:val=&quot;28572EEE&quot;/&gt;&lt;wsp:rsid wsp:val=&quot;28786E71&quot;/&gt;&lt;wsp:rsid wsp:val=&quot;288E72FD&quot;/&gt;&lt;wsp:rsid wsp:val=&quot;28AA4288&quot;/&gt;&lt;wsp:rsid wsp:val=&quot;28B248E6&quot;/&gt;&lt;wsp:rsid wsp:val=&quot;28B34848&quot;/&gt;&lt;wsp:rsid wsp:val=&quot;28CB21A6&quot;/&gt;&lt;wsp:rsid wsp:val=&quot;28CF7791&quot;/&gt;&lt;wsp:rsid wsp:val=&quot;28DF3423&quot;/&gt;&lt;wsp:rsid wsp:val=&quot;29206EB8&quot;/&gt;&lt;wsp:rsid wsp:val=&quot;29595666&quot;/&gt;&lt;wsp:rsid wsp:val=&quot;296E51A9&quot;/&gt;&lt;wsp:rsid wsp:val=&quot;29874881&quot;/&gt;&lt;wsp:rsid wsp:val=&quot;299A0655&quot;/&gt;&lt;wsp:rsid wsp:val=&quot;299F1AF2&quot;/&gt;&lt;wsp:rsid wsp:val=&quot;29A82239&quot;/&gt;&lt;wsp:rsid wsp:val=&quot;29A96022&quot;/&gt;&lt;wsp:rsid wsp:val=&quot;29E325E0&quot;/&gt;&lt;wsp:rsid wsp:val=&quot;2A31015B&quot;/&gt;&lt;wsp:rsid wsp:val=&quot;2A36793E&quot;/&gt;&lt;wsp:rsid wsp:val=&quot;2A452503&quot;/&gt;&lt;wsp:rsid wsp:val=&quot;2A4F5977&quot;/&gt;&lt;wsp:rsid wsp:val=&quot;2A843EA5&quot;/&gt;&lt;wsp:rsid wsp:val=&quot;2A8C4129&quot;/&gt;&lt;wsp:rsid wsp:val=&quot;2A94692E&quot;/&gt;&lt;wsp:rsid wsp:val=&quot;2AB178D9&quot;/&gt;&lt;wsp:rsid wsp:val=&quot;2AD5516A&quot;/&gt;&lt;wsp:rsid wsp:val=&quot;2B074494&quot;/&gt;&lt;wsp:rsid wsp:val=&quot;2B1C68BF&quot;/&gt;&lt;wsp:rsid wsp:val=&quot;2B230554&quot;/&gt;&lt;wsp:rsid wsp:val=&quot;2B515B2E&quot;/&gt;&lt;wsp:rsid wsp:val=&quot;2B66126F&quot;/&gt;&lt;wsp:rsid wsp:val=&quot;2B666C99&quot;/&gt;&lt;wsp:rsid wsp:val=&quot;2B71568F&quot;/&gt;&lt;wsp:rsid wsp:val=&quot;2BA936A8&quot;/&gt;&lt;wsp:rsid wsp:val=&quot;2BAC61D6&quot;/&gt;&lt;wsp:rsid wsp:val=&quot;2BBC45CA&quot;/&gt;&lt;wsp:rsid wsp:val=&quot;2BFD0CF5&quot;/&gt;&lt;wsp:rsid wsp:val=&quot;2C18387F&quot;/&gt;&lt;wsp:rsid wsp:val=&quot;2C2345A6&quot;/&gt;&lt;wsp:rsid wsp:val=&quot;2C315A5A&quot;/&gt;&lt;wsp:rsid wsp:val=&quot;2C3234A5&quot;/&gt;&lt;wsp:rsid wsp:val=&quot;2C346697&quot;/&gt;&lt;wsp:rsid wsp:val=&quot;2C396033&quot;/&gt;&lt;wsp:rsid wsp:val=&quot;2C4B1C25&quot;/&gt;&lt;wsp:rsid wsp:val=&quot;2C6606F6&quot;/&gt;&lt;wsp:rsid wsp:val=&quot;2C6B7DB9&quot;/&gt;&lt;wsp:rsid wsp:val=&quot;2C6E4D4E&quot;/&gt;&lt;wsp:rsid wsp:val=&quot;2CDA0223&quot;/&gt;&lt;wsp:rsid wsp:val=&quot;2D2F0D30&quot;/&gt;&lt;wsp:rsid wsp:val=&quot;2D446F7E&quot;/&gt;&lt;wsp:rsid wsp:val=&quot;2D456BC8&quot;/&gt;&lt;wsp:rsid wsp:val=&quot;2D9E56F5&quot;/&gt;&lt;wsp:rsid wsp:val=&quot;2DA33FB7&quot;/&gt;&lt;wsp:rsid wsp:val=&quot;2DAB2E35&quot;/&gt;&lt;wsp:rsid wsp:val=&quot;2DC807D8&quot;/&gt;&lt;wsp:rsid wsp:val=&quot;2E2520F4&quot;/&gt;&lt;wsp:rsid wsp:val=&quot;2E652A8E&quot;/&gt;&lt;wsp:rsid wsp:val=&quot;2E667F96&quot;/&gt;&lt;wsp:rsid wsp:val=&quot;2E6823E2&quot;/&gt;&lt;wsp:rsid wsp:val=&quot;2E804D70&quot;/&gt;&lt;wsp:rsid wsp:val=&quot;2E8226AB&quot;/&gt;&lt;wsp:rsid wsp:val=&quot;2E895BCE&quot;/&gt;&lt;wsp:rsid wsp:val=&quot;2EAE7A6B&quot;/&gt;&lt;wsp:rsid wsp:val=&quot;2ECF39A8&quot;/&gt;&lt;wsp:rsid wsp:val=&quot;2ED175A0&quot;/&gt;&lt;wsp:rsid wsp:val=&quot;2F0D5A39&quot;/&gt;&lt;wsp:rsid wsp:val=&quot;2F393B22&quot;/&gt;&lt;wsp:rsid wsp:val=&quot;2FB55650&quot;/&gt;&lt;wsp:rsid wsp:val=&quot;2FB62947&quot;/&gt;&lt;wsp:rsid wsp:val=&quot;2FD065E6&quot;/&gt;&lt;wsp:rsid wsp:val=&quot;2FD828C9&quot;/&gt;&lt;wsp:rsid wsp:val=&quot;2FD96870&quot;/&gt;&lt;wsp:rsid wsp:val=&quot;30000983&quot;/&gt;&lt;wsp:rsid wsp:val=&quot;30286F2F&quot;/&gt;&lt;wsp:rsid wsp:val=&quot;303C7766&quot;/&gt;&lt;wsp:rsid wsp:val=&quot;30415662&quot;/&gt;&lt;wsp:rsid wsp:val=&quot;30580BC9&quot;/&gt;&lt;wsp:rsid wsp:val=&quot;30670621&quot;/&gt;&lt;wsp:rsid wsp:val=&quot;30716047&quot;/&gt;&lt;wsp:rsid wsp:val=&quot;30AC25DA&quot;/&gt;&lt;wsp:rsid wsp:val=&quot;30D7736B&quot;/&gt;&lt;wsp:rsid wsp:val=&quot;311E2ED7&quot;/&gt;&lt;wsp:rsid wsp:val=&quot;314962AA&quot;/&gt;&lt;wsp:rsid wsp:val=&quot;315619EE&quot;/&gt;&lt;wsp:rsid wsp:val=&quot;315A13D2&quot;/&gt;&lt;wsp:rsid wsp:val=&quot;315C449C&quot;/&gt;&lt;wsp:rsid wsp:val=&quot;31A829E0&quot;/&gt;&lt;wsp:rsid wsp:val=&quot;31A918BD&quot;/&gt;&lt;wsp:rsid wsp:val=&quot;31AA4BE6&quot;/&gt;&lt;wsp:rsid wsp:val=&quot;31B82709&quot;/&gt;&lt;wsp:rsid wsp:val=&quot;31D05482&quot;/&gt;&lt;wsp:rsid wsp:val=&quot;32177894&quot;/&gt;&lt;wsp:rsid wsp:val=&quot;32400B34&quot;/&gt;&lt;wsp:rsid wsp:val=&quot;32881751&quot;/&gt;&lt;wsp:rsid wsp:val=&quot;329E6876&quot;/&gt;&lt;wsp:rsid wsp:val=&quot;32C93988&quot;/&gt;&lt;wsp:rsid wsp:val=&quot;33015A0C&quot;/&gt;&lt;wsp:rsid wsp:val=&quot;332D034A&quot;/&gt;&lt;wsp:rsid wsp:val=&quot;333015F2&quot;/&gt;&lt;wsp:rsid wsp:val=&quot;33367A22&quot;/&gt;&lt;wsp:rsid wsp:val=&quot;334B6320&quot;/&gt;&lt;wsp:rsid wsp:val=&quot;33A569E9&quot;/&gt;&lt;wsp:rsid wsp:val=&quot;33D934D4&quot;/&gt;&lt;wsp:rsid wsp:val=&quot;33F31E82&quot;/&gt;&lt;wsp:rsid wsp:val=&quot;33FE2F6A&quot;/&gt;&lt;wsp:rsid wsp:val=&quot;340E07E5&quot;/&gt;&lt;wsp:rsid wsp:val=&quot;34196CC5&quot;/&gt;&lt;wsp:rsid wsp:val=&quot;341E03C3&quot;/&gt;&lt;wsp:rsid wsp:val=&quot;34235BF7&quot;/&gt;&lt;wsp:rsid wsp:val=&quot;34351A68&quot;/&gt;&lt;wsp:rsid wsp:val=&quot;344B1AFC&quot;/&gt;&lt;wsp:rsid wsp:val=&quot;345E742C&quot;/&gt;&lt;wsp:rsid wsp:val=&quot;34894BA8&quot;/&gt;&lt;wsp:rsid wsp:val=&quot;3491180A&quot;/&gt;&lt;wsp:rsid wsp:val=&quot;34963EC3&quot;/&gt;&lt;wsp:rsid wsp:val=&quot;34C569E6&quot;/&gt;&lt;wsp:rsid wsp:val=&quot;34DB7F3A&quot;/&gt;&lt;wsp:rsid wsp:val=&quot;34F054AA&quot;/&gt;&lt;wsp:rsid wsp:val=&quot;35377FEB&quot;/&gt;&lt;wsp:rsid wsp:val=&quot;354054DE&quot;/&gt;&lt;wsp:rsid wsp:val=&quot;356D6D5C&quot;/&gt;&lt;wsp:rsid wsp:val=&quot;357404AA&quot;/&gt;&lt;wsp:rsid wsp:val=&quot;35892B24&quot;/&gt;&lt;wsp:rsid wsp:val=&quot;358C5FA8&quot;/&gt;&lt;wsp:rsid wsp:val=&quot;35964628&quot;/&gt;&lt;wsp:rsid wsp:val=&quot;35C15DF1&quot;/&gt;&lt;wsp:rsid wsp:val=&quot;35FE7D7C&quot;/&gt;&lt;wsp:rsid wsp:val=&quot;36074A7F&quot;/&gt;&lt;wsp:rsid wsp:val=&quot;3618276E&quot;/&gt;&lt;wsp:rsid wsp:val=&quot;362016B5&quot;/&gt;&lt;wsp:rsid wsp:val=&quot;36237003&quot;/&gt;&lt;wsp:rsid wsp:val=&quot;362E0349&quot;/&gt;&lt;wsp:rsid wsp:val=&quot;367402BE&quot;/&gt;&lt;wsp:rsid wsp:val=&quot;36786178&quot;/&gt;&lt;wsp:rsid wsp:val=&quot;369150B1&quot;/&gt;&lt;wsp:rsid wsp:val=&quot;36923549&quot;/&gt;&lt;wsp:rsid wsp:val=&quot;36A41884&quot;/&gt;&lt;wsp:rsid wsp:val=&quot;36B75FBF&quot;/&gt;&lt;wsp:rsid wsp:val=&quot;36BD0C45&quot;/&gt;&lt;wsp:rsid wsp:val=&quot;36D51943&quot;/&gt;&lt;wsp:rsid wsp:val=&quot;36E23CAC&quot;/&gt;&lt;wsp:rsid wsp:val=&quot;36F07C6C&quot;/&gt;&lt;wsp:rsid wsp:val=&quot;374C7A84&quot;/&gt;&lt;wsp:rsid wsp:val=&quot;377D7653&quot;/&gt;&lt;wsp:rsid wsp:val=&quot;37C113A9&quot;/&gt;&lt;wsp:rsid wsp:val=&quot;37D651D1&quot;/&gt;&lt;wsp:rsid wsp:val=&quot;37E00298&quot;/&gt;&lt;wsp:rsid wsp:val=&quot;380C0A89&quot;/&gt;&lt;wsp:rsid wsp:val=&quot;380D1374&quot;/&gt;&lt;wsp:rsid wsp:val=&quot;381417B9&quot;/&gt;&lt;wsp:rsid wsp:val=&quot;384460C1&quot;/&gt;&lt;wsp:rsid wsp:val=&quot;38770D06&quot;/&gt;&lt;wsp:rsid wsp:val=&quot;388037CA&quot;/&gt;&lt;wsp:rsid wsp:val=&quot;38807A54&quot;/&gt;&lt;wsp:rsid wsp:val=&quot;38952E67&quot;/&gt;&lt;wsp:rsid wsp:val=&quot;38A81AF5&quot;/&gt;&lt;wsp:rsid wsp:val=&quot;38A9311C&quot;/&gt;&lt;wsp:rsid wsp:val=&quot;38AB5EE7&quot;/&gt;&lt;wsp:rsid wsp:val=&quot;38B0399C&quot;/&gt;&lt;wsp:rsid wsp:val=&quot;38B302F9&quot;/&gt;&lt;wsp:rsid wsp:val=&quot;38B836BC&quot;/&gt;&lt;wsp:rsid wsp:val=&quot;38F12CD3&quot;/&gt;&lt;wsp:rsid wsp:val=&quot;38F94775&quot;/&gt;&lt;wsp:rsid wsp:val=&quot;39016F6C&quot;/&gt;&lt;wsp:rsid wsp:val=&quot;39292932&quot;/&gt;&lt;wsp:rsid wsp:val=&quot;392971ED&quot;/&gt;&lt;wsp:rsid wsp:val=&quot;39325651&quot;/&gt;&lt;wsp:rsid wsp:val=&quot;39804AD4&quot;/&gt;&lt;wsp:rsid wsp:val=&quot;39AC71D3&quot;/&gt;&lt;wsp:rsid wsp:val=&quot;39E614CE&quot;/&gt;&lt;wsp:rsid wsp:val=&quot;3A234DD3&quot;/&gt;&lt;wsp:rsid wsp:val=&quot;3A6833C0&quot;/&gt;&lt;wsp:rsid wsp:val=&quot;3A795DF4&quot;/&gt;&lt;wsp:rsid wsp:val=&quot;3A817FDC&quot;/&gt;&lt;wsp:rsid wsp:val=&quot;3A872856&quot;/&gt;&lt;wsp:rsid wsp:val=&quot;3AB32F9A&quot;/&gt;&lt;wsp:rsid wsp:val=&quot;3AE17EA7&quot;/&gt;&lt;wsp:rsid wsp:val=&quot;3B0A0F88&quot;/&gt;&lt;wsp:rsid wsp:val=&quot;3B0C16E9&quot;/&gt;&lt;wsp:rsid wsp:val=&quot;3B2A42AB&quot;/&gt;&lt;wsp:rsid wsp:val=&quot;3B3763D1&quot;/&gt;&lt;wsp:rsid wsp:val=&quot;3B4E7F84&quot;/&gt;&lt;wsp:rsid wsp:val=&quot;3B641B85&quot;/&gt;&lt;wsp:rsid wsp:val=&quot;3C1F6370&quot;/&gt;&lt;wsp:rsid wsp:val=&quot;3C2F6E1E&quot;/&gt;&lt;wsp:rsid wsp:val=&quot;3C4F64BA&quot;/&gt;&lt;wsp:rsid wsp:val=&quot;3C680112&quot;/&gt;&lt;wsp:rsid wsp:val=&quot;3C6F1290&quot;/&gt;&lt;wsp:rsid wsp:val=&quot;3C992621&quot;/&gt;&lt;wsp:rsid wsp:val=&quot;3CB70B7D&quot;/&gt;&lt;wsp:rsid wsp:val=&quot;3CDA245A&quot;/&gt;&lt;wsp:rsid wsp:val=&quot;3CE816CD&quot;/&gt;&lt;wsp:rsid wsp:val=&quot;3D030DFD&quot;/&gt;&lt;wsp:rsid wsp:val=&quot;3D1E06B7&quot;/&gt;&lt;wsp:rsid wsp:val=&quot;3D5A14E9&quot;/&gt;&lt;wsp:rsid wsp:val=&quot;3D5B0162&quot;/&gt;&lt;wsp:rsid wsp:val=&quot;3D6C5689&quot;/&gt;&lt;wsp:rsid wsp:val=&quot;3E1778BD&quot;/&gt;&lt;wsp:rsid wsp:val=&quot;3E2576AD&quot;/&gt;&lt;wsp:rsid wsp:val=&quot;3E6E2B5B&quot;/&gt;&lt;wsp:rsid wsp:val=&quot;3E871ED3&quot;/&gt;&lt;wsp:rsid wsp:val=&quot;3E8A4C92&quot;/&gt;&lt;wsp:rsid wsp:val=&quot;3EB71D0C&quot;/&gt;&lt;wsp:rsid wsp:val=&quot;3EDA0523&quot;/&gt;&lt;wsp:rsid wsp:val=&quot;3EED6BB2&quot;/&gt;&lt;wsp:rsid wsp:val=&quot;3EF653CA&quot;/&gt;&lt;wsp:rsid wsp:val=&quot;3F463146&quot;/&gt;&lt;wsp:rsid wsp:val=&quot;3F610E54&quot;/&gt;&lt;wsp:rsid wsp:val=&quot;3F6963CD&quot;/&gt;&lt;wsp:rsid wsp:val=&quot;3F9F7211&quot;/&gt;&lt;wsp:rsid wsp:val=&quot;3FB65055&quot;/&gt;&lt;wsp:rsid wsp:val=&quot;3FC91ACD&quot;/&gt;&lt;wsp:rsid wsp:val=&quot;3FD72529&quot;/&gt;&lt;wsp:rsid wsp:val=&quot;3FDC5DE7&quot;/&gt;&lt;wsp:rsid wsp:val=&quot;3FF77315&quot;/&gt;&lt;wsp:rsid wsp:val=&quot;403326AF&quot;/&gt;&lt;wsp:rsid wsp:val=&quot;40474F1C&quot;/&gt;&lt;wsp:rsid wsp:val=&quot;4057181D&quot;/&gt;&lt;wsp:rsid wsp:val=&quot;406C7588&quot;/&gt;&lt;wsp:rsid wsp:val=&quot;40724FFD&quot;/&gt;&lt;wsp:rsid wsp:val=&quot;407A6407&quot;/&gt;&lt;wsp:rsid wsp:val=&quot;40844004&quot;/&gt;&lt;wsp:rsid wsp:val=&quot;40B3526A&quot;/&gt;&lt;wsp:rsid wsp:val=&quot;40D82DFB&quot;/&gt;&lt;wsp:rsid wsp:val=&quot;40E400AA&quot;/&gt;&lt;wsp:rsid wsp:val=&quot;410322FF&quot;/&gt;&lt;wsp:rsid wsp:val=&quot;41461244&quot;/&gt;&lt;wsp:rsid wsp:val=&quot;41DF62AC&quot;/&gt;&lt;wsp:rsid wsp:val=&quot;4200449D&quot;/&gt;&lt;wsp:rsid wsp:val=&quot;42216679&quot;/&gt;&lt;wsp:rsid wsp:val=&quot;42256686&quot;/&gt;&lt;wsp:rsid wsp:val=&quot;423A3BCC&quot;/&gt;&lt;wsp:rsid wsp:val=&quot;424E57D2&quot;/&gt;&lt;wsp:rsid wsp:val=&quot;42552A98&quot;/&gt;&lt;wsp:rsid wsp:val=&quot;42924A7B&quot;/&gt;&lt;wsp:rsid wsp:val=&quot;42AC4CCD&quot;/&gt;&lt;wsp:rsid wsp:val=&quot;42B26C49&quot;/&gt;&lt;wsp:rsid wsp:val=&quot;42C262F9&quot;/&gt;&lt;wsp:rsid wsp:val=&quot;42CB1615&quot;/&gt;&lt;wsp:rsid wsp:val=&quot;42F700F3&quot;/&gt;&lt;wsp:rsid wsp:val=&quot;43246925&quot;/&gt;&lt;wsp:rsid wsp:val=&quot;433A6FE6&quot;/&gt;&lt;wsp:rsid wsp:val=&quot;433F68C2&quot;/&gt;&lt;wsp:rsid wsp:val=&quot;43480868&quot;/&gt;&lt;wsp:rsid wsp:val=&quot;4350713C&quot;/&gt;&lt;wsp:rsid wsp:val=&quot;436653E0&quot;/&gt;&lt;wsp:rsid wsp:val=&quot;43C41769&quot;/&gt;&lt;wsp:rsid wsp:val=&quot;43C4431A&quot;/&gt;&lt;wsp:rsid wsp:val=&quot;43DE7689&quot;/&gt;&lt;wsp:rsid wsp:val=&quot;441843B1&quot;/&gt;&lt;wsp:rsid wsp:val=&quot;445D4484&quot;/&gt;&lt;wsp:rsid wsp:val=&quot;446052BB&quot;/&gt;&lt;wsp:rsid wsp:val=&quot;447944A8&quot;/&gt;&lt;wsp:rsid wsp:val=&quot;44A2233B&quot;/&gt;&lt;wsp:rsid wsp:val=&quot;44B951CC&quot;/&gt;&lt;wsp:rsid wsp:val=&quot;44C83831&quot;/&gt;&lt;wsp:rsid wsp:val=&quot;44CD14E0&quot;/&gt;&lt;wsp:rsid wsp:val=&quot;44D46AF1&quot;/&gt;&lt;wsp:rsid wsp:val=&quot;44ED5075&quot;/&gt;&lt;wsp:rsid wsp:val=&quot;44F20B0B&quot;/&gt;&lt;wsp:rsid wsp:val=&quot;450C0F8B&quot;/&gt;&lt;wsp:rsid wsp:val=&quot;452E5F4C&quot;/&gt;&lt;wsp:rsid wsp:val=&quot;45312019&quot;/&gt;&lt;wsp:rsid wsp:val=&quot;4542433A&quot;/&gt;&lt;wsp:rsid wsp:val=&quot;45612018&quot;/&gt;&lt;wsp:rsid wsp:val=&quot;45865177&quot;/&gt;&lt;wsp:rsid wsp:val=&quot;458946E9&quot;/&gt;&lt;wsp:rsid wsp:val=&quot;45A47C0E&quot;/&gt;&lt;wsp:rsid wsp:val=&quot;45B50DCF&quot;/&gt;&lt;wsp:rsid wsp:val=&quot;45BF1C37&quot;/&gt;&lt;wsp:rsid wsp:val=&quot;45D4285D&quot;/&gt;&lt;wsp:rsid wsp:val=&quot;45FE603B&quot;/&gt;&lt;wsp:rsid wsp:val=&quot;46420ADF&quot;/&gt;&lt;wsp:rsid wsp:val=&quot;4645515D&quot;/&gt;&lt;wsp:rsid wsp:val=&quot;46530F41&quot;/&gt;&lt;wsp:rsid wsp:val=&quot;46567C59&quot;/&gt;&lt;wsp:rsid wsp:val=&quot;46577FD6&quot;/&gt;&lt;wsp:rsid wsp:val=&quot;469356F0&quot;/&gt;&lt;wsp:rsid wsp:val=&quot;46A909CF&quot;/&gt;&lt;wsp:rsid wsp:val=&quot;46AE7C80&quot;/&gt;&lt;wsp:rsid wsp:val=&quot;46C5149B&quot;/&gt;&lt;wsp:rsid wsp:val=&quot;46CA1285&quot;/&gt;&lt;wsp:rsid wsp:val=&quot;46D6365B&quot;/&gt;&lt;wsp:rsid wsp:val=&quot;46D955A7&quot;/&gt;&lt;wsp:rsid wsp:val=&quot;47133957&quot;/&gt;&lt;wsp:rsid wsp:val=&quot;47190280&quot;/&gt;&lt;wsp:rsid wsp:val=&quot;47441D9C&quot;/&gt;&lt;wsp:rsid wsp:val=&quot;47590E68&quot;/&gt;&lt;wsp:rsid wsp:val=&quot;47746778&quot;/&gt;&lt;wsp:rsid wsp:val=&quot;47A07E0C&quot;/&gt;&lt;wsp:rsid wsp:val=&quot;47A3470D&quot;/&gt;&lt;wsp:rsid wsp:val=&quot;47BE31DC&quot;/&gt;&lt;wsp:rsid wsp:val=&quot;47DE1851&quot;/&gt;&lt;wsp:rsid wsp:val=&quot;47ED4DAE&quot;/&gt;&lt;wsp:rsid wsp:val=&quot;48375245&quot;/&gt;&lt;wsp:rsid wsp:val=&quot;48492097&quot;/&gt;&lt;wsp:rsid wsp:val=&quot;4870272E&quot;/&gt;&lt;wsp:rsid wsp:val=&quot;48BF7E6A&quot;/&gt;&lt;wsp:rsid wsp:val=&quot;48FD5F50&quot;/&gt;&lt;wsp:rsid wsp:val=&quot;491672C0&quot;/&gt;&lt;wsp:rsid wsp:val=&quot;4964207E&quot;/&gt;&lt;wsp:rsid wsp:val=&quot;49956317&quot;/&gt;&lt;wsp:rsid wsp:val=&quot;4998702C&quot;/&gt;&lt;wsp:rsid wsp:val=&quot;49B03482&quot;/&gt;&lt;wsp:rsid wsp:val=&quot;49C76C47&quot;/&gt;&lt;wsp:rsid wsp:val=&quot;49DC7715&quot;/&gt;&lt;wsp:rsid wsp:val=&quot;49EA48A9&quot;/&gt;&lt;wsp:rsid wsp:val=&quot;49FA2363&quot;/&gt;&lt;wsp:rsid wsp:val=&quot;4A023139&quot;/&gt;&lt;wsp:rsid wsp:val=&quot;4A575744&quot;/&gt;&lt;wsp:rsid wsp:val=&quot;4A6B35D8&quot;/&gt;&lt;wsp:rsid wsp:val=&quot;4A7B576F&quot;/&gt;&lt;wsp:rsid wsp:val=&quot;4AA22B3F&quot;/&gt;&lt;wsp:rsid wsp:val=&quot;4AAF3D92&quot;/&gt;&lt;wsp:rsid wsp:val=&quot;4ACD4DA3&quot;/&gt;&lt;wsp:rsid wsp:val=&quot;4AD37AEC&quot;/&gt;&lt;wsp:rsid wsp:val=&quot;4AD53535&quot;/&gt;&lt;wsp:rsid wsp:val=&quot;4ADA05A8&quot;/&gt;&lt;wsp:rsid wsp:val=&quot;4AF561A9&quot;/&gt;&lt;wsp:rsid wsp:val=&quot;4B3317B5&quot;/&gt;&lt;wsp:rsid wsp:val=&quot;4B825E47&quot;/&gt;&lt;wsp:rsid wsp:val=&quot;4B92328B&quot;/&gt;&lt;wsp:rsid wsp:val=&quot;4B9E690A&quot;/&gt;&lt;wsp:rsid wsp:val=&quot;4BA1474F&quot;/&gt;&lt;wsp:rsid wsp:val=&quot;4BD65BDD&quot;/&gt;&lt;wsp:rsid wsp:val=&quot;4C2751C1&quot;/&gt;&lt;wsp:rsid wsp:val=&quot;4C2A52AB&quot;/&gt;&lt;wsp:rsid wsp:val=&quot;4C38262B&quot;/&gt;&lt;wsp:rsid wsp:val=&quot;4C4A0649&quot;/&gt;&lt;wsp:rsid wsp:val=&quot;4C5C350E&quot;/&gt;&lt;wsp:rsid wsp:val=&quot;4C6677BD&quot;/&gt;&lt;wsp:rsid wsp:val=&quot;4C7E5ECA&quot;/&gt;&lt;wsp:rsid wsp:val=&quot;4C835502&quot;/&gt;&lt;wsp:rsid wsp:val=&quot;4C863BBC&quot;/&gt;&lt;wsp:rsid wsp:val=&quot;4C876AA5&quot;/&gt;&lt;wsp:rsid wsp:val=&quot;4C8C4593&quot;/&gt;&lt;wsp:rsid wsp:val=&quot;4C9343BD&quot;/&gt;&lt;wsp:rsid wsp:val=&quot;4CCA3E28&quot;/&gt;&lt;wsp:rsid wsp:val=&quot;4CE8053D&quot;/&gt;&lt;wsp:rsid wsp:val=&quot;4CFF1CCC&quot;/&gt;&lt;wsp:rsid wsp:val=&quot;4D0E00FB&quot;/&gt;&lt;wsp:rsid wsp:val=&quot;4D1464C2&quot;/&gt;&lt;wsp:rsid wsp:val=&quot;4D176606&quot;/&gt;&lt;wsp:rsid wsp:val=&quot;4D1E0754&quot;/&gt;&lt;wsp:rsid wsp:val=&quot;4D8C4CF0&quot;/&gt;&lt;wsp:rsid wsp:val=&quot;4DAA27CC&quot;/&gt;&lt;wsp:rsid wsp:val=&quot;4DDA22BC&quot;/&gt;&lt;wsp:rsid wsp:val=&quot;4DE42935&quot;/&gt;&lt;wsp:rsid wsp:val=&quot;4DE436CA&quot;/&gt;&lt;wsp:rsid wsp:val=&quot;4DEC4FB0&quot;/&gt;&lt;wsp:rsid wsp:val=&quot;4DF93D6B&quot;/&gt;&lt;wsp:rsid wsp:val=&quot;4DFC139B&quot;/&gt;&lt;wsp:rsid wsp:val=&quot;4E075D8A&quot;/&gt;&lt;wsp:rsid wsp:val=&quot;4E6B3FDE&quot;/&gt;&lt;wsp:rsid wsp:val=&quot;4E854252&quot;/&gt;&lt;wsp:rsid wsp:val=&quot;4EC00FAD&quot;/&gt;&lt;wsp:rsid wsp:val=&quot;4ED473AF&quot;/&gt;&lt;wsp:rsid wsp:val=&quot;4EF4649C&quot;/&gt;&lt;wsp:rsid wsp:val=&quot;4F383A50&quot;/&gt;&lt;wsp:rsid wsp:val=&quot;4F5A49E3&quot;/&gt;&lt;wsp:rsid wsp:val=&quot;4F5A5B9F&quot;/&gt;&lt;wsp:rsid wsp:val=&quot;4F7D1ABD&quot;/&gt;&lt;wsp:rsid wsp:val=&quot;4F7D7912&quot;/&gt;&lt;wsp:rsid wsp:val=&quot;4F9843DC&quot;/&gt;&lt;wsp:rsid wsp:val=&quot;4FAB3C5C&quot;/&gt;&lt;wsp:rsid wsp:val=&quot;4FC62A8C&quot;/&gt;&lt;wsp:rsid wsp:val=&quot;4FCB4E90&quot;/&gt;&lt;wsp:rsid wsp:val=&quot;4FD50463&quot;/&gt;&lt;wsp:rsid wsp:val=&quot;4FE20F0D&quot;/&gt;&lt;wsp:rsid wsp:val=&quot;4FE51552&quot;/&gt;&lt;wsp:rsid wsp:val=&quot;502B5144&quot;/&gt;&lt;wsp:rsid wsp:val=&quot;50396F9D&quot;/&gt;&lt;wsp:rsid wsp:val=&quot;50504C4B&quot;/&gt;&lt;wsp:rsid wsp:val=&quot;50506B47&quot;/&gt;&lt;wsp:rsid wsp:val=&quot;50571C6B&quot;/&gt;&lt;wsp:rsid wsp:val=&quot;506043DF&quot;/&gt;&lt;wsp:rsid wsp:val=&quot;50720014&quot;/&gt;&lt;wsp:rsid wsp:val=&quot;507278F3&quot;/&gt;&lt;wsp:rsid wsp:val=&quot;509C6E7C&quot;/&gt;&lt;wsp:rsid wsp:val=&quot;50BE5FC4&quot;/&gt;&lt;wsp:rsid wsp:val=&quot;50C578A1&quot;/&gt;&lt;wsp:rsid wsp:val=&quot;50D843A7&quot;/&gt;&lt;wsp:rsid wsp:val=&quot;511E491B&quot;/&gt;&lt;wsp:rsid wsp:val=&quot;513503CB&quot;/&gt;&lt;wsp:rsid wsp:val=&quot;51377CA4&quot;/&gt;&lt;wsp:rsid wsp:val=&quot;515735C5&quot;/&gt;&lt;wsp:rsid wsp:val=&quot;5162104E&quot;/&gt;&lt;wsp:rsid wsp:val=&quot;517F63A5&quot;/&gt;&lt;wsp:rsid wsp:val=&quot;518A72F6&quot;/&gt;&lt;wsp:rsid wsp:val=&quot;51BB71BA&quot;/&gt;&lt;wsp:rsid wsp:val=&quot;51C302F9&quot;/&gt;&lt;wsp:rsid wsp:val=&quot;51D955B1&quot;/&gt;&lt;wsp:rsid wsp:val=&quot;520D05D8&quot;/&gt;&lt;wsp:rsid wsp:val=&quot;52644433&quot;/&gt;&lt;wsp:rsid wsp:val=&quot;52742E3B&quot;/&gt;&lt;wsp:rsid wsp:val=&quot;528554A3&quot;/&gt;&lt;wsp:rsid wsp:val=&quot;52BA4671&quot;/&gt;&lt;wsp:rsid wsp:val=&quot;52D67FBF&quot;/&gt;&lt;wsp:rsid wsp:val=&quot;52DF3D59&quot;/&gt;&lt;wsp:rsid wsp:val=&quot;52EB0123&quot;/&gt;&lt;wsp:rsid wsp:val=&quot;52F33151&quot;/&gt;&lt;wsp:rsid wsp:val=&quot;531360E3&quot;/&gt;&lt;wsp:rsid wsp:val=&quot;53431963&quot;/&gt;&lt;wsp:rsid wsp:val=&quot;535A21E2&quot;/&gt;&lt;wsp:rsid wsp:val=&quot;535F247A&quot;/&gt;&lt;wsp:rsid wsp:val=&quot;53650B13&quot;/&gt;&lt;wsp:rsid wsp:val=&quot;537D5355&quot;/&gt;&lt;wsp:rsid wsp:val=&quot;53A039CC&quot;/&gt;&lt;wsp:rsid wsp:val=&quot;53A1505A&quot;/&gt;&lt;wsp:rsid wsp:val=&quot;53AE2E6D&quot;/&gt;&lt;wsp:rsid wsp:val=&quot;53BC0DA3&quot;/&gt;&lt;wsp:rsid wsp:val=&quot;53DC19E2&quot;/&gt;&lt;wsp:rsid wsp:val=&quot;54063E08&quot;/&gt;&lt;wsp:rsid wsp:val=&quot;542B49D5&quot;/&gt;&lt;wsp:rsid wsp:val=&quot;542D56AA&quot;/&gt;&lt;wsp:rsid wsp:val=&quot;543437E8&quot;/&gt;&lt;wsp:rsid wsp:val=&quot;544378D0&quot;/&gt;&lt;wsp:rsid wsp:val=&quot;544E7D4B&quot;/&gt;&lt;wsp:rsid wsp:val=&quot;548129B1&quot;/&gt;&lt;wsp:rsid wsp:val=&quot;549C24E3&quot;/&gt;&lt;wsp:rsid wsp:val=&quot;54A60641&quot;/&gt;&lt;wsp:rsid wsp:val=&quot;54F73313&quot;/&gt;&lt;wsp:rsid wsp:val=&quot;54F80955&quot;/&gt;&lt;wsp:rsid wsp:val=&quot;54FF336C&quot;/&gt;&lt;wsp:rsid wsp:val=&quot;552A5B5D&quot;/&gt;&lt;wsp:rsid wsp:val=&quot;555170A7&quot;/&gt;&lt;wsp:rsid wsp:val=&quot;557260F9&quot;/&gt;&lt;wsp:rsid wsp:val=&quot;5587536D&quot;/&gt;&lt;wsp:rsid wsp:val=&quot;55925D73&quot;/&gt;&lt;wsp:rsid wsp:val=&quot;559308F0&quot;/&gt;&lt;wsp:rsid wsp:val=&quot;559B174B&quot;/&gt;&lt;wsp:rsid wsp:val=&quot;55BA25B9&quot;/&gt;&lt;wsp:rsid wsp:val=&quot;55C220B3&quot;/&gt;&lt;wsp:rsid wsp:val=&quot;55CE0CF4&quot;/&gt;&lt;wsp:rsid wsp:val=&quot;55DE4BC5&quot;/&gt;&lt;wsp:rsid wsp:val=&quot;56225429&quot;/&gt;&lt;wsp:rsid wsp:val=&quot;564B23A9&quot;/&gt;&lt;wsp:rsid wsp:val=&quot;56527843&quot;/&gt;&lt;wsp:rsid wsp:val=&quot;56575382&quot;/&gt;&lt;wsp:rsid wsp:val=&quot;56A33B63&quot;/&gt;&lt;wsp:rsid wsp:val=&quot;56B22A9C&quot;/&gt;&lt;wsp:rsid wsp:val=&quot;56CA6906&quot;/&gt;&lt;wsp:rsid wsp:val=&quot;56EC1880&quot;/&gt;&lt;wsp:rsid wsp:val=&quot;574B77C5&quot;/&gt;&lt;wsp:rsid wsp:val=&quot;57541EDD&quot;/&gt;&lt;wsp:rsid wsp:val=&quot;57756AF8&quot;/&gt;&lt;wsp:rsid wsp:val=&quot;577C7C9E&quot;/&gt;&lt;wsp:rsid wsp:val=&quot;57AC118F&quot;/&gt;&lt;wsp:rsid wsp:val=&quot;57B72A76&quot;/&gt;&lt;wsp:rsid wsp:val=&quot;57BE21D9&quot;/&gt;&lt;wsp:rsid wsp:val=&quot;57C3426C&quot;/&gt;&lt;wsp:rsid wsp:val=&quot;57CE1F93&quot;/&gt;&lt;wsp:rsid wsp:val=&quot;57FA52F9&quot;/&gt;&lt;wsp:rsid wsp:val=&quot;58356912&quot;/&gt;&lt;wsp:rsid wsp:val=&quot;584F05EC&quot;/&gt;&lt;wsp:rsid wsp:val=&quot;58546F4F&quot;/&gt;&lt;wsp:rsid wsp:val=&quot;58566A1B&quot;/&gt;&lt;wsp:rsid wsp:val=&quot;588743D1&quot;/&gt;&lt;wsp:rsid wsp:val=&quot;5887701A&quot;/&gt;&lt;wsp:rsid wsp:val=&quot;58A70673&quot;/&gt;&lt;wsp:rsid wsp:val=&quot;58D12203&quot;/&gt;&lt;wsp:rsid wsp:val=&quot;592D2BCC&quot;/&gt;&lt;wsp:rsid wsp:val=&quot;59904C69&quot;/&gt;&lt;wsp:rsid wsp:val=&quot;59A4450F&quot;/&gt;&lt;wsp:rsid wsp:val=&quot;59A965CE&quot;/&gt;&lt;wsp:rsid wsp:val=&quot;59B04227&quot;/&gt;&lt;wsp:rsid wsp:val=&quot;59C0439F&quot;/&gt;&lt;wsp:rsid wsp:val=&quot;59DE6165&quot;/&gt;&lt;wsp:rsid wsp:val=&quot;59E902BB&quot;/&gt;&lt;wsp:rsid wsp:val=&quot;5A021FF8&quot;/&gt;&lt;wsp:rsid wsp:val=&quot;5A0672E3&quot;/&gt;&lt;wsp:rsid wsp:val=&quot;5A6F512A&quot;/&gt;&lt;wsp:rsid wsp:val=&quot;5AB339E1&quot;/&gt;&lt;wsp:rsid wsp:val=&quot;5ABE2233&quot;/&gt;&lt;wsp:rsid wsp:val=&quot;5AC411DC&quot;/&gt;&lt;wsp:rsid wsp:val=&quot;5AD17EF9&quot;/&gt;&lt;wsp:rsid wsp:val=&quot;5ADF1397&quot;/&gt;&lt;wsp:rsid wsp:val=&quot;5B193AC5&quot;/&gt;&lt;wsp:rsid wsp:val=&quot;5B1B4211&quot;/&gt;&lt;wsp:rsid wsp:val=&quot;5B3C194A&quot;/&gt;&lt;wsp:rsid wsp:val=&quot;5B5756A5&quot;/&gt;&lt;wsp:rsid wsp:val=&quot;5B5F4BB1&quot;/&gt;&lt;wsp:rsid wsp:val=&quot;5B631000&quot;/&gt;&lt;wsp:rsid wsp:val=&quot;5B6E46C9&quot;/&gt;&lt;wsp:rsid wsp:val=&quot;5B8709CC&quot;/&gt;&lt;wsp:rsid wsp:val=&quot;5B9F7767&quot;/&gt;&lt;wsp:rsid wsp:val=&quot;5BB12E16&quot;/&gt;&lt;wsp:rsid wsp:val=&quot;5BD76B7F&quot;/&gt;&lt;wsp:rsid wsp:val=&quot;5BDB0425&quot;/&gt;&lt;wsp:rsid wsp:val=&quot;5BDF5D95&quot;/&gt;&lt;wsp:rsid wsp:val=&quot;5BF342C6&quot;/&gt;&lt;wsp:rsid wsp:val=&quot;5BFE7528&quot;/&gt;&lt;wsp:rsid wsp:val=&quot;5C3839C7&quot;/&gt;&lt;wsp:rsid wsp:val=&quot;5C8D61B2&quot;/&gt;&lt;wsp:rsid wsp:val=&quot;5C8D796A&quot;/&gt;&lt;wsp:rsid wsp:val=&quot;5C9726A9&quot;/&gt;&lt;wsp:rsid wsp:val=&quot;5C9756A8&quot;/&gt;&lt;wsp:rsid wsp:val=&quot;5C9D45C0&quot;/&gt;&lt;wsp:rsid wsp:val=&quot;5CB3647B&quot;/&gt;&lt;wsp:rsid wsp:val=&quot;5CC80F35&quot;/&gt;&lt;wsp:rsid wsp:val=&quot;5CC82ECB&quot;/&gt;&lt;wsp:rsid wsp:val=&quot;5CC94001&quot;/&gt;&lt;wsp:rsid wsp:val=&quot;5CEE3690&quot;/&gt;&lt;wsp:rsid wsp:val=&quot;5D211E8A&quot;/&gt;&lt;wsp:rsid wsp:val=&quot;5D4316C1&quot;/&gt;&lt;wsp:rsid wsp:val=&quot;5D831E8E&quot;/&gt;&lt;wsp:rsid wsp:val=&quot;5D8E2377&quot;/&gt;&lt;wsp:rsid wsp:val=&quot;5DAC4BE2&quot;/&gt;&lt;wsp:rsid wsp:val=&quot;5DD46C25&quot;/&gt;&lt;wsp:rsid wsp:val=&quot;5DE87F6C&quot;/&gt;&lt;wsp:rsid wsp:val=&quot;5DE963A9&quot;/&gt;&lt;wsp:rsid wsp:val=&quot;5DEC0101&quot;/&gt;&lt;wsp:rsid wsp:val=&quot;5E0F4BB3&quot;/&gt;&lt;wsp:rsid wsp:val=&quot;5E0F513A&quot;/&gt;&lt;wsp:rsid wsp:val=&quot;5E1C31DE&quot;/&gt;&lt;wsp:rsid wsp:val=&quot;5E2467F1&quot;/&gt;&lt;wsp:rsid wsp:val=&quot;5E51638D&quot;/&gt;&lt;wsp:rsid wsp:val=&quot;5E5365DF&quot;/&gt;&lt;wsp:rsid wsp:val=&quot;5E745C12&quot;/&gt;&lt;wsp:rsid wsp:val=&quot;5EA23996&quot;/&gt;&lt;wsp:rsid wsp:val=&quot;5EA509E8&quot;/&gt;&lt;wsp:rsid wsp:val=&quot;5EFF2886&quot;/&gt;&lt;wsp:rsid wsp:val=&quot;5F0E185F&quot;/&gt;&lt;wsp:rsid wsp:val=&quot;5F17535D&quot;/&gt;&lt;wsp:rsid wsp:val=&quot;5F1A2B43&quot;/&gt;&lt;wsp:rsid wsp:val=&quot;5F470F5D&quot;/&gt;&lt;wsp:rsid wsp:val=&quot;5F4B6660&quot;/&gt;&lt;wsp:rsid wsp:val=&quot;5F8C18A8&quot;/&gt;&lt;wsp:rsid wsp:val=&quot;5F8D3AEB&quot;/&gt;&lt;wsp:rsid wsp:val=&quot;5FB837BB&quot;/&gt;&lt;wsp:rsid wsp:val=&quot;5FC60E15&quot;/&gt;&lt;wsp:rsid wsp:val=&quot;5FCC18F1&quot;/&gt;&lt;wsp:rsid wsp:val=&quot;5FE97D4A&quot;/&gt;&lt;wsp:rsid wsp:val=&quot;5FF208F1&quot;/&gt;&lt;wsp:rsid wsp:val=&quot;5FF805BE&quot;/&gt;&lt;wsp:rsid wsp:val=&quot;602D0366&quot;/&gt;&lt;wsp:rsid wsp:val=&quot;60353FC3&quot;/&gt;&lt;wsp:rsid wsp:val=&quot;60473E79&quot;/&gt;&lt;wsp:rsid wsp:val=&quot;60530796&quot;/&gt;&lt;wsp:rsid wsp:val=&quot;60560206&quot;/&gt;&lt;wsp:rsid wsp:val=&quot;606A1D50&quot;/&gt;&lt;wsp:rsid wsp:val=&quot;608A0236&quot;/&gt;&lt;wsp:rsid wsp:val=&quot;609B59DA&quot;/&gt;&lt;wsp:rsid wsp:val=&quot;60A21C1A&quot;/&gt;&lt;wsp:rsid wsp:val=&quot;60A26C67&quot;/&gt;&lt;wsp:rsid wsp:val=&quot;60AC5AE7&quot;/&gt;&lt;wsp:rsid wsp:val=&quot;60B10A09&quot;/&gt;&lt;wsp:rsid wsp:val=&quot;60CC405A&quot;/&gt;&lt;wsp:rsid wsp:val=&quot;60D96E31&quot;/&gt;&lt;wsp:rsid wsp:val=&quot;610F624D&quot;/&gt;&lt;wsp:rsid wsp:val=&quot;61414481&quot;/&gt;&lt;wsp:rsid wsp:val=&quot;615614C0&quot;/&gt;&lt;wsp:rsid wsp:val=&quot;61965BB0&quot;/&gt;&lt;wsp:rsid wsp:val=&quot;61A5574C&quot;/&gt;&lt;wsp:rsid wsp:val=&quot;61E215D8&quot;/&gt;&lt;wsp:rsid wsp:val=&quot;61EC00DF&quot;/&gt;&lt;wsp:rsid wsp:val=&quot;621B3775&quot;/&gt;&lt;wsp:rsid wsp:val=&quot;62364782&quot;/&gt;&lt;wsp:rsid wsp:val=&quot;62366BA2&quot;/&gt;&lt;wsp:rsid wsp:val=&quot;624176DA&quot;/&gt;&lt;wsp:rsid wsp:val=&quot;62685BF6&quot;/&gt;&lt;wsp:rsid wsp:val=&quot;62BB185C&quot;/&gt;&lt;wsp:rsid wsp:val=&quot;62C641F8&quot;/&gt;&lt;wsp:rsid wsp:val=&quot;62C71315&quot;/&gt;&lt;wsp:rsid wsp:val=&quot;63017EF8&quot;/&gt;&lt;wsp:rsid wsp:val=&quot;63180F5D&quot;/&gt;&lt;wsp:rsid wsp:val=&quot;631B5933&quot;/&gt;&lt;wsp:rsid wsp:val=&quot;634F0BD2&quot;/&gt;&lt;wsp:rsid wsp:val=&quot;6394356A&quot;/&gt;&lt;wsp:rsid wsp:val=&quot;63A156ED&quot;/&gt;&lt;wsp:rsid wsp:val=&quot;63C61B2C&quot;/&gt;&lt;wsp:rsid wsp:val=&quot;63D40BE9&quot;/&gt;&lt;wsp:rsid wsp:val=&quot;63F73B2E&quot;/&gt;&lt;wsp:rsid wsp:val=&quot;640F5161&quot;/&gt;&lt;wsp:rsid wsp:val=&quot;64102431&quot;/&gt;&lt;wsp:rsid wsp:val=&quot;64227B0E&quot;/&gt;&lt;wsp:rsid wsp:val=&quot;64246AC7&quot;/&gt;&lt;wsp:rsid wsp:val=&quot;64484336&quot;/&gt;&lt;wsp:rsid wsp:val=&quot;644A1536&quot;/&gt;&lt;wsp:rsid wsp:val=&quot;64524FC6&quot;/&gt;&lt;wsp:rsid wsp:val=&quot;64A5243A&quot;/&gt;&lt;wsp:rsid wsp:val=&quot;64A85387&quot;/&gt;&lt;wsp:rsid wsp:val=&quot;64F17E22&quot;/&gt;&lt;wsp:rsid wsp:val=&quot;64F531DE&quot;/&gt;&lt;wsp:rsid wsp:val=&quot;65014A5A&quot;/&gt;&lt;wsp:rsid wsp:val=&quot;65373578&quot;/&gt;&lt;wsp:rsid wsp:val=&quot;657D3ADE&quot;/&gt;&lt;wsp:rsid wsp:val=&quot;658743EB&quot;/&gt;&lt;wsp:rsid wsp:val=&quot;65D27F9F&quot;/&gt;&lt;wsp:rsid wsp:val=&quot;65D846D8&quot;/&gt;&lt;wsp:rsid wsp:val=&quot;65EE5014&quot;/&gt;&lt;wsp:rsid wsp:val=&quot;66530A01&quot;/&gt;&lt;wsp:rsid wsp:val=&quot;668F7929&quot;/&gt;&lt;wsp:rsid wsp:val=&quot;6693207A&quot;/&gt;&lt;wsp:rsid wsp:val=&quot;66F022E2&quot;/&gt;&lt;wsp:rsid wsp:val=&quot;670453D3&quot;/&gt;&lt;wsp:rsid wsp:val=&quot;671F124A&quot;/&gt;&lt;wsp:rsid wsp:val=&quot;674F6EA5&quot;/&gt;&lt;wsp:rsid wsp:val=&quot;67566A3D&quot;/&gt;&lt;wsp:rsid wsp:val=&quot;677A33C6&quot;/&gt;&lt;wsp:rsid wsp:val=&quot;679C01D1&quot;/&gt;&lt;wsp:rsid wsp:val=&quot;67C502E8&quot;/&gt;&lt;wsp:rsid wsp:val=&quot;67E56070&quot;/&gt;&lt;wsp:rsid wsp:val=&quot;681E3EAB&quot;/&gt;&lt;wsp:rsid wsp:val=&quot;681F6961&quot;/&gt;&lt;wsp:rsid wsp:val=&quot;6820044D&quot;/&gt;&lt;wsp:rsid wsp:val=&quot;68610A2F&quot;/&gt;&lt;wsp:rsid wsp:val=&quot;68696A3F&quot;/&gt;&lt;wsp:rsid wsp:val=&quot;68747C01&quot;/&gt;&lt;wsp:rsid wsp:val=&quot;68805514&quot;/&gt;&lt;wsp:rsid wsp:val=&quot;688614DF&quot;/&gt;&lt;wsp:rsid wsp:val=&quot;69316E2F&quot;/&gt;&lt;wsp:rsid wsp:val=&quot;694B18A4&quot;/&gt;&lt;wsp:rsid wsp:val=&quot;694C74CE&quot;/&gt;&lt;wsp:rsid wsp:val=&quot;694E2071&quot;/&gt;&lt;wsp:rsid wsp:val=&quot;69766163&quot;/&gt;&lt;wsp:rsid wsp:val=&quot;697A3B33&quot;/&gt;&lt;wsp:rsid wsp:val=&quot;69D44760&quot;/&gt;&lt;wsp:rsid wsp:val=&quot;6A1B6189&quot;/&gt;&lt;wsp:rsid wsp:val=&quot;6A2975E2&quot;/&gt;&lt;wsp:rsid wsp:val=&quot;6A3171E4&quot;/&gt;&lt;wsp:rsid wsp:val=&quot;6A520EC7&quot;/&gt;&lt;wsp:rsid wsp:val=&quot;6A56334F&quot;/&gt;&lt;wsp:rsid wsp:val=&quot;6A82313E&quot;/&gt;&lt;wsp:rsid wsp:val=&quot;6A8D303F&quot;/&gt;&lt;wsp:rsid wsp:val=&quot;6A99447C&quot;/&gt;&lt;wsp:rsid wsp:val=&quot;6AA93443&quot;/&gt;&lt;wsp:rsid wsp:val=&quot;6AC01CDE&quot;/&gt;&lt;wsp:rsid wsp:val=&quot;6AC3619D&quot;/&gt;&lt;wsp:rsid wsp:val=&quot;6AF87E20&quot;/&gt;&lt;wsp:rsid wsp:val=&quot;6B101A50&quot;/&gt;&lt;wsp:rsid wsp:val=&quot;6B146BE1&quot;/&gt;&lt;wsp:rsid wsp:val=&quot;6B2F33D4&quot;/&gt;&lt;wsp:rsid wsp:val=&quot;6B322639&quot;/&gt;&lt;wsp:rsid wsp:val=&quot;6B603C68&quot;/&gt;&lt;wsp:rsid wsp:val=&quot;6B6E4076&quot;/&gt;&lt;wsp:rsid wsp:val=&quot;6B71220E&quot;/&gt;&lt;wsp:rsid wsp:val=&quot;6BC526EB&quot;/&gt;&lt;wsp:rsid wsp:val=&quot;6BF21F10&quot;/&gt;&lt;wsp:rsid wsp:val=&quot;6C1175B2&quot;/&gt;&lt;wsp:rsid wsp:val=&quot;6C290053&quot;/&gt;&lt;wsp:rsid wsp:val=&quot;6C5A056D&quot;/&gt;&lt;wsp:rsid wsp:val=&quot;6C5D31E8&quot;/&gt;&lt;wsp:rsid wsp:val=&quot;6C636C38&quot;/&gt;&lt;wsp:rsid wsp:val=&quot;6C6A4767&quot;/&gt;&lt;wsp:rsid wsp:val=&quot;6C8E0259&quot;/&gt;&lt;wsp:rsid wsp:val=&quot;6CD71E7C&quot;/&gt;&lt;wsp:rsid wsp:val=&quot;6CFC6EC9&quot;/&gt;&lt;wsp:rsid wsp:val=&quot;6D095787&quot;/&gt;&lt;wsp:rsid wsp:val=&quot;6D184E0F&quot;/&gt;&lt;wsp:rsid wsp:val=&quot;6D3A13F1&quot;/&gt;&lt;wsp:rsid wsp:val=&quot;6D3C5590&quot;/&gt;&lt;wsp:rsid wsp:val=&quot;6DAD4C96&quot;/&gt;&lt;wsp:rsid wsp:val=&quot;6DB34098&quot;/&gt;&lt;wsp:rsid wsp:val=&quot;6DB545B6&quot;/&gt;&lt;wsp:rsid wsp:val=&quot;6DE02FB4&quot;/&gt;&lt;wsp:rsid wsp:val=&quot;6DF4532F&quot;/&gt;&lt;wsp:rsid wsp:val=&quot;6E514CED&quot;/&gt;&lt;wsp:rsid wsp:val=&quot;6E9C6EE9&quot;/&gt;&lt;wsp:rsid wsp:val=&quot;6EB563D5&quot;/&gt;&lt;wsp:rsid wsp:val=&quot;6EBF1B71&quot;/&gt;&lt;wsp:rsid wsp:val=&quot;6EC9126E&quot;/&gt;&lt;wsp:rsid wsp:val=&quot;6ED8494E&quot;/&gt;&lt;wsp:rsid wsp:val=&quot;6ED92677&quot;/&gt;&lt;wsp:rsid wsp:val=&quot;6EE51818&quot;/&gt;&lt;wsp:rsid wsp:val=&quot;6F225983&quot;/&gt;&lt;wsp:rsid wsp:val=&quot;6F52451C&quot;/&gt;&lt;wsp:rsid wsp:val=&quot;6F825382&quot;/&gt;&lt;wsp:rsid wsp:val=&quot;6F9C1520&quot;/&gt;&lt;wsp:rsid wsp:val=&quot;6FC27343&quot;/&gt;&lt;wsp:rsid wsp:val=&quot;6FFC5590&quot;/&gt;&lt;wsp:rsid wsp:val=&quot;7000135F&quot;/&gt;&lt;wsp:rsid wsp:val=&quot;70113419&quot;/&gt;&lt;wsp:rsid wsp:val=&quot;701B6D4C&quot;/&gt;&lt;wsp:rsid wsp:val=&quot;706D1DD0&quot;/&gt;&lt;wsp:rsid wsp:val=&quot;70856B87&quot;/&gt;&lt;wsp:rsid wsp:val=&quot;709324E2&quot;/&gt;&lt;wsp:rsid wsp:val=&quot;70D527EE&quot;/&gt;&lt;wsp:rsid wsp:val=&quot;70F61AB1&quot;/&gt;&lt;wsp:rsid wsp:val=&quot;70FC4AF5&quot;/&gt;&lt;wsp:rsid wsp:val=&quot;711A29CE&quot;/&gt;&lt;wsp:rsid wsp:val=&quot;714F21DF&quot;/&gt;&lt;wsp:rsid wsp:val=&quot;715542B0&quot;/&gt;&lt;wsp:rsid wsp:val=&quot;7158373C&quot;/&gt;&lt;wsp:rsid wsp:val=&quot;715B5300&quot;/&gt;&lt;wsp:rsid wsp:val=&quot;71723179&quot;/&gt;&lt;wsp:rsid wsp:val=&quot;71776B23&quot;/&gt;&lt;wsp:rsid wsp:val=&quot;71C87CC1&quot;/&gt;&lt;wsp:rsid wsp:val=&quot;71D06E15&quot;/&gt;&lt;wsp:rsid wsp:val=&quot;71D27F8A&quot;/&gt;&lt;wsp:rsid wsp:val=&quot;71E02CD2&quot;/&gt;&lt;wsp:rsid wsp:val=&quot;71E05D29&quot;/&gt;&lt;wsp:rsid wsp:val=&quot;721869DD&quot;/&gt;&lt;wsp:rsid wsp:val=&quot;722E5181&quot;/&gt;&lt;wsp:rsid wsp:val=&quot;723C33B7&quot;/&gt;&lt;wsp:rsid wsp:val=&quot;72553024&quot;/&gt;&lt;wsp:rsid wsp:val=&quot;726D0064&quot;/&gt;&lt;wsp:rsid wsp:val=&quot;727066A6&quot;/&gt;&lt;wsp:rsid wsp:val=&quot;72935E30&quot;/&gt;&lt;wsp:rsid wsp:val=&quot;72A30432&quot;/&gt;&lt;wsp:rsid wsp:val=&quot;72D5610B&quot;/&gt;&lt;wsp:rsid wsp:val=&quot;72EB1633&quot;/&gt;&lt;wsp:rsid wsp:val=&quot;72FB35B3&quot;/&gt;&lt;wsp:rsid wsp:val=&quot;73122968&quot;/&gt;&lt;wsp:rsid wsp:val=&quot;731F5D5E&quot;/&gt;&lt;wsp:rsid wsp:val=&quot;734E533F&quot;/&gt;&lt;wsp:rsid wsp:val=&quot;734F5974&quot;/&gt;&lt;wsp:rsid wsp:val=&quot;737E53C6&quot;/&gt;&lt;wsp:rsid wsp:val=&quot;737F74D1&quot;/&gt;&lt;wsp:rsid wsp:val=&quot;73C46AED&quot;/&gt;&lt;wsp:rsid wsp:val=&quot;73C51AD5&quot;/&gt;&lt;wsp:rsid wsp:val=&quot;73E734E4&quot;/&gt;&lt;wsp:rsid wsp:val=&quot;74110246&quot;/&gt;&lt;wsp:rsid wsp:val=&quot;741B0872&quot;/&gt;&lt;wsp:rsid wsp:val=&quot;741E793C&quot;/&gt;&lt;wsp:rsid wsp:val=&quot;745E3944&quot;/&gt;&lt;wsp:rsid wsp:val=&quot;749575E0&quot;/&gt;&lt;wsp:rsid wsp:val=&quot;74A83064&quot;/&gt;&lt;wsp:rsid wsp:val=&quot;74B648EA&quot;/&gt;&lt;wsp:rsid wsp:val=&quot;74CA1C00&quot;/&gt;&lt;wsp:rsid wsp:val=&quot;752D3222&quot;/&gt;&lt;wsp:rsid wsp:val=&quot;75355B19&quot;/&gt;&lt;wsp:rsid wsp:val=&quot;754D4C43&quot;/&gt;&lt;wsp:rsid wsp:val=&quot;75565028&quot;/&gt;&lt;wsp:rsid wsp:val=&quot;755F1493&quot;/&gt;&lt;wsp:rsid wsp:val=&quot;75D73A51&quot;/&gt;&lt;wsp:rsid wsp:val=&quot;7635099D&quot;/&gt;&lt;wsp:rsid wsp:val=&quot;76380FC0&quot;/&gt;&lt;wsp:rsid wsp:val=&quot;767A2A48&quot;/&gt;&lt;wsp:rsid wsp:val=&quot;76817C8A&quot;/&gt;&lt;wsp:rsid wsp:val=&quot;769F08F1&quot;/&gt;&lt;wsp:rsid wsp:val=&quot;76F7336F&quot;/&gt;&lt;wsp:rsid wsp:val=&quot;770463D2&quot;/&gt;&lt;wsp:rsid wsp:val=&quot;77374635&quot;/&gt;&lt;wsp:rsid wsp:val=&quot;7747776A&quot;/&gt;&lt;wsp:rsid wsp:val=&quot;77607A96&quot;/&gt;&lt;wsp:rsid wsp:val=&quot;77615540&quot;/&gt;&lt;wsp:rsid wsp:val=&quot;77762421&quot;/&gt;&lt;wsp:rsid wsp:val=&quot;777A5F64&quot;/&gt;&lt;wsp:rsid wsp:val=&quot;778B7BC0&quot;/&gt;&lt;wsp:rsid wsp:val=&quot;77B56B1F&quot;/&gt;&lt;wsp:rsid wsp:val=&quot;77B928C7&quot;/&gt;&lt;wsp:rsid wsp:val=&quot;780F09F4&quot;/&gt;&lt;wsp:rsid wsp:val=&quot;784E6805&quot;/&gt;&lt;wsp:rsid wsp:val=&quot;78507D81&quot;/&gt;&lt;wsp:rsid wsp:val=&quot;78A90480&quot;/&gt;&lt;wsp:rsid wsp:val=&quot;78AF67C2&quot;/&gt;&lt;wsp:rsid wsp:val=&quot;78B60207&quot;/&gt;&lt;wsp:rsid wsp:val=&quot;78FA2438&quot;/&gt;&lt;wsp:rsid wsp:val=&quot;7955034B&quot;/&gt;&lt;wsp:rsid wsp:val=&quot;796C12CC&quot;/&gt;&lt;wsp:rsid wsp:val=&quot;796D7B23&quot;/&gt;&lt;wsp:rsid wsp:val=&quot;798F7D2B&quot;/&gt;&lt;wsp:rsid wsp:val=&quot;79C146B8&quot;/&gt;&lt;wsp:rsid wsp:val=&quot;79CD3F3A&quot;/&gt;&lt;wsp:rsid wsp:val=&quot;79F0148E&quot;/&gt;&lt;wsp:rsid wsp:val=&quot;7A203EE3&quot;/&gt;&lt;wsp:rsid wsp:val=&quot;7A364017&quot;/&gt;&lt;wsp:rsid wsp:val=&quot;7A680398&quot;/&gt;&lt;wsp:rsid wsp:val=&quot;7A7C4199&quot;/&gt;&lt;wsp:rsid wsp:val=&quot;7A8165EB&quot;/&gt;&lt;wsp:rsid wsp:val=&quot;7A8265E1&quot;/&gt;&lt;wsp:rsid wsp:val=&quot;7A952B19&quot;/&gt;&lt;wsp:rsid wsp:val=&quot;7A9F579C&quot;/&gt;&lt;wsp:rsid wsp:val=&quot;7AEB5B8D&quot;/&gt;&lt;wsp:rsid wsp:val=&quot;7B48332C&quot;/&gt;&lt;wsp:rsid wsp:val=&quot;7B4917AC&quot;/&gt;&lt;wsp:rsid wsp:val=&quot;7B686D42&quot;/&gt;&lt;wsp:rsid wsp:val=&quot;7B841746&quot;/&gt;&lt;wsp:rsid wsp:val=&quot;7BC10335&quot;/&gt;&lt;wsp:rsid wsp:val=&quot;7C067289&quot;/&gt;&lt;wsp:rsid wsp:val=&quot;7C485F7E&quot;/&gt;&lt;wsp:rsid wsp:val=&quot;7C4D227B&quot;/&gt;&lt;wsp:rsid wsp:val=&quot;7C6C5AC7&quot;/&gt;&lt;wsp:rsid wsp:val=&quot;7C9B7160&quot;/&gt;&lt;wsp:rsid wsp:val=&quot;7CC2140F&quot;/&gt;&lt;wsp:rsid wsp:val=&quot;7CC6544B&quot;/&gt;&lt;wsp:rsid wsp:val=&quot;7CCC4769&quot;/&gt;&lt;wsp:rsid wsp:val=&quot;7D0239FF&quot;/&gt;&lt;wsp:rsid wsp:val=&quot;7D2C6362&quot;/&gt;&lt;wsp:rsid wsp:val=&quot;7D5E40CD&quot;/&gt;&lt;wsp:rsid wsp:val=&quot;7D615773&quot;/&gt;&lt;wsp:rsid wsp:val=&quot;7D8F1448&quot;/&gt;&lt;wsp:rsid wsp:val=&quot;7DC55CA1&quot;/&gt;&lt;wsp:rsid wsp:val=&quot;7DCD56F2&quot;/&gt;&lt;wsp:rsid wsp:val=&quot;7DE40A7A&quot;/&gt;&lt;wsp:rsid wsp:val=&quot;7E52238B&quot;/&gt;&lt;wsp:rsid wsp:val=&quot;7E5E60A6&quot;/&gt;&lt;wsp:rsid wsp:val=&quot;7EC40525&quot;/&gt;&lt;wsp:rsid wsp:val=&quot;7ECC0A8C&quot;/&gt;&lt;wsp:rsid wsp:val=&quot;7ECE4D51&quot;/&gt;&lt;wsp:rsid wsp:val=&quot;7EE24A9D&quot;/&gt;&lt;wsp:rsid wsp:val=&quot;7EF30024&quot;/&gt;&lt;wsp:rsid wsp:val=&quot;7EF76645&quot;/&gt;&lt;wsp:rsid wsp:val=&quot;7F001CE7&quot;/&gt;&lt;wsp:rsid wsp:val=&quot;7F1823D8&quot;/&gt;&lt;wsp:rsid wsp:val=&quot;7F1B083F&quot;/&gt;&lt;wsp:rsid wsp:val=&quot;7F300F8B&quot;/&gt;&lt;wsp:rsid wsp:val=&quot;7F326325&quot;/&gt;&lt;wsp:rsid wsp:val=&quot;7F5568A2&quot;/&gt;&lt;wsp:rsid wsp:val=&quot;7F6D6C1F&quot;/&gt;&lt;wsp:rsid wsp:val=&quot;7FB252A6&quot;/&gt;&lt;wsp:rsid wsp:val=&quot;7FE47E50&quot;/&gt;&lt;/wsp:rsids&gt;&lt;/w:docPr&gt;&lt;w:body&gt;&lt;wx:sect&gt;&lt;w:p wsp:rsidR=&quot;00000000&quot; wsp:rsidRDefault=&quot;00187102&quot; wsp:rsidP=&quot;00187102&quot;&gt;&lt;m:oMathPara&gt;&lt;m:oMath&gt;&lt;m:sSub&gt;&lt;m:sSubPr&gt;&lt;m:ctrlPr&gt;&lt;w:rPr&gt;&lt;w:rFonts w:ascii=&quot;Cambria Math&quot; w:h-ansi=&quot;Cambria Math&quot;/&gt;&lt;wx:font wx:val=&quot;Cambria Math&quot;/&gt;&lt;w:i/&gt;&lt;w:sz w:val=&quot;32&quot;/&gt;&lt;w:sz-cs w:val=&quot;32&quot;/&gt;&lt;/w:rPr&gt;&lt;/m:ctrlPr&gt;&lt;/m:sSubPr&gt;&lt;m:e&gt;&lt;m:r&gt;&lt;w:rPr&gt;&lt;w:rFonts w:ascii=&quot;Cambria Math&quot; w:h-ansi=&quot;Cambria Math&quot;/&gt;&lt;wx:font wx:val=&quot;Cambria Math&quot;/&gt;&lt;w:i/&gt;&lt;w:sz w:val=&quot;32&quot;/&gt;&lt;w:sz-cs w:val=&quot;32&quot;/&gt;&lt;/w:rPr&gt;&lt;m:t&gt;P&lt;/m:t&gt;&lt;/m:r&gt;&lt;/m:e&gt;&lt;m:sub&gt;&lt;m:r&gt;&lt;w:rPr&gt;&lt;w:rFonts w:ascii=&quot;Cambria Math&quot; w:h-ansi=&quot;Cambria Math&quot;/&gt;&lt;wx:font wx:val=&quot;Cambria Math&quot;/&gt;&lt;w:i/&gt;&lt;w:sz w:val=&quot;32&quot;/&gt;&lt;w:sz-cs w:val=&quot;32&quot;/&gt;&lt;/w:rPr&gt;&lt;m:t&gt;pH&lt;/m:t&gt;&lt;/m:r&gt;&lt;/m:sub&gt;&lt;/m:sSub&gt;&lt;m:r&gt;&lt;w:rPr&gt;&lt;w:rFonts w:ascii=&quot;Cambria Math&quot; w:h-ansi=&quot;Cambria Math&quot;/&gt;&lt;wx:font wx:val=&quot;Cambria Math&quot;/&gt;&lt;w:i/&gt;&lt;w:sz w:val=&quot;32&quot;/&gt;&lt;w:sz-cs w:val=&quot;32&quot;/&gt;&lt;/w:rPr&gt;&lt;m:t&gt;=&lt;/m:t&gt;&lt;/m:r&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7.0-pH&lt;/m:t&gt;&lt;/m:r&gt;&lt;/m:num&gt;&lt;m:den&gt;&lt;m:r&gt;&lt;w:rPr&gt;&lt;w:rFonts w:ascii=&quot;Cambria Math&quot; w:h-ansi=&quot;Cambria Math&quot;/&gt;&lt;wx:font wx:val=&quot;Cambria Math&quot;/&gt;&lt;w:i/&gt;&lt;w:sz w:val=&quot;32&quot;/&gt;&lt;w:sz-cs w:val=&quot;32&quot;/&gt;&lt;/w:rPr&gt;&lt;m:t&gt;7.0-&lt;/m:t&gt;&lt;/m:r&gt;&lt;m:sSub&gt;&lt;m:sSubPr&gt;&lt;m:ctrlPr&gt;&lt;w:rPr&gt;&lt;w:rFonts w:ascii=&quot;Cambria Math&quot; w:h-ansi=&quot;Cambria Math&quot;/&gt;&lt;wx:font wx:val=&quot;Cambria Math&quot;/&gt;&lt;w:i/&gt;&lt;w:sz w:val=&quot;32&quot;/&gt;&lt;w:sz-cs w:val=&quot;32&quot;/&gt;&lt;/w:rPr&gt;&lt;/m:ctrlPr&gt;&lt;/m:sSubPr&gt;&lt;m:e&gt;&lt;m:r&gt;&lt;w:rPr&gt;&lt;w:rFonts w:ascii=&quot;Cambria Math&quot; w:h-ansi=&quot;Cambria Math&quot;/&gt;&lt;wx:font wx:val=&quot;Cambria Math&quot;/&gt;&lt;w:i/&gt;&lt;w:sz w:val=&quot;32&quot;/&gt;&lt;w:sz-cs w:val=&quot;32&quot;/&gt;&lt;/w:rPr&gt;&lt;m:t&gt;pH&lt;/m:t&gt;&lt;/m:r&gt;&lt;/m:e&gt;&lt;m:sub&gt;&lt;m:r&gt;&lt;w:rPr&gt;&lt;w:rFonts w:ascii=&quot;Cambria Math&quot; w:h-ansi=&quot;Cambria Math&quot;/&gt;&lt;wx:font wx:val=&quot;Cambria Math&quot;/&gt;&lt;w:i/&gt;&lt;w:sz w:val=&quot;32&quot;/&gt;&lt;w:sz-cs w:val=&quot;32&quot;/&gt;&lt;/w:rPr&gt;&lt;m:t&gt;sd&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8" chromakey="#FFFFFF" o:title=""/>
                  <o:lock v:ext="edit" aspectratio="t"/>
                  <w10:wrap type="none"/>
                  <w10:anchorlock/>
                </v:shape>
              </w:pict>
            </w:r>
            <w:r>
              <w:rPr>
                <w:color w:val="auto"/>
                <w:sz w:val="24"/>
                <w:highlight w:val="none"/>
              </w:rPr>
              <w:instrText xml:space="preserve"> </w:instrText>
            </w:r>
            <w:r>
              <w:rPr>
                <w:color w:val="auto"/>
                <w:sz w:val="24"/>
                <w:highlight w:val="none"/>
              </w:rPr>
              <w:fldChar w:fldCharType="separate"/>
            </w:r>
            <w:r>
              <w:rPr>
                <w:color w:val="auto"/>
                <w:position w:val="-23"/>
                <w:highlight w:val="none"/>
              </w:rPr>
              <w:pict>
                <v:shape id="_x0000_i1026" o:spt="75" type="#_x0000_t75" style="height:29.25pt;width:97.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Q3NTBlZWEyYWI1MDNkNWQ3NWI2Yjc1MzAyZWU1MGQifQ==&quot;/&gt;&lt;/w:docVars&gt;&lt;wsp:rsids&gt;&lt;wsp:rsidRoot wsp:val=&quot;00172A27&quot;/&gt;&lt;wsp:rsid wsp:val=&quot;000001D5&quot;/&gt;&lt;wsp:rsid wsp:val=&quot;000015AB&quot;/&gt;&lt;wsp:rsid wsp:val=&quot;000060B3&quot;/&gt;&lt;wsp:rsid wsp:val=&quot;000133A0&quot;/&gt;&lt;wsp:rsid wsp:val=&quot;000135C3&quot;/&gt;&lt;wsp:rsid wsp:val=&quot;00014F88&quot;/&gt;&lt;wsp:rsid wsp:val=&quot;00021008&quot;/&gt;&lt;wsp:rsid wsp:val=&quot;0003757B&quot;/&gt;&lt;wsp:rsid wsp:val=&quot;000402C4&quot;/&gt;&lt;wsp:rsid wsp:val=&quot;0004364B&quot;/&gt;&lt;wsp:rsid wsp:val=&quot;00045C58&quot;/&gt;&lt;wsp:rsid wsp:val=&quot;000516C8&quot;/&gt;&lt;wsp:rsid wsp:val=&quot;00051C6E&quot;/&gt;&lt;wsp:rsid wsp:val=&quot;000566B9&quot;/&gt;&lt;wsp:rsid wsp:val=&quot;000608EF&quot;/&gt;&lt;wsp:rsid wsp:val=&quot;00061B1F&quot;/&gt;&lt;wsp:rsid wsp:val=&quot;00065CB1&quot;/&gt;&lt;wsp:rsid wsp:val=&quot;00065DDB&quot;/&gt;&lt;wsp:rsid wsp:val=&quot;000721D3&quot;/&gt;&lt;wsp:rsid wsp:val=&quot;000733C4&quot;/&gt;&lt;wsp:rsid wsp:val=&quot;00074783&quot;/&gt;&lt;wsp:rsid wsp:val=&quot;00077490&quot;/&gt;&lt;wsp:rsid wsp:val=&quot;00080166&quot;/&gt;&lt;wsp:rsid wsp:val=&quot;00080297&quot;/&gt;&lt;wsp:rsid wsp:val=&quot;0008070B&quot;/&gt;&lt;wsp:rsid wsp:val=&quot;00080755&quot;/&gt;&lt;wsp:rsid wsp:val=&quot;000810AC&quot;/&gt;&lt;wsp:rsid wsp:val=&quot;000817FE&quot;/&gt;&lt;wsp:rsid wsp:val=&quot;00081A02&quot;/&gt;&lt;wsp:rsid wsp:val=&quot;00082231&quot;/&gt;&lt;wsp:rsid wsp:val=&quot;0008392B&quot;/&gt;&lt;wsp:rsid wsp:val=&quot;000841F8&quot;/&gt;&lt;wsp:rsid wsp:val=&quot;00086A47&quot;/&gt;&lt;wsp:rsid wsp:val=&quot;00092D38&quot;/&gt;&lt;wsp:rsid wsp:val=&quot;0009377B&quot;/&gt;&lt;wsp:rsid wsp:val=&quot;00094BE1&quot;/&gt;&lt;wsp:rsid wsp:val=&quot;000A20C9&quot;/&gt;&lt;wsp:rsid wsp:val=&quot;000A7F18&quot;/&gt;&lt;wsp:rsid wsp:val=&quot;000B058F&quot;/&gt;&lt;wsp:rsid wsp:val=&quot;000B1BDD&quot;/&gt;&lt;wsp:rsid wsp:val=&quot;000B4467&quot;/&gt;&lt;wsp:rsid wsp:val=&quot;000B4DB9&quot;/&gt;&lt;wsp:rsid wsp:val=&quot;000C09AC&quot;/&gt;&lt;wsp:rsid wsp:val=&quot;000C2F13&quot;/&gt;&lt;wsp:rsid wsp:val=&quot;000C68AA&quot;/&gt;&lt;wsp:rsid wsp:val=&quot;000C7060&quot;/&gt;&lt;wsp:rsid wsp:val=&quot;000C767F&quot;/&gt;&lt;wsp:rsid wsp:val=&quot;000D2FC9&quot;/&gt;&lt;wsp:rsid wsp:val=&quot;000D5A44&quot;/&gt;&lt;wsp:rsid wsp:val=&quot;000E06B5&quot;/&gt;&lt;wsp:rsid wsp:val=&quot;000E3ED2&quot;/&gt;&lt;wsp:rsid wsp:val=&quot;000E542D&quot;/&gt;&lt;wsp:rsid wsp:val=&quot;000E752C&quot;/&gt;&lt;wsp:rsid wsp:val=&quot;000F4DF7&quot;/&gt;&lt;wsp:rsid wsp:val=&quot;00100322&quot;/&gt;&lt;wsp:rsid wsp:val=&quot;001013DF&quot;/&gt;&lt;wsp:rsid wsp:val=&quot;001043BC&quot;/&gt;&lt;wsp:rsid wsp:val=&quot;0010496F&quot;/&gt;&lt;wsp:rsid wsp:val=&quot;00105887&quot;/&gt;&lt;wsp:rsid wsp:val=&quot;00112010&quot;/&gt;&lt;wsp:rsid wsp:val=&quot;00112376&quot;/&gt;&lt;wsp:rsid wsp:val=&quot;00126AD1&quot;/&gt;&lt;wsp:rsid wsp:val=&quot;00127B40&quot;/&gt;&lt;wsp:rsid wsp:val=&quot;00131F42&quot;/&gt;&lt;wsp:rsid wsp:val=&quot;001357F1&quot;/&gt;&lt;wsp:rsid wsp:val=&quot;00140FA8&quot;/&gt;&lt;wsp:rsid wsp:val=&quot;00142FEB&quot;/&gt;&lt;wsp:rsid wsp:val=&quot;00143A2D&quot;/&gt;&lt;wsp:rsid wsp:val=&quot;00145A41&quot;/&gt;&lt;wsp:rsid wsp:val=&quot;00147A3A&quot;/&gt;&lt;wsp:rsid wsp:val=&quot;00151675&quot;/&gt;&lt;wsp:rsid wsp:val=&quot;001517DA&quot;/&gt;&lt;wsp:rsid wsp:val=&quot;0015498B&quot;/&gt;&lt;wsp:rsid wsp:val=&quot;00157435&quot;/&gt;&lt;wsp:rsid wsp:val=&quot;00162383&quot;/&gt;&lt;wsp:rsid wsp:val=&quot;001641A6&quot;/&gt;&lt;wsp:rsid wsp:val=&quot;00164BD5&quot;/&gt;&lt;wsp:rsid wsp:val=&quot;0016759A&quot;/&gt;&lt;wsp:rsid wsp:val=&quot;001745F0&quot;/&gt;&lt;wsp:rsid wsp:val=&quot;0017504D&quot;/&gt;&lt;wsp:rsid wsp:val=&quot;0017671A&quot;/&gt;&lt;wsp:rsid wsp:val=&quot;00177422&quot;/&gt;&lt;wsp:rsid wsp:val=&quot;001827D4&quot;/&gt;&lt;wsp:rsid wsp:val=&quot;00182F0E&quot;/&gt;&lt;wsp:rsid wsp:val=&quot;00184590&quot;/&gt;&lt;wsp:rsid wsp:val=&quot;001870D1&quot;/&gt;&lt;wsp:rsid wsp:val=&quot;00187102&quot;/&gt;&lt;wsp:rsid wsp:val=&quot;0018781E&quot;/&gt;&lt;wsp:rsid wsp:val=&quot;00187DBE&quot;/&gt;&lt;wsp:rsid wsp:val=&quot;00187DFF&quot;/&gt;&lt;wsp:rsid wsp:val=&quot;00190985&quot;/&gt;&lt;wsp:rsid wsp:val=&quot;0019226E&quot;/&gt;&lt;wsp:rsid wsp:val=&quot;0019262D&quot;/&gt;&lt;wsp:rsid wsp:val=&quot;00194E72&quot;/&gt;&lt;wsp:rsid wsp:val=&quot;00195DD0&quot;/&gt;&lt;wsp:rsid wsp:val=&quot;001967CB&quot;/&gt;&lt;wsp:rsid wsp:val=&quot;001A1B35&quot;/&gt;&lt;wsp:rsid wsp:val=&quot;001A301A&quot;/&gt;&lt;wsp:rsid wsp:val=&quot;001A48A2&quot;/&gt;&lt;wsp:rsid wsp:val=&quot;001A61B6&quot;/&gt;&lt;wsp:rsid wsp:val=&quot;001A6D63&quot;/&gt;&lt;wsp:rsid wsp:val=&quot;001A6F61&quot;/&gt;&lt;wsp:rsid wsp:val=&quot;001A763A&quot;/&gt;&lt;wsp:rsid wsp:val=&quot;001A78E1&quot;/&gt;&lt;wsp:rsid wsp:val=&quot;001B373B&quot;/&gt;&lt;wsp:rsid wsp:val=&quot;001B72B8&quot;/&gt;&lt;wsp:rsid wsp:val=&quot;001C0BB6&quot;/&gt;&lt;wsp:rsid wsp:val=&quot;001C69B3&quot;/&gt;&lt;wsp:rsid wsp:val=&quot;001D1B9A&quot;/&gt;&lt;wsp:rsid wsp:val=&quot;001D5595&quot;/&gt;&lt;wsp:rsid wsp:val=&quot;001D7874&quot;/&gt;&lt;wsp:rsid wsp:val=&quot;001D7F22&quot;/&gt;&lt;wsp:rsid wsp:val=&quot;001E03ED&quot;/&gt;&lt;wsp:rsid wsp:val=&quot;001E0E25&quot;/&gt;&lt;wsp:rsid wsp:val=&quot;001E4AEA&quot;/&gt;&lt;wsp:rsid wsp:val=&quot;001F0F17&quot;/&gt;&lt;wsp:rsid wsp:val=&quot;001F3347&quot;/&gt;&lt;wsp:rsid wsp:val=&quot;001F348D&quot;/&gt;&lt;wsp:rsid wsp:val=&quot;001F69E4&quot;/&gt;&lt;wsp:rsid wsp:val=&quot;002003EF&quot;/&gt;&lt;wsp:rsid wsp:val=&quot;0020350B&quot;/&gt;&lt;wsp:rsid wsp:val=&quot;00203F88&quot;/&gt;&lt;wsp:rsid wsp:val=&quot;002104D9&quot;/&gt;&lt;wsp:rsid wsp:val=&quot;002111E2&quot;/&gt;&lt;wsp:rsid wsp:val=&quot;00211868&quot;/&gt;&lt;wsp:rsid wsp:val=&quot;002125B4&quot;/&gt;&lt;wsp:rsid wsp:val=&quot;002155B8&quot;/&gt;&lt;wsp:rsid wsp:val=&quot;00220461&quot;/&gt;&lt;wsp:rsid wsp:val=&quot;00221FF4&quot;/&gt;&lt;wsp:rsid wsp:val=&quot;00224839&quot;/&gt;&lt;wsp:rsid wsp:val=&quot;002249B2&quot;/&gt;&lt;wsp:rsid wsp:val=&quot;00226574&quot;/&gt;&lt;wsp:rsid wsp:val=&quot;002278EC&quot;/&gt;&lt;wsp:rsid wsp:val=&quot;00231CAC&quot;/&gt;&lt;wsp:rsid wsp:val=&quot;002321C3&quot;/&gt;&lt;wsp:rsid wsp:val=&quot;0023280E&quot;/&gt;&lt;wsp:rsid wsp:val=&quot;002334B7&quot;/&gt;&lt;wsp:rsid wsp:val=&quot;002356E6&quot;/&gt;&lt;wsp:rsid wsp:val=&quot;00236D4C&quot;/&gt;&lt;wsp:rsid wsp:val=&quot;002377D1&quot;/&gt;&lt;wsp:rsid wsp:val=&quot;0024212D&quot;/&gt;&lt;wsp:rsid wsp:val=&quot;00243A38&quot;/&gt;&lt;wsp:rsid wsp:val=&quot;00244405&quot;/&gt;&lt;wsp:rsid wsp:val=&quot;00244B3D&quot;/&gt;&lt;wsp:rsid wsp:val=&quot;002506BC&quot;/&gt;&lt;wsp:rsid wsp:val=&quot;00254345&quot;/&gt;&lt;wsp:rsid wsp:val=&quot;002556DA&quot;/&gt;&lt;wsp:rsid wsp:val=&quot;00264557&quot;/&gt;&lt;wsp:rsid wsp:val=&quot;00264C8F&quot;/&gt;&lt;wsp:rsid wsp:val=&quot;0027763D&quot;/&gt;&lt;wsp:rsid wsp:val=&quot;00277DAE&quot;/&gt;&lt;wsp:rsid wsp:val=&quot;002805AB&quot;/&gt;&lt;wsp:rsid wsp:val=&quot;0028312F&quot;/&gt;&lt;wsp:rsid wsp:val=&quot;00284204&quot;/&gt;&lt;wsp:rsid wsp:val=&quot;00285B6F&quot;/&gt;&lt;wsp:rsid wsp:val=&quot;00291773&quot;/&gt;&lt;wsp:rsid wsp:val=&quot;00292628&quot;/&gt;&lt;wsp:rsid wsp:val=&quot;00292A68&quot;/&gt;&lt;wsp:rsid wsp:val=&quot;00295235&quot;/&gt;&lt;wsp:rsid wsp:val=&quot;0029597C&quot;/&gt;&lt;wsp:rsid wsp:val=&quot;002A168C&quot;/&gt;&lt;wsp:rsid wsp:val=&quot;002A3DC7&quot;/&gt;&lt;wsp:rsid wsp:val=&quot;002B0847&quot;/&gt;&lt;wsp:rsid wsp:val=&quot;002B49E2&quot;/&gt;&lt;wsp:rsid wsp:val=&quot;002B7B00&quot;/&gt;&lt;wsp:rsid wsp:val=&quot;002B7C44&quot;/&gt;&lt;wsp:rsid wsp:val=&quot;002C2B17&quot;/&gt;&lt;wsp:rsid wsp:val=&quot;002C36C5&quot;/&gt;&lt;wsp:rsid wsp:val=&quot;002D30F8&quot;/&gt;&lt;wsp:rsid wsp:val=&quot;002D3DD0&quot;/&gt;&lt;wsp:rsid wsp:val=&quot;002D6CC9&quot;/&gt;&lt;wsp:rsid wsp:val=&quot;002D793B&quot;/&gt;&lt;wsp:rsid wsp:val=&quot;002E0C39&quot;/&gt;&lt;wsp:rsid wsp:val=&quot;002E1F3A&quot;/&gt;&lt;wsp:rsid wsp:val=&quot;002E298A&quot;/&gt;&lt;wsp:rsid wsp:val=&quot;002E376B&quot;/&gt;&lt;wsp:rsid wsp:val=&quot;002E5A02&quot;/&gt;&lt;wsp:rsid wsp:val=&quot;002E625A&quot;/&gt;&lt;wsp:rsid wsp:val=&quot;002E757B&quot;/&gt;&lt;wsp:rsid wsp:val=&quot;002E7ACF&quot;/&gt;&lt;wsp:rsid wsp:val=&quot;002F189B&quot;/&gt;&lt;wsp:rsid wsp:val=&quot;002F5F9E&quot;/&gt;&lt;wsp:rsid wsp:val=&quot;002F6D23&quot;/&gt;&lt;wsp:rsid wsp:val=&quot;00301978&quot;/&gt;&lt;wsp:rsid wsp:val=&quot;0030332C&quot;/&gt;&lt;wsp:rsid wsp:val=&quot;003045A6&quot;/&gt;&lt;wsp:rsid wsp:val=&quot;003051C2&quot;/&gt;&lt;wsp:rsid wsp:val=&quot;00306812&quot;/&gt;&lt;wsp:rsid wsp:val=&quot;00306896&quot;/&gt;&lt;wsp:rsid wsp:val=&quot;00312296&quot;/&gt;&lt;wsp:rsid wsp:val=&quot;00314F0E&quot;/&gt;&lt;wsp:rsid wsp:val=&quot;00321D8E&quot;/&gt;&lt;wsp:rsid wsp:val=&quot;00325928&quot;/&gt;&lt;wsp:rsid wsp:val=&quot;003274EF&quot;/&gt;&lt;wsp:rsid wsp:val=&quot;00332863&quot;/&gt;&lt;wsp:rsid wsp:val=&quot;003361F8&quot;/&gt;&lt;wsp:rsid wsp:val=&quot;0033684D&quot;/&gt;&lt;wsp:rsid wsp:val=&quot;00337B42&quot;/&gt;&lt;wsp:rsid wsp:val=&quot;00341B42&quot;/&gt;&lt;wsp:rsid wsp:val=&quot;0034348F&quot;/&gt;&lt;wsp:rsid wsp:val=&quot;003439AE&quot;/&gt;&lt;wsp:rsid wsp:val=&quot;00344120&quot;/&gt;&lt;wsp:rsid wsp:val=&quot;0034470B&quot;/&gt;&lt;wsp:rsid wsp:val=&quot;00353207&quot;/&gt;&lt;wsp:rsid wsp:val=&quot;003548C5&quot;/&gt;&lt;wsp:rsid wsp:val=&quot;00355C09&quot;/&gt;&lt;wsp:rsid wsp:val=&quot;00356653&quot;/&gt;&lt;wsp:rsid wsp:val=&quot;0035743F&quot;/&gt;&lt;wsp:rsid wsp:val=&quot;00357BE2&quot;/&gt;&lt;wsp:rsid wsp:val=&quot;003604A6&quot;/&gt;&lt;wsp:rsid wsp:val=&quot;0036170C&quot;/&gt;&lt;wsp:rsid wsp:val=&quot;00366E0F&quot;/&gt;&lt;wsp:rsid wsp:val=&quot;00372937&quot;/&gt;&lt;wsp:rsid wsp:val=&quot;00373BA1&quot;/&gt;&lt;wsp:rsid wsp:val=&quot;00374954&quot;/&gt;&lt;wsp:rsid wsp:val=&quot;003775ED&quot;/&gt;&lt;wsp:rsid wsp:val=&quot;00381A72&quot;/&gt;&lt;wsp:rsid wsp:val=&quot;0038275A&quot;/&gt;&lt;wsp:rsid wsp:val=&quot;00382E44&quot;/&gt;&lt;wsp:rsid wsp:val=&quot;00384676&quot;/&gt;&lt;wsp:rsid wsp:val=&quot;0038684E&quot;/&gt;&lt;wsp:rsid wsp:val=&quot;00390857&quot;/&gt;&lt;wsp:rsid wsp:val=&quot;00393E29&quot;/&gt;&lt;wsp:rsid wsp:val=&quot;003A21F2&quot;/&gt;&lt;wsp:rsid wsp:val=&quot;003A4BF3&quot;/&gt;&lt;wsp:rsid wsp:val=&quot;003A5F58&quot;/&gt;&lt;wsp:rsid wsp:val=&quot;003B420D&quot;/&gt;&lt;wsp:rsid wsp:val=&quot;003B7389&quot;/&gt;&lt;wsp:rsid wsp:val=&quot;003C4CE2&quot;/&gt;&lt;wsp:rsid wsp:val=&quot;003C6047&quot;/&gt;&lt;wsp:rsid wsp:val=&quot;003C6C16&quot;/&gt;&lt;wsp:rsid wsp:val=&quot;003D4305&quot;/&gt;&lt;wsp:rsid wsp:val=&quot;003D794D&quot;/&gt;&lt;wsp:rsid wsp:val=&quot;003E2F1B&quot;/&gt;&lt;wsp:rsid wsp:val=&quot;003E3058&quot;/&gt;&lt;wsp:rsid wsp:val=&quot;003E4C0B&quot;/&gt;&lt;wsp:rsid wsp:val=&quot;003E76A9&quot;/&gt;&lt;wsp:rsid wsp:val=&quot;003F0809&quot;/&gt;&lt;wsp:rsid wsp:val=&quot;003F10AC&quot;/&gt;&lt;wsp:rsid wsp:val=&quot;003F6A8C&quot;/&gt;&lt;wsp:rsid wsp:val=&quot;003F755C&quot;/&gt;&lt;wsp:rsid wsp:val=&quot;003F7993&quot;/&gt;&lt;wsp:rsid wsp:val=&quot;004020F0&quot;/&gt;&lt;wsp:rsid wsp:val=&quot;004022B3&quot;/&gt;&lt;wsp:rsid wsp:val=&quot;00403B54&quot;/&gt;&lt;wsp:rsid wsp:val=&quot;00406F01&quot;/&gt;&lt;wsp:rsid wsp:val=&quot;00406F27&quot;/&gt;&lt;wsp:rsid wsp:val=&quot;004079DC&quot;/&gt;&lt;wsp:rsid wsp:val=&quot;00416652&quot;/&gt;&lt;wsp:rsid wsp:val=&quot;00416D50&quot;/&gt;&lt;wsp:rsid wsp:val=&quot;00416FD5&quot;/&gt;&lt;wsp:rsid wsp:val=&quot;00417772&quot;/&gt;&lt;wsp:rsid wsp:val=&quot;00420E6A&quot;/&gt;&lt;wsp:rsid wsp:val=&quot;00422656&quot;/&gt;&lt;wsp:rsid wsp:val=&quot;00425A9E&quot;/&gt;&lt;wsp:rsid wsp:val=&quot;00426D6B&quot;/&gt;&lt;wsp:rsid wsp:val=&quot;00427E16&quot;/&gt;&lt;wsp:rsid wsp:val=&quot;00430215&quot;/&gt;&lt;wsp:rsid wsp:val=&quot;00431E6C&quot;/&gt;&lt;wsp:rsid wsp:val=&quot;00433CE7&quot;/&gt;&lt;wsp:rsid wsp:val=&quot;00437DCD&quot;/&gt;&lt;wsp:rsid wsp:val=&quot;0044199C&quot;/&gt;&lt;wsp:rsid wsp:val=&quot;00442FF6&quot;/&gt;&lt;wsp:rsid wsp:val=&quot;0044477A&quot;/&gt;&lt;wsp:rsid wsp:val=&quot;00452738&quot;/&gt;&lt;wsp:rsid wsp:val=&quot;00452B6F&quot;/&gt;&lt;wsp:rsid wsp:val=&quot;00452F6A&quot;/&gt;&lt;wsp:rsid wsp:val=&quot;00456091&quot;/&gt;&lt;wsp:rsid wsp:val=&quot;00466321&quot;/&gt;&lt;wsp:rsid wsp:val=&quot;0047402B&quot;/&gt;&lt;wsp:rsid wsp:val=&quot;0047420F&quot;/&gt;&lt;wsp:rsid wsp:val=&quot;00482463&quot;/&gt;&lt;wsp:rsid wsp:val=&quot;0048258B&quot;/&gt;&lt;wsp:rsid wsp:val=&quot;00484B9B&quot;/&gt;&lt;wsp:rsid wsp:val=&quot;004855F6&quot;/&gt;&lt;wsp:rsid wsp:val=&quot;0048661E&quot;/&gt;&lt;wsp:rsid wsp:val=&quot;004941DB&quot;/&gt;&lt;wsp:rsid wsp:val=&quot;00494492&quot;/&gt;&lt;wsp:rsid wsp:val=&quot;00494670&quot;/&gt;&lt;wsp:rsid wsp:val=&quot;004A12FC&quot;/&gt;&lt;wsp:rsid wsp:val=&quot;004A1C11&quot;/&gt;&lt;wsp:rsid wsp:val=&quot;004A3823&quot;/&gt;&lt;wsp:rsid wsp:val=&quot;004A664B&quot;/&gt;&lt;wsp:rsid wsp:val=&quot;004B0712&quot;/&gt;&lt;wsp:rsid wsp:val=&quot;004B2AED&quot;/&gt;&lt;wsp:rsid wsp:val=&quot;004B39FE&quot;/&gt;&lt;wsp:rsid wsp:val=&quot;004B3EB7&quot;/&gt;&lt;wsp:rsid wsp:val=&quot;004B60EB&quot;/&gt;&lt;wsp:rsid wsp:val=&quot;004C1246&quot;/&gt;&lt;wsp:rsid wsp:val=&quot;004E00DF&quot;/&gt;&lt;wsp:rsid wsp:val=&quot;004E2407&quot;/&gt;&lt;wsp:rsid wsp:val=&quot;004E6946&quot;/&gt;&lt;wsp:rsid wsp:val=&quot;004F1AD8&quot;/&gt;&lt;wsp:rsid wsp:val=&quot;004F26C4&quot;/&gt;&lt;wsp:rsid wsp:val=&quot;004F3BEC&quot;/&gt;&lt;wsp:rsid wsp:val=&quot;004F5E1E&quot;/&gt;&lt;wsp:rsid wsp:val=&quot;00500177&quot;/&gt;&lt;wsp:rsid wsp:val=&quot;005010F2&quot;/&gt;&lt;wsp:rsid wsp:val=&quot;005039CB&quot;/&gt;&lt;wsp:rsid wsp:val=&quot;0050558F&quot;/&gt;&lt;wsp:rsid wsp:val=&quot;00506286&quot;/&gt;&lt;wsp:rsid wsp:val=&quot;00510813&quot;/&gt;&lt;wsp:rsid wsp:val=&quot;00511990&quot;/&gt;&lt;wsp:rsid wsp:val=&quot;00511DE0&quot;/&gt;&lt;wsp:rsid wsp:val=&quot;00513A67&quot;/&gt;&lt;wsp:rsid wsp:val=&quot;00514870&quot;/&gt;&lt;wsp:rsid wsp:val=&quot;00514B9B&quot;/&gt;&lt;wsp:rsid wsp:val=&quot;00517F02&quot;/&gt;&lt;wsp:rsid wsp:val=&quot;00524303&quot;/&gt;&lt;wsp:rsid wsp:val=&quot;005258A2&quot;/&gt;&lt;wsp:rsid wsp:val=&quot;00527756&quot;/&gt;&lt;wsp:rsid wsp:val=&quot;00531884&quot;/&gt;&lt;wsp:rsid wsp:val=&quot;00534C05&quot;/&gt;&lt;wsp:rsid wsp:val=&quot;005401AE&quot;/&gt;&lt;wsp:rsid wsp:val=&quot;00542D74&quot;/&gt;&lt;wsp:rsid wsp:val=&quot;00542E07&quot;/&gt;&lt;wsp:rsid wsp:val=&quot;00543846&quot;/&gt;&lt;wsp:rsid wsp:val=&quot;00545424&quot;/&gt;&lt;wsp:rsid wsp:val=&quot;00545B8F&quot;/&gt;&lt;wsp:rsid wsp:val=&quot;00552415&quot;/&gt;&lt;wsp:rsid wsp:val=&quot;00554279&quot;/&gt;&lt;wsp:rsid wsp:val=&quot;00554A7B&quot;/&gt;&lt;wsp:rsid wsp:val=&quot;0055572C&quot;/&gt;&lt;wsp:rsid wsp:val=&quot;00556A5B&quot;/&gt;&lt;wsp:rsid wsp:val=&quot;0056106A&quot;/&gt;&lt;wsp:rsid wsp:val=&quot;00563A27&quot;/&gt;&lt;wsp:rsid wsp:val=&quot;005720AE&quot;/&gt;&lt;wsp:rsid wsp:val=&quot;0057751D&quot;/&gt;&lt;wsp:rsid wsp:val=&quot;00580624&quot;/&gt;&lt;wsp:rsid wsp:val=&quot;0058385C&quot;/&gt;&lt;wsp:rsid wsp:val=&quot;00583B0F&quot;/&gt;&lt;wsp:rsid wsp:val=&quot;00586059&quot;/&gt;&lt;wsp:rsid wsp:val=&quot;00587644&quot;/&gt;&lt;wsp:rsid wsp:val=&quot;005914C5&quot;/&gt;&lt;wsp:rsid wsp:val=&quot;00593F2F&quot;/&gt;&lt;wsp:rsid wsp:val=&quot;00594D77&quot;/&gt;&lt;wsp:rsid wsp:val=&quot;00595BD9&quot;/&gt;&lt;wsp:rsid wsp:val=&quot;005969E4&quot;/&gt;&lt;wsp:rsid wsp:val=&quot;00596CDB&quot;/&gt;&lt;wsp:rsid wsp:val=&quot;005A06B7&quot;/&gt;&lt;wsp:rsid wsp:val=&quot;005A1759&quot;/&gt;&lt;wsp:rsid wsp:val=&quot;005A1972&quot;/&gt;&lt;wsp:rsid wsp:val=&quot;005A4C27&quot;/&gt;&lt;wsp:rsid wsp:val=&quot;005A68A7&quot;/&gt;&lt;wsp:rsid wsp:val=&quot;005A79FF&quot;/&gt;&lt;wsp:rsid wsp:val=&quot;005B290B&quot;/&gt;&lt;wsp:rsid wsp:val=&quot;005B39C2&quot;/&gt;&lt;wsp:rsid wsp:val=&quot;005B46E8&quot;/&gt;&lt;wsp:rsid wsp:val=&quot;005B6911&quot;/&gt;&lt;wsp:rsid wsp:val=&quot;005D36AB&quot;/&gt;&lt;wsp:rsid wsp:val=&quot;00600A69&quot;/&gt;&lt;wsp:rsid wsp:val=&quot;006018C8&quot;/&gt;&lt;wsp:rsid wsp:val=&quot;00606BB5&quot;/&gt;&lt;wsp:rsid wsp:val=&quot;00611884&quot;/&gt;&lt;wsp:rsid wsp:val=&quot;00612BFD&quot;/&gt;&lt;wsp:rsid wsp:val=&quot;00617CC3&quot;/&gt;&lt;wsp:rsid wsp:val=&quot;00621597&quot;/&gt;&lt;wsp:rsid wsp:val=&quot;00622128&quot;/&gt;&lt;wsp:rsid wsp:val=&quot;0062450D&quot;/&gt;&lt;wsp:rsid wsp:val=&quot;0062682F&quot;/&gt;&lt;wsp:rsid wsp:val=&quot;00634282&quot;/&gt;&lt;wsp:rsid wsp:val=&quot;006377A6&quot;/&gt;&lt;wsp:rsid wsp:val=&quot;00637A3D&quot;/&gt;&lt;wsp:rsid wsp:val=&quot;006411EF&quot;/&gt;&lt;wsp:rsid wsp:val=&quot;00646953&quot;/&gt;&lt;wsp:rsid wsp:val=&quot;0065088D&quot;/&gt;&lt;wsp:rsid wsp:val=&quot;00650BC4&quot;/&gt;&lt;wsp:rsid wsp:val=&quot;00652B81&quot;/&gt;&lt;wsp:rsid wsp:val=&quot;0065412B&quot;/&gt;&lt;wsp:rsid wsp:val=&quot;006549A1&quot;/&gt;&lt;wsp:rsid wsp:val=&quot;00657575&quot;/&gt;&lt;wsp:rsid wsp:val=&quot;00663759&quot;/&gt;&lt;wsp:rsid wsp:val=&quot;00663DC3&quot;/&gt;&lt;wsp:rsid wsp:val=&quot;00664684&quot;/&gt;&lt;wsp:rsid wsp:val=&quot;00664D05&quot;/&gt;&lt;wsp:rsid wsp:val=&quot;0066686A&quot;/&gt;&lt;wsp:rsid wsp:val=&quot;006713F4&quot;/&gt;&lt;wsp:rsid wsp:val=&quot;006748B8&quot;/&gt;&lt;wsp:rsid wsp:val=&quot;00675989&quot;/&gt;&lt;wsp:rsid wsp:val=&quot;006775C3&quot;/&gt;&lt;wsp:rsid wsp:val=&quot;00683D2D&quot;/&gt;&lt;wsp:rsid wsp:val=&quot;0069002B&quot;/&gt;&lt;wsp:rsid wsp:val=&quot;0069290A&quot;/&gt;&lt;wsp:rsid wsp:val=&quot;0069569A&quot;/&gt;&lt;wsp:rsid wsp:val=&quot;00695A77&quot;/&gt;&lt;wsp:rsid wsp:val=&quot;0069775A&quot;/&gt;&lt;wsp:rsid wsp:val=&quot;00697813&quot;/&gt;&lt;wsp:rsid wsp:val=&quot;006A1794&quot;/&gt;&lt;wsp:rsid wsp:val=&quot;006A2C57&quot;/&gt;&lt;wsp:rsid wsp:val=&quot;006A3EE8&quot;/&gt;&lt;wsp:rsid wsp:val=&quot;006A6B4D&quot;/&gt;&lt;wsp:rsid wsp:val=&quot;006A72BF&quot;/&gt;&lt;wsp:rsid wsp:val=&quot;006A7E6E&quot;/&gt;&lt;wsp:rsid wsp:val=&quot;006B03F2&quot;/&gt;&lt;wsp:rsid wsp:val=&quot;006B072B&quot;/&gt;&lt;wsp:rsid wsp:val=&quot;006B37DC&quot;/&gt;&lt;wsp:rsid wsp:val=&quot;006B4C93&quot;/&gt;&lt;wsp:rsid wsp:val=&quot;006B4F68&quot;/&gt;&lt;wsp:rsid wsp:val=&quot;006C0364&quot;/&gt;&lt;wsp:rsid wsp:val=&quot;006C0592&quot;/&gt;&lt;wsp:rsid wsp:val=&quot;006C0C01&quot;/&gt;&lt;wsp:rsid wsp:val=&quot;006C272E&quot;/&gt;&lt;wsp:rsid wsp:val=&quot;006C4A44&quot;/&gt;&lt;wsp:rsid wsp:val=&quot;006C5479&quot;/&gt;&lt;wsp:rsid wsp:val=&quot;006C6CFC&quot;/&gt;&lt;wsp:rsid wsp:val=&quot;006D13B5&quot;/&gt;&lt;wsp:rsid wsp:val=&quot;006D652B&quot;/&gt;&lt;wsp:rsid wsp:val=&quot;006D7065&quot;/&gt;&lt;wsp:rsid wsp:val=&quot;006E12FF&quot;/&gt;&lt;wsp:rsid wsp:val=&quot;006E607E&quot;/&gt;&lt;wsp:rsid wsp:val=&quot;006E7CFB&quot;/&gt;&lt;wsp:rsid wsp:val=&quot;006F13BC&quot;/&gt;&lt;wsp:rsid wsp:val=&quot;006F696B&quot;/&gt;&lt;wsp:rsid wsp:val=&quot;006F6A6D&quot;/&gt;&lt;wsp:rsid wsp:val=&quot;00706C5D&quot;/&gt;&lt;wsp:rsid wsp:val=&quot;00712FD8&quot;/&gt;&lt;wsp:rsid wsp:val=&quot;007170D9&quot;/&gt;&lt;wsp:rsid wsp:val=&quot;00724B98&quot;/&gt;&lt;wsp:rsid wsp:val=&quot;00732922&quot;/&gt;&lt;wsp:rsid wsp:val=&quot;007366B4&quot;/&gt;&lt;wsp:rsid wsp:val=&quot;007377E8&quot;/&gt;&lt;wsp:rsid wsp:val=&quot;00741262&quot;/&gt;&lt;wsp:rsid wsp:val=&quot;00745276&quot;/&gt;&lt;wsp:rsid wsp:val=&quot;007477E4&quot;/&gt;&lt;wsp:rsid wsp:val=&quot;0075162E&quot;/&gt;&lt;wsp:rsid wsp:val=&quot;00754034&quot;/&gt;&lt;wsp:rsid wsp:val=&quot;00755BFE&quot;/&gt;&lt;wsp:rsid wsp:val=&quot;00756556&quot;/&gt;&lt;wsp:rsid wsp:val=&quot;0076046E&quot;/&gt;&lt;wsp:rsid wsp:val=&quot;007606B0&quot;/&gt;&lt;wsp:rsid wsp:val=&quot;007618C4&quot;/&gt;&lt;wsp:rsid wsp:val=&quot;00766218&quot;/&gt;&lt;wsp:rsid wsp:val=&quot;00767980&quot;/&gt;&lt;wsp:rsid wsp:val=&quot;00770330&quot;/&gt;&lt;wsp:rsid wsp:val=&quot;00770B19&quot;/&gt;&lt;wsp:rsid wsp:val=&quot;0077463F&quot;/&gt;&lt;wsp:rsid wsp:val=&quot;007752A8&quot;/&gt;&lt;wsp:rsid wsp:val=&quot;00782319&quot;/&gt;&lt;wsp:rsid wsp:val=&quot;0078302B&quot;/&gt;&lt;wsp:rsid wsp:val=&quot;007836EA&quot;/&gt;&lt;wsp:rsid wsp:val=&quot;00784CDA&quot;/&gt;&lt;wsp:rsid wsp:val=&quot;007906C4&quot;/&gt;&lt;wsp:rsid wsp:val=&quot;00791070&quot;/&gt;&lt;wsp:rsid wsp:val=&quot;00791A03&quot;/&gt;&lt;wsp:rsid wsp:val=&quot;00792084&quot;/&gt;&lt;wsp:rsid wsp:val=&quot;00793C9E&quot;/&gt;&lt;wsp:rsid wsp:val=&quot;007940EA&quot;/&gt;&lt;wsp:rsid wsp:val=&quot;00795A79&quot;/&gt;&lt;wsp:rsid wsp:val=&quot;007967E8&quot;/&gt;&lt;wsp:rsid wsp:val=&quot;0079760B&quot;/&gt;&lt;wsp:rsid wsp:val=&quot;007A1888&quot;/&gt;&lt;wsp:rsid wsp:val=&quot;007A2170&quot;/&gt;&lt;wsp:rsid wsp:val=&quot;007A22BF&quot;/&gt;&lt;wsp:rsid wsp:val=&quot;007A3323&quot;/&gt;&lt;wsp:rsid wsp:val=&quot;007B3B45&quot;/&gt;&lt;wsp:rsid wsp:val=&quot;007B5F7F&quot;/&gt;&lt;wsp:rsid wsp:val=&quot;007B72B8&quot;/&gt;&lt;wsp:rsid wsp:val=&quot;007B7A58&quot;/&gt;&lt;wsp:rsid wsp:val=&quot;007C21B5&quot;/&gt;&lt;wsp:rsid wsp:val=&quot;007C330C&quot;/&gt;&lt;wsp:rsid wsp:val=&quot;007C3D00&quot;/&gt;&lt;wsp:rsid wsp:val=&quot;007C7B40&quot;/&gt;&lt;wsp:rsid wsp:val=&quot;007E1F10&quot;/&gt;&lt;wsp:rsid wsp:val=&quot;007E4BD2&quot;/&gt;&lt;wsp:rsid wsp:val=&quot;007F0605&quot;/&gt;&lt;wsp:rsid wsp:val=&quot;007F6FED&quot;/&gt;&lt;wsp:rsid wsp:val=&quot;008005D2&quot;/&gt;&lt;wsp:rsid wsp:val=&quot;00801393&quot;/&gt;&lt;wsp:rsid wsp:val=&quot;00802738&quot;/&gt;&lt;wsp:rsid wsp:val=&quot;00802F88&quot;/&gt;&lt;wsp:rsid wsp:val=&quot;0080469E&quot;/&gt;&lt;wsp:rsid wsp:val=&quot;00807C1B&quot;/&gt;&lt;wsp:rsid wsp:val=&quot;0081293E&quot;/&gt;&lt;wsp:rsid wsp:val=&quot;00815465&quot;/&gt;&lt;wsp:rsid wsp:val=&quot;00817E9A&quot;/&gt;&lt;wsp:rsid wsp:val=&quot;00825E48&quot;/&gt;&lt;wsp:rsid wsp:val=&quot;0082602E&quot;/&gt;&lt;wsp:rsid wsp:val=&quot;0082624F&quot;/&gt;&lt;wsp:rsid wsp:val=&quot;00827546&quot;/&gt;&lt;wsp:rsid wsp:val=&quot;0082794A&quot;/&gt;&lt;wsp:rsid wsp:val=&quot;008279E5&quot;/&gt;&lt;wsp:rsid wsp:val=&quot;008306BD&quot;/&gt;&lt;wsp:rsid wsp:val=&quot;00831A80&quot;/&gt;&lt;wsp:rsid wsp:val=&quot;00833743&quot;/&gt;&lt;wsp:rsid wsp:val=&quot;00833B02&quot;/&gt;&lt;wsp:rsid wsp:val=&quot;008340A4&quot;/&gt;&lt;wsp:rsid wsp:val=&quot;00834CAA&quot;/&gt;&lt;wsp:rsid wsp:val=&quot;00835160&quot;/&gt;&lt;wsp:rsid wsp:val=&quot;008424AA&quot;/&gt;&lt;wsp:rsid wsp:val=&quot;008428E7&quot;/&gt;&lt;wsp:rsid wsp:val=&quot;008477FE&quot;/&gt;&lt;wsp:rsid wsp:val=&quot;00861538&quot;/&gt;&lt;wsp:rsid wsp:val=&quot;008617D8&quot;/&gt;&lt;wsp:rsid wsp:val=&quot;0086367C&quot;/&gt;&lt;wsp:rsid wsp:val=&quot;008650BC&quot;/&gt;&lt;wsp:rsid wsp:val=&quot;0087135F&quot;/&gt;&lt;wsp:rsid wsp:val=&quot;00872D94&quot;/&gt;&lt;wsp:rsid wsp:val=&quot;00877885&quot;/&gt;&lt;wsp:rsid wsp:val=&quot;00877AA2&quot;/&gt;&lt;wsp:rsid wsp:val=&quot;00880364&quot;/&gt;&lt;wsp:rsid wsp:val=&quot;00881B29&quot;/&gt;&lt;wsp:rsid wsp:val=&quot;00883181&quot;/&gt;&lt;wsp:rsid wsp:val=&quot;00883862&quot;/&gt;&lt;wsp:rsid wsp:val=&quot;00891592&quot;/&gt;&lt;wsp:rsid wsp:val=&quot;00891E9E&quot;/&gt;&lt;wsp:rsid wsp:val=&quot;00892A1F&quot;/&gt;&lt;wsp:rsid wsp:val=&quot;008A2F68&quot;/&gt;&lt;wsp:rsid wsp:val=&quot;008A7E1D&quot;/&gt;&lt;wsp:rsid wsp:val=&quot;008B4FA6&quot;/&gt;&lt;wsp:rsid wsp:val=&quot;008B5282&quot;/&gt;&lt;wsp:rsid wsp:val=&quot;008B7C17&quot;/&gt;&lt;wsp:rsid wsp:val=&quot;008C2D01&quot;/&gt;&lt;wsp:rsid wsp:val=&quot;008C40E6&quot;/&gt;&lt;wsp:rsid wsp:val=&quot;008C517B&quot;/&gt;&lt;wsp:rsid wsp:val=&quot;008D0F7A&quot;/&gt;&lt;wsp:rsid wsp:val=&quot;008D68E4&quot;/&gt;&lt;wsp:rsid wsp:val=&quot;008E0506&quot;/&gt;&lt;wsp:rsid wsp:val=&quot;008E0CFF&quot;/&gt;&lt;wsp:rsid wsp:val=&quot;008E2B1E&quot;/&gt;&lt;wsp:rsid wsp:val=&quot;008E3BC0&quot;/&gt;&lt;wsp:rsid wsp:val=&quot;008E5D6B&quot;/&gt;&lt;wsp:rsid wsp:val=&quot;008E76F0&quot;/&gt;&lt;wsp:rsid wsp:val=&quot;008F10BB&quot;/&gt;&lt;wsp:rsid wsp:val=&quot;008F12B0&quot;/&gt;&lt;wsp:rsid wsp:val=&quot;008F15FE&quot;/&gt;&lt;wsp:rsid wsp:val=&quot;008F2022&quot;/&gt;&lt;wsp:rsid wsp:val=&quot;008F2D29&quot;/&gt;&lt;wsp:rsid wsp:val=&quot;008F5187&quot;/&gt;&lt;wsp:rsid wsp:val=&quot;008F60D8&quot;/&gt;&lt;wsp:rsid wsp:val=&quot;00902727&quot;/&gt;&lt;wsp:rsid wsp:val=&quot;0090312B&quot;/&gt;&lt;wsp:rsid wsp:val=&quot;0090465E&quot;/&gt;&lt;wsp:rsid wsp:val=&quot;00905151&quot;/&gt;&lt;wsp:rsid wsp:val=&quot;00906144&quot;/&gt;&lt;wsp:rsid wsp:val=&quot;009074C0&quot;/&gt;&lt;wsp:rsid wsp:val=&quot;00907561&quot;/&gt;&lt;wsp:rsid wsp:val=&quot;00911FE8&quot;/&gt;&lt;wsp:rsid wsp:val=&quot;0091736D&quot;/&gt;&lt;wsp:rsid wsp:val=&quot;00923E09&quot;/&gt;&lt;wsp:rsid wsp:val=&quot;0093037A&quot;/&gt;&lt;wsp:rsid wsp:val=&quot;009310A3&quot;/&gt;&lt;wsp:rsid wsp:val=&quot;00931D2D&quot;/&gt;&lt;wsp:rsid wsp:val=&quot;00933BF2&quot;/&gt;&lt;wsp:rsid wsp:val=&quot;009346EB&quot;/&gt;&lt;wsp:rsid wsp:val=&quot;0093510D&quot;/&gt;&lt;wsp:rsid wsp:val=&quot;00940470&quot;/&gt;&lt;wsp:rsid wsp:val=&quot;0094154D&quot;/&gt;&lt;wsp:rsid wsp:val=&quot;00941815&quot;/&gt;&lt;wsp:rsid wsp:val=&quot;00942E72&quot;/&gt;&lt;wsp:rsid wsp:val=&quot;00946AEA&quot;/&gt;&lt;wsp:rsid wsp:val=&quot;0095155F&quot;/&gt;&lt;wsp:rsid wsp:val=&quot;00951B1C&quot;/&gt;&lt;wsp:rsid wsp:val=&quot;00954429&quot;/&gt;&lt;wsp:rsid wsp:val=&quot;00955B75&quot;/&gt;&lt;wsp:rsid wsp:val=&quot;009563CE&quot;/&gt;&lt;wsp:rsid wsp:val=&quot;00957118&quot;/&gt;&lt;wsp:rsid wsp:val=&quot;00957895&quot;/&gt;&lt;wsp:rsid wsp:val=&quot;00962DDD&quot;/&gt;&lt;wsp:rsid wsp:val=&quot;00976328&quot;/&gt;&lt;wsp:rsid wsp:val=&quot;0097680D&quot;/&gt;&lt;wsp:rsid wsp:val=&quot;00982438&quot;/&gt;&lt;wsp:rsid wsp:val=&quot;00982A9B&quot;/&gt;&lt;wsp:rsid wsp:val=&quot;0098404C&quot;/&gt;&lt;wsp:rsid wsp:val=&quot;00985283&quot;/&gt;&lt;wsp:rsid wsp:val=&quot;00987A66&quot;/&gt;&lt;wsp:rsid wsp:val=&quot;00995992&quot;/&gt;&lt;wsp:rsid wsp:val=&quot;009A03E5&quot;/&gt;&lt;wsp:rsid wsp:val=&quot;009A0F3B&quot;/&gt;&lt;wsp:rsid wsp:val=&quot;009A1BB4&quot;/&gt;&lt;wsp:rsid wsp:val=&quot;009A2628&quot;/&gt;&lt;wsp:rsid wsp:val=&quot;009A3200&quot;/&gt;&lt;wsp:rsid wsp:val=&quot;009A78A6&quot;/&gt;&lt;wsp:rsid wsp:val=&quot;009B046D&quot;/&gt;&lt;wsp:rsid wsp:val=&quot;009B0792&quot;/&gt;&lt;wsp:rsid wsp:val=&quot;009B0897&quot;/&gt;&lt;wsp:rsid wsp:val=&quot;009B379E&quot;/&gt;&lt;wsp:rsid wsp:val=&quot;009B66B6&quot;/&gt;&lt;wsp:rsid wsp:val=&quot;009B6A62&quot;/&gt;&lt;wsp:rsid wsp:val=&quot;009B7BD9&quot;/&gt;&lt;wsp:rsid wsp:val=&quot;009C0563&quot;/&gt;&lt;wsp:rsid wsp:val=&quot;009C425C&quot;/&gt;&lt;wsp:rsid wsp:val=&quot;009C6D2D&quot;/&gt;&lt;wsp:rsid wsp:val=&quot;009C7DD5&quot;/&gt;&lt;wsp:rsid wsp:val=&quot;009D2B98&quot;/&gt;&lt;wsp:rsid wsp:val=&quot;009D7A4D&quot;/&gt;&lt;wsp:rsid wsp:val=&quot;009E227D&quot;/&gt;&lt;wsp:rsid wsp:val=&quot;009E3774&quot;/&gt;&lt;wsp:rsid wsp:val=&quot;009E5019&quot;/&gt;&lt;wsp:rsid wsp:val=&quot;009E56D8&quot;/&gt;&lt;wsp:rsid wsp:val=&quot;009F103F&quot;/&gt;&lt;wsp:rsid wsp:val=&quot;009F54C0&quot;/&gt;&lt;wsp:rsid wsp:val=&quot;009F7B25&quot;/&gt;&lt;wsp:rsid wsp:val=&quot;00A04F1B&quot;/&gt;&lt;wsp:rsid wsp:val=&quot;00A0501B&quot;/&gt;&lt;wsp:rsid wsp:val=&quot;00A1053C&quot;/&gt;&lt;wsp:rsid wsp:val=&quot;00A14947&quot;/&gt;&lt;wsp:rsid wsp:val=&quot;00A22D5E&quot;/&gt;&lt;wsp:rsid wsp:val=&quot;00A32A83&quot;/&gt;&lt;wsp:rsid wsp:val=&quot;00A34813&quot;/&gt;&lt;wsp:rsid wsp:val=&quot;00A359FC&quot;/&gt;&lt;wsp:rsid wsp:val=&quot;00A368DB&quot;/&gt;&lt;wsp:rsid wsp:val=&quot;00A3720B&quot;/&gt;&lt;wsp:rsid wsp:val=&quot;00A40483&quot;/&gt;&lt;wsp:rsid wsp:val=&quot;00A41B44&quot;/&gt;&lt;wsp:rsid wsp:val=&quot;00A423AA&quot;/&gt;&lt;wsp:rsid wsp:val=&quot;00A46AF4&quot;/&gt;&lt;wsp:rsid wsp:val=&quot;00A50E5C&quot;/&gt;&lt;wsp:rsid wsp:val=&quot;00A53EC6&quot;/&gt;&lt;wsp:rsid wsp:val=&quot;00A543A3&quot;/&gt;&lt;wsp:rsid wsp:val=&quot;00A55C0F&quot;/&gt;&lt;wsp:rsid wsp:val=&quot;00A62E43&quot;/&gt;&lt;wsp:rsid wsp:val=&quot;00A6477E&quot;/&gt;&lt;wsp:rsid wsp:val=&quot;00A651F9&quot;/&gt;&lt;wsp:rsid wsp:val=&quot;00A707D1&quot;/&gt;&lt;wsp:rsid wsp:val=&quot;00A75926&quot;/&gt;&lt;wsp:rsid wsp:val=&quot;00A760B1&quot;/&gt;&lt;wsp:rsid wsp:val=&quot;00A80B36&quot;/&gt;&lt;wsp:rsid wsp:val=&quot;00A80E94&quot;/&gt;&lt;wsp:rsid wsp:val=&quot;00A8713F&quot;/&gt;&lt;wsp:rsid wsp:val=&quot;00A90BA1&quot;/&gt;&lt;wsp:rsid wsp:val=&quot;00A9337D&quot;/&gt;&lt;wsp:rsid wsp:val=&quot;00A96027&quot;/&gt;&lt;wsp:rsid wsp:val=&quot;00A9666F&quot;/&gt;&lt;wsp:rsid wsp:val=&quot;00A97A9A&quot;/&gt;&lt;wsp:rsid wsp:val=&quot;00AA0671&quot;/&gt;&lt;wsp:rsid wsp:val=&quot;00AA2531&quot;/&gt;&lt;wsp:rsid wsp:val=&quot;00AA4704&quot;/&gt;&lt;wsp:rsid wsp:val=&quot;00AA66C3&quot;/&gt;&lt;wsp:rsid wsp:val=&quot;00AB1E09&quot;/&gt;&lt;wsp:rsid wsp:val=&quot;00AB5330&quot;/&gt;&lt;wsp:rsid wsp:val=&quot;00AB7747&quot;/&gt;&lt;wsp:rsid wsp:val=&quot;00AC14CE&quot;/&gt;&lt;wsp:rsid wsp:val=&quot;00AC1E58&quot;/&gt;&lt;wsp:rsid wsp:val=&quot;00AC2A56&quot;/&gt;&lt;wsp:rsid wsp:val=&quot;00AC344E&quot;/&gt;&lt;wsp:rsid wsp:val=&quot;00AC7081&quot;/&gt;&lt;wsp:rsid wsp:val=&quot;00AD055E&quot;/&gt;&lt;wsp:rsid wsp:val=&quot;00AD2872&quot;/&gt;&lt;wsp:rsid wsp:val=&quot;00AD47A7&quot;/&gt;&lt;wsp:rsid wsp:val=&quot;00AD625A&quot;/&gt;&lt;wsp:rsid wsp:val=&quot;00AE2FBF&quot;/&gt;&lt;wsp:rsid wsp:val=&quot;00AE32A7&quot;/&gt;&lt;wsp:rsid wsp:val=&quot;00AE64DE&quot;/&gt;&lt;wsp:rsid wsp:val=&quot;00AE7606&quot;/&gt;&lt;wsp:rsid wsp:val=&quot;00AF0CBF&quot;/&gt;&lt;wsp:rsid wsp:val=&quot;00AF257F&quot;/&gt;&lt;wsp:rsid wsp:val=&quot;00AF33CF&quot;/&gt;&lt;wsp:rsid wsp:val=&quot;00AF4D50&quot;/&gt;&lt;wsp:rsid wsp:val=&quot;00AF6179&quot;/&gt;&lt;wsp:rsid wsp:val=&quot;00B1295A&quot;/&gt;&lt;wsp:rsid wsp:val=&quot;00B13C49&quot;/&gt;&lt;wsp:rsid wsp:val=&quot;00B13DE3&quot;/&gt;&lt;wsp:rsid wsp:val=&quot;00B20A45&quot;/&gt;&lt;wsp:rsid wsp:val=&quot;00B22736&quot;/&gt;&lt;wsp:rsid wsp:val=&quot;00B22C5C&quot;/&gt;&lt;wsp:rsid wsp:val=&quot;00B24F30&quot;/&gt;&lt;wsp:rsid wsp:val=&quot;00B272A8&quot;/&gt;&lt;wsp:rsid wsp:val=&quot;00B27E7F&quot;/&gt;&lt;wsp:rsid wsp:val=&quot;00B31037&quot;/&gt;&lt;wsp:rsid wsp:val=&quot;00B31ABF&quot;/&gt;&lt;wsp:rsid wsp:val=&quot;00B31C2A&quot;/&gt;&lt;wsp:rsid wsp:val=&quot;00B33BE3&quot;/&gt;&lt;wsp:rsid wsp:val=&quot;00B36E64&quot;/&gt;&lt;wsp:rsid wsp:val=&quot;00B4215F&quot;/&gt;&lt;wsp:rsid wsp:val=&quot;00B43435&quot;/&gt;&lt;wsp:rsid wsp:val=&quot;00B511ED&quot;/&gt;&lt;wsp:rsid wsp:val=&quot;00B51F4B&quot;/&gt;&lt;wsp:rsid wsp:val=&quot;00B52694&quot;/&gt;&lt;wsp:rsid wsp:val=&quot;00B53B5D&quot;/&gt;&lt;wsp:rsid wsp:val=&quot;00B56775&quot;/&gt;&lt;wsp:rsid wsp:val=&quot;00B57FE2&quot;/&gt;&lt;wsp:rsid wsp:val=&quot;00B6055E&quot;/&gt;&lt;wsp:rsid wsp:val=&quot;00B6317D&quot;/&gt;&lt;wsp:rsid wsp:val=&quot;00B63669&quot;/&gt;&lt;wsp:rsid wsp:val=&quot;00B64424&quot;/&gt;&lt;wsp:rsid wsp:val=&quot;00B67990&quot;/&gt;&lt;wsp:rsid wsp:val=&quot;00B7723F&quot;/&gt;&lt;wsp:rsid wsp:val=&quot;00B80534&quot;/&gt;&lt;wsp:rsid wsp:val=&quot;00B80546&quot;/&gt;&lt;wsp:rsid wsp:val=&quot;00B8433C&quot;/&gt;&lt;wsp:rsid wsp:val=&quot;00B87491&quot;/&gt;&lt;wsp:rsid wsp:val=&quot;00B918F9&quot;/&gt;&lt;wsp:rsid wsp:val=&quot;00B92EA1&quot;/&gt;&lt;wsp:rsid wsp:val=&quot;00B94296&quot;/&gt;&lt;wsp:rsid wsp:val=&quot;00BA273A&quot;/&gt;&lt;wsp:rsid wsp:val=&quot;00BA29E9&quot;/&gt;&lt;wsp:rsid wsp:val=&quot;00BA7142&quot;/&gt;&lt;wsp:rsid wsp:val=&quot;00BB237C&quot;/&gt;&lt;wsp:rsid wsp:val=&quot;00BB41A3&quot;/&gt;&lt;wsp:rsid wsp:val=&quot;00BB44F2&quot;/&gt;&lt;wsp:rsid wsp:val=&quot;00BC0A0A&quot;/&gt;&lt;wsp:rsid wsp:val=&quot;00BC0E92&quot;/&gt;&lt;wsp:rsid wsp:val=&quot;00BC32DC&quot;/&gt;&lt;wsp:rsid wsp:val=&quot;00BC35B6&quot;/&gt;&lt;wsp:rsid wsp:val=&quot;00BD1B51&quot;/&gt;&lt;wsp:rsid wsp:val=&quot;00BD4596&quot;/&gt;&lt;wsp:rsid wsp:val=&quot;00BE1405&quot;/&gt;&lt;wsp:rsid wsp:val=&quot;00BE23DE&quot;/&gt;&lt;wsp:rsid wsp:val=&quot;00BE312D&quot;/&gt;&lt;wsp:rsid wsp:val=&quot;00BE7AFE&quot;/&gt;&lt;wsp:rsid wsp:val=&quot;00BE7E1B&quot;/&gt;&lt;wsp:rsid wsp:val=&quot;00BF097C&quot;/&gt;&lt;wsp:rsid wsp:val=&quot;00BF1C20&quot;/&gt;&lt;wsp:rsid wsp:val=&quot;00BF21F7&quot;/&gt;&lt;wsp:rsid wsp:val=&quot;00BF2D2C&quot;/&gt;&lt;wsp:rsid wsp:val=&quot;00C10578&quot;/&gt;&lt;wsp:rsid wsp:val=&quot;00C1061A&quot;/&gt;&lt;wsp:rsid wsp:val=&quot;00C135BC&quot;/&gt;&lt;wsp:rsid wsp:val=&quot;00C15C95&quot;/&gt;&lt;wsp:rsid wsp:val=&quot;00C175E7&quot;/&gt;&lt;wsp:rsid wsp:val=&quot;00C22BEE&quot;/&gt;&lt;wsp:rsid wsp:val=&quot;00C234CE&quot;/&gt;&lt;wsp:rsid wsp:val=&quot;00C2596A&quot;/&gt;&lt;wsp:rsid wsp:val=&quot;00C26866&quot;/&gt;&lt;wsp:rsid wsp:val=&quot;00C27537&quot;/&gt;&lt;wsp:rsid wsp:val=&quot;00C31C31&quot;/&gt;&lt;wsp:rsid wsp:val=&quot;00C32398&quot;/&gt;&lt;wsp:rsid wsp:val=&quot;00C328FE&quot;/&gt;&lt;wsp:rsid wsp:val=&quot;00C33507&quot;/&gt;&lt;wsp:rsid wsp:val=&quot;00C408C1&quot;/&gt;&lt;wsp:rsid wsp:val=&quot;00C41D3D&quot;/&gt;&lt;wsp:rsid wsp:val=&quot;00C4409D&quot;/&gt;&lt;wsp:rsid wsp:val=&quot;00C44E72&quot;/&gt;&lt;wsp:rsid wsp:val=&quot;00C45A06&quot;/&gt;&lt;wsp:rsid wsp:val=&quot;00C47E5B&quot;/&gt;&lt;wsp:rsid wsp:val=&quot;00C61E4B&quot;/&gt;&lt;wsp:rsid wsp:val=&quot;00C639CA&quot;/&gt;&lt;wsp:rsid wsp:val=&quot;00C63B46&quot;/&gt;&lt;wsp:rsid wsp:val=&quot;00C64BFF&quot;/&gt;&lt;wsp:rsid wsp:val=&quot;00C6506C&quot;/&gt;&lt;wsp:rsid wsp:val=&quot;00C65333&quot;/&gt;&lt;wsp:rsid wsp:val=&quot;00C70448&quot;/&gt;&lt;wsp:rsid wsp:val=&quot;00C704E9&quot;/&gt;&lt;wsp:rsid wsp:val=&quot;00C74F21&quot;/&gt;&lt;wsp:rsid wsp:val=&quot;00C754D4&quot;/&gt;&lt;wsp:rsid wsp:val=&quot;00C763C9&quot;/&gt;&lt;wsp:rsid wsp:val=&quot;00C769E6&quot;/&gt;&lt;wsp:rsid wsp:val=&quot;00C80057&quot;/&gt;&lt;wsp:rsid wsp:val=&quot;00C82232&quot;/&gt;&lt;wsp:rsid wsp:val=&quot;00C82913&quot;/&gt;&lt;wsp:rsid wsp:val=&quot;00C86203&quot;/&gt;&lt;wsp:rsid wsp:val=&quot;00C86713&quot;/&gt;&lt;wsp:rsid wsp:val=&quot;00C925C0&quot;/&gt;&lt;wsp:rsid wsp:val=&quot;00C934E1&quot;/&gt;&lt;wsp:rsid wsp:val=&quot;00C972B1&quot;/&gt;&lt;wsp:rsid wsp:val=&quot;00CA29B0&quot;/&gt;&lt;wsp:rsid wsp:val=&quot;00CA2CCE&quot;/&gt;&lt;wsp:rsid wsp:val=&quot;00CA43FD&quot;/&gt;&lt;wsp:rsid wsp:val=&quot;00CA7DDE&quot;/&gt;&lt;wsp:rsid wsp:val=&quot;00CA7EF8&quot;/&gt;&lt;wsp:rsid wsp:val=&quot;00CB03E2&quot;/&gt;&lt;wsp:rsid wsp:val=&quot;00CC489B&quot;/&gt;&lt;wsp:rsid wsp:val=&quot;00CC66AE&quot;/&gt;&lt;wsp:rsid wsp:val=&quot;00CD2BCD&quot;/&gt;&lt;wsp:rsid wsp:val=&quot;00CD3A4C&quot;/&gt;&lt;wsp:rsid wsp:val=&quot;00CD4045&quot;/&gt;&lt;wsp:rsid wsp:val=&quot;00CD4D87&quot;/&gt;&lt;wsp:rsid wsp:val=&quot;00CE10E9&quot;/&gt;&lt;wsp:rsid wsp:val=&quot;00CE2910&quot;/&gt;&lt;wsp:rsid wsp:val=&quot;00CE2AC6&quot;/&gt;&lt;wsp:rsid wsp:val=&quot;00CE3BB1&quot;/&gt;&lt;wsp:rsid wsp:val=&quot;00CE3EA2&quot;/&gt;&lt;wsp:rsid wsp:val=&quot;00CE5393&quot;/&gt;&lt;wsp:rsid wsp:val=&quot;00CE7D84&quot;/&gt;&lt;wsp:rsid wsp:val=&quot;00CF040C&quot;/&gt;&lt;wsp:rsid wsp:val=&quot;00CF2EF3&quot;/&gt;&lt;wsp:rsid wsp:val=&quot;00CF314B&quot;/&gt;&lt;wsp:rsid wsp:val=&quot;00CF36BE&quot;/&gt;&lt;wsp:rsid wsp:val=&quot;00CF3709&quot;/&gt;&lt;wsp:rsid wsp:val=&quot;00CF5E3D&quot;/&gt;&lt;wsp:rsid wsp:val=&quot;00CF6000&quot;/&gt;&lt;wsp:rsid wsp:val=&quot;00D003F3&quot;/&gt;&lt;wsp:rsid wsp:val=&quot;00D0364F&quot;/&gt;&lt;wsp:rsid wsp:val=&quot;00D03CF0&quot;/&gt;&lt;wsp:rsid wsp:val=&quot;00D0588C&quot;/&gt;&lt;wsp:rsid wsp:val=&quot;00D06834&quot;/&gt;&lt;wsp:rsid wsp:val=&quot;00D07B3E&quot;/&gt;&lt;wsp:rsid wsp:val=&quot;00D12094&quot;/&gt;&lt;wsp:rsid wsp:val=&quot;00D15CD3&quot;/&gt;&lt;wsp:rsid wsp:val=&quot;00D258BD&quot;/&gt;&lt;wsp:rsid wsp:val=&quot;00D308ED&quot;/&gt;&lt;wsp:rsid wsp:val=&quot;00D328E0&quot;/&gt;&lt;wsp:rsid wsp:val=&quot;00D36D86&quot;/&gt;&lt;wsp:rsid wsp:val=&quot;00D428AA&quot;/&gt;&lt;wsp:rsid wsp:val=&quot;00D438FB&quot;/&gt;&lt;wsp:rsid wsp:val=&quot;00D43A8C&quot;/&gt;&lt;wsp:rsid wsp:val=&quot;00D4506F&quot;/&gt;&lt;wsp:rsid wsp:val=&quot;00D47829&quot;/&gt;&lt;wsp:rsid wsp:val=&quot;00D50A34&quot;/&gt;&lt;wsp:rsid wsp:val=&quot;00D52015&quot;/&gt;&lt;wsp:rsid wsp:val=&quot;00D53EFA&quot;/&gt;&lt;wsp:rsid wsp:val=&quot;00D54DC0&quot;/&gt;&lt;wsp:rsid wsp:val=&quot;00D57C39&quot;/&gt;&lt;wsp:rsid wsp:val=&quot;00D623D9&quot;/&gt;&lt;wsp:rsid wsp:val=&quot;00D67E3E&quot;/&gt;&lt;wsp:rsid wsp:val=&quot;00D77609&quot;/&gt;&lt;wsp:rsid wsp:val=&quot;00D8116E&quot;/&gt;&lt;wsp:rsid wsp:val=&quot;00D84E5D&quot;/&gt;&lt;wsp:rsid wsp:val=&quot;00D94046&quot;/&gt;&lt;wsp:rsid wsp:val=&quot;00D94A7C&quot;/&gt;&lt;wsp:rsid wsp:val=&quot;00D95896&quot;/&gt;&lt;wsp:rsid wsp:val=&quot;00D9630A&quot;/&gt;&lt;wsp:rsid wsp:val=&quot;00DA0D62&quot;/&gt;&lt;wsp:rsid wsp:val=&quot;00DA28F5&quot;/&gt;&lt;wsp:rsid wsp:val=&quot;00DB28D3&quot;/&gt;&lt;wsp:rsid wsp:val=&quot;00DB2983&quot;/&gt;&lt;wsp:rsid wsp:val=&quot;00DB489D&quot;/&gt;&lt;wsp:rsid wsp:val=&quot;00DC06CE&quot;/&gt;&lt;wsp:rsid wsp:val=&quot;00DC1257&quot;/&gt;&lt;wsp:rsid wsp:val=&quot;00DC2D8B&quot;/&gt;&lt;wsp:rsid wsp:val=&quot;00DC367F&quot;/&gt;&lt;wsp:rsid wsp:val=&quot;00DC3DC0&quot;/&gt;&lt;wsp:rsid wsp:val=&quot;00DC4661&quot;/&gt;&lt;wsp:rsid wsp:val=&quot;00DC5B2B&quot;/&gt;&lt;wsp:rsid wsp:val=&quot;00DC5FAC&quot;/&gt;&lt;wsp:rsid wsp:val=&quot;00DD163A&quot;/&gt;&lt;wsp:rsid wsp:val=&quot;00DD1F2A&quot;/&gt;&lt;wsp:rsid wsp:val=&quot;00DD318D&quot;/&gt;&lt;wsp:rsid wsp:val=&quot;00DD6C43&quot;/&gt;&lt;wsp:rsid wsp:val=&quot;00DE1BE8&quot;/&gt;&lt;wsp:rsid wsp:val=&quot;00DE3458&quot;/&gt;&lt;wsp:rsid wsp:val=&quot;00DE4BBF&quot;/&gt;&lt;wsp:rsid wsp:val=&quot;00DE7604&quot;/&gt;&lt;wsp:rsid wsp:val=&quot;00DF2C09&quot;/&gt;&lt;wsp:rsid wsp:val=&quot;00DF2E12&quot;/&gt;&lt;wsp:rsid wsp:val=&quot;00DF514A&quot;/&gt;&lt;wsp:rsid wsp:val=&quot;00DF6690&quot;/&gt;&lt;wsp:rsid wsp:val=&quot;00DF6804&quot;/&gt;&lt;wsp:rsid wsp:val=&quot;00E02B88&quot;/&gt;&lt;wsp:rsid wsp:val=&quot;00E0358D&quot;/&gt;&lt;wsp:rsid wsp:val=&quot;00E04323&quot;/&gt;&lt;wsp:rsid wsp:val=&quot;00E070A2&quot;/&gt;&lt;wsp:rsid wsp:val=&quot;00E1068E&quot;/&gt;&lt;wsp:rsid wsp:val=&quot;00E23C39&quot;/&gt;&lt;wsp:rsid wsp:val=&quot;00E2441C&quot;/&gt;&lt;wsp:rsid wsp:val=&quot;00E24AD8&quot;/&gt;&lt;wsp:rsid wsp:val=&quot;00E2656A&quot;/&gt;&lt;wsp:rsid wsp:val=&quot;00E34FE3&quot;/&gt;&lt;wsp:rsid wsp:val=&quot;00E412D0&quot;/&gt;&lt;wsp:rsid wsp:val=&quot;00E4174A&quot;/&gt;&lt;wsp:rsid wsp:val=&quot;00E43310&quot;/&gt;&lt;wsp:rsid wsp:val=&quot;00E43B81&quot;/&gt;&lt;wsp:rsid wsp:val=&quot;00E44883&quot;/&gt;&lt;wsp:rsid wsp:val=&quot;00E52032&quot;/&gt;&lt;wsp:rsid wsp:val=&quot;00E56322&quot;/&gt;&lt;wsp:rsid wsp:val=&quot;00E56328&quot;/&gt;&lt;wsp:rsid wsp:val=&quot;00E60982&quot;/&gt;&lt;wsp:rsid wsp:val=&quot;00E62C62&quot;/&gt;&lt;wsp:rsid wsp:val=&quot;00E62F8D&quot;/&gt;&lt;wsp:rsid wsp:val=&quot;00E64141&quot;/&gt;&lt;wsp:rsid wsp:val=&quot;00E654C1&quot;/&gt;&lt;wsp:rsid wsp:val=&quot;00E65D97&quot;/&gt;&lt;wsp:rsid wsp:val=&quot;00E708AC&quot;/&gt;&lt;wsp:rsid wsp:val=&quot;00E72A5A&quot;/&gt;&lt;wsp:rsid wsp:val=&quot;00E72F5F&quot;/&gt;&lt;wsp:rsid wsp:val=&quot;00E73354&quot;/&gt;&lt;wsp:rsid wsp:val=&quot;00E829AF&quot;/&gt;&lt;wsp:rsid wsp:val=&quot;00E9242D&quot;/&gt;&lt;wsp:rsid wsp:val=&quot;00EB1450&quot;/&gt;&lt;wsp:rsid wsp:val=&quot;00EB3A77&quot;/&gt;&lt;wsp:rsid wsp:val=&quot;00EB5255&quot;/&gt;&lt;wsp:rsid wsp:val=&quot;00EB5C47&quot;/&gt;&lt;wsp:rsid wsp:val=&quot;00EC5675&quot;/&gt;&lt;wsp:rsid wsp:val=&quot;00EC5D42&quot;/&gt;&lt;wsp:rsid wsp:val=&quot;00ED0639&quot;/&gt;&lt;wsp:rsid wsp:val=&quot;00ED1959&quot;/&gt;&lt;wsp:rsid wsp:val=&quot;00EE34BF&quot;/&gt;&lt;wsp:rsid wsp:val=&quot;00EE55C7&quot;/&gt;&lt;wsp:rsid wsp:val=&quot;00EF0145&quot;/&gt;&lt;wsp:rsid wsp:val=&quot;00EF0281&quot;/&gt;&lt;wsp:rsid wsp:val=&quot;00EF2394&quot;/&gt;&lt;wsp:rsid wsp:val=&quot;00EF2586&quot;/&gt;&lt;wsp:rsid wsp:val=&quot;00EF436D&quot;/&gt;&lt;wsp:rsid wsp:val=&quot;00EF4755&quot;/&gt;&lt;wsp:rsid wsp:val=&quot;00EF7135&quot;/&gt;&lt;wsp:rsid wsp:val=&quot;00F027DB&quot;/&gt;&lt;wsp:rsid wsp:val=&quot;00F077FA&quot;/&gt;&lt;wsp:rsid wsp:val=&quot;00F105C4&quot;/&gt;&lt;wsp:rsid wsp:val=&quot;00F14A7A&quot;/&gt;&lt;wsp:rsid wsp:val=&quot;00F22985&quot;/&gt;&lt;wsp:rsid wsp:val=&quot;00F26CF8&quot;/&gt;&lt;wsp:rsid wsp:val=&quot;00F313F6&quot;/&gt;&lt;wsp:rsid wsp:val=&quot;00F3383E&quot;/&gt;&lt;wsp:rsid wsp:val=&quot;00F43EAC&quot;/&gt;&lt;wsp:rsid wsp:val=&quot;00F465A7&quot;/&gt;&lt;wsp:rsid wsp:val=&quot;00F50B7C&quot;/&gt;&lt;wsp:rsid wsp:val=&quot;00F53C06&quot;/&gt;&lt;wsp:rsid wsp:val=&quot;00F53EF2&quot;/&gt;&lt;wsp:rsid wsp:val=&quot;00F5409D&quot;/&gt;&lt;wsp:rsid wsp:val=&quot;00F54ED7&quot;/&gt;&lt;wsp:rsid wsp:val=&quot;00F550E6&quot;/&gt;&lt;wsp:rsid wsp:val=&quot;00F57E83&quot;/&gt;&lt;wsp:rsid wsp:val=&quot;00F622CB&quot;/&gt;&lt;wsp:rsid wsp:val=&quot;00F679B4&quot;/&gt;&lt;wsp:rsid wsp:val=&quot;00F74345&quot;/&gt;&lt;wsp:rsid wsp:val=&quot;00F8014E&quot;/&gt;&lt;wsp:rsid wsp:val=&quot;00F80A0A&quot;/&gt;&lt;wsp:rsid wsp:val=&quot;00F82B19&quot;/&gt;&lt;wsp:rsid wsp:val=&quot;00F84754&quot;/&gt;&lt;wsp:rsid wsp:val=&quot;00F9212D&quot;/&gt;&lt;wsp:rsid wsp:val=&quot;00F965DA&quot;/&gt;&lt;wsp:rsid wsp:val=&quot;00FA406A&quot;/&gt;&lt;wsp:rsid wsp:val=&quot;00FB503A&quot;/&gt;&lt;wsp:rsid wsp:val=&quot;00FB516C&quot;/&gt;&lt;wsp:rsid wsp:val=&quot;00FC4A11&quot;/&gt;&lt;wsp:rsid wsp:val=&quot;00FC53BD&quot;/&gt;&lt;wsp:rsid wsp:val=&quot;00FD0236&quot;/&gt;&lt;wsp:rsid wsp:val=&quot;00FD116B&quot;/&gt;&lt;wsp:rsid wsp:val=&quot;00FD18F4&quot;/&gt;&lt;wsp:rsid wsp:val=&quot;00FD322F&quot;/&gt;&lt;wsp:rsid wsp:val=&quot;00FD54DB&quot;/&gt;&lt;wsp:rsid wsp:val=&quot;00FD5790&quot;/&gt;&lt;wsp:rsid wsp:val=&quot;00FD619F&quot;/&gt;&lt;wsp:rsid wsp:val=&quot;00FE43B9&quot;/&gt;&lt;wsp:rsid wsp:val=&quot;00FF495D&quot;/&gt;&lt;wsp:rsid wsp:val=&quot;00FF7B0B&quot;/&gt;&lt;wsp:rsid wsp:val=&quot;011454F9&quot;/&gt;&lt;wsp:rsid wsp:val=&quot;0122177B&quot;/&gt;&lt;wsp:rsid wsp:val=&quot;01290F7E&quot;/&gt;&lt;wsp:rsid wsp:val=&quot;012D5AD8&quot;/&gt;&lt;wsp:rsid wsp:val=&quot;015D1E09&quot;/&gt;&lt;wsp:rsid wsp:val=&quot;016C4C19&quot;/&gt;&lt;wsp:rsid wsp:val=&quot;01D512FE&quot;/&gt;&lt;wsp:rsid wsp:val=&quot;021C461D&quot;/&gt;&lt;wsp:rsid wsp:val=&quot;02316736&quot;/&gt;&lt;wsp:rsid wsp:val=&quot;02697903&quot;/&gt;&lt;wsp:rsid wsp:val=&quot;02743AD7&quot;/&gt;&lt;wsp:rsid wsp:val=&quot;02774E21&quot;/&gt;&lt;wsp:rsid wsp:val=&quot;02C73A9D&quot;/&gt;&lt;wsp:rsid wsp:val=&quot;02DF3F93&quot;/&gt;&lt;wsp:rsid wsp:val=&quot;02EF0302&quot;/&gt;&lt;wsp:rsid wsp:val=&quot;02F42AF6&quot;/&gt;&lt;wsp:rsid wsp:val=&quot;02F96569&quot;/&gt;&lt;wsp:rsid wsp:val=&quot;032A4004&quot;/&gt;&lt;wsp:rsid wsp:val=&quot;03343439&quot;/&gt;&lt;wsp:rsid wsp:val=&quot;03917223&quot;/&gt;&lt;wsp:rsid wsp:val=&quot;03924037&quot;/&gt;&lt;wsp:rsid wsp:val=&quot;03E4090F&quot;/&gt;&lt;wsp:rsid wsp:val=&quot;03EA7B21&quot;/&gt;&lt;wsp:rsid wsp:val=&quot;041B75AD&quot;/&gt;&lt;wsp:rsid wsp:val=&quot;041D3E29&quot;/&gt;&lt;wsp:rsid wsp:val=&quot;04AE7167&quot;/&gt;&lt;wsp:rsid wsp:val=&quot;04B35764&quot;/&gt;&lt;wsp:rsid wsp:val=&quot;04BE5847&quot;/&gt;&lt;wsp:rsid wsp:val=&quot;04C06A59&quot;/&gt;&lt;wsp:rsid wsp:val=&quot;04C7345C&quot;/&gt;&lt;wsp:rsid wsp:val=&quot;050425F9&quot;/&gt;&lt;wsp:rsid wsp:val=&quot;05065C62&quot;/&gt;&lt;wsp:rsid wsp:val=&quot;05086887&quot;/&gt;&lt;wsp:rsid wsp:val=&quot;052A6349&quot;/&gt;&lt;wsp:rsid wsp:val=&quot;052D4FD8&quot;/&gt;&lt;wsp:rsid wsp:val=&quot;053C0EA0&quot;/&gt;&lt;wsp:rsid wsp:val=&quot;05585C3D&quot;/&gt;&lt;wsp:rsid wsp:val=&quot;05692BD6&quot;/&gt;&lt;wsp:rsid wsp:val=&quot;05A57C50&quot;/&gt;&lt;wsp:rsid wsp:val=&quot;05DC2619&quot;/&gt;&lt;wsp:rsid wsp:val=&quot;05EB3AE6&quot;/&gt;&lt;wsp:rsid wsp:val=&quot;05F83EAE&quot;/&gt;&lt;wsp:rsid wsp:val=&quot;060D1384&quot;/&gt;&lt;wsp:rsid wsp:val=&quot;063B1344&quot;/&gt;&lt;wsp:rsid wsp:val=&quot;063E7D85&quot;/&gt;&lt;wsp:rsid wsp:val=&quot;06B45BE4&quot;/&gt;&lt;wsp:rsid wsp:val=&quot;06C04DE4&quot;/&gt;&lt;wsp:rsid wsp:val=&quot;06CE49C9&quot;/&gt;&lt;wsp:rsid wsp:val=&quot;07293586&quot;/&gt;&lt;wsp:rsid wsp:val=&quot;07295285&quot;/&gt;&lt;wsp:rsid wsp:val=&quot;07366D47&quot;/&gt;&lt;wsp:rsid wsp:val=&quot;07457CCE&quot;/&gt;&lt;wsp:rsid wsp:val=&quot;07636392&quot;/&gt;&lt;wsp:rsid wsp:val=&quot;07770C56&quot;/&gt;&lt;wsp:rsid wsp:val=&quot;077A6DC4&quot;/&gt;&lt;wsp:rsid wsp:val=&quot;07CD6198&quot;/&gt;&lt;wsp:rsid wsp:val=&quot;07F34BE0&quot;/&gt;&lt;wsp:rsid wsp:val=&quot;081125CE&quot;/&gt;&lt;wsp:rsid wsp:val=&quot;081D1500&quot;/&gt;&lt;wsp:rsid wsp:val=&quot;08246246&quot;/&gt;&lt;wsp:rsid wsp:val=&quot;083F1958&quot;/&gt;&lt;wsp:rsid wsp:val=&quot;08820311&quot;/&gt;&lt;wsp:rsid wsp:val=&quot;08940749&quot;/&gt;&lt;wsp:rsid wsp:val=&quot;08EB5F01&quot;/&gt;&lt;wsp:rsid wsp:val=&quot;08F22476&quot;/&gt;&lt;wsp:rsid wsp:val=&quot;08F22726&quot;/&gt;&lt;wsp:rsid wsp:val=&quot;092217DD&quot;/&gt;&lt;wsp:rsid wsp:val=&quot;093A7294&quot;/&gt;&lt;wsp:rsid wsp:val=&quot;0942299C&quot;/&gt;&lt;wsp:rsid wsp:val=&quot;09C53BBD&quot;/&gt;&lt;wsp:rsid wsp:val=&quot;09CD1774&quot;/&gt;&lt;wsp:rsid wsp:val=&quot;0A15216D&quot;/&gt;&lt;wsp:rsid wsp:val=&quot;0A263993&quot;/&gt;&lt;wsp:rsid wsp:val=&quot;0A2D3AC2&quot;/&gt;&lt;wsp:rsid wsp:val=&quot;0A3470C9&quot;/&gt;&lt;wsp:rsid wsp:val=&quot;0A4B711F&quot;/&gt;&lt;wsp:rsid wsp:val=&quot;0A556D5C&quot;/&gt;&lt;wsp:rsid wsp:val=&quot;0A5A582A&quot;/&gt;&lt;wsp:rsid wsp:val=&quot;0A723C9C&quot;/&gt;&lt;wsp:rsid wsp:val=&quot;0AA755DF&quot;/&gt;&lt;wsp:rsid wsp:val=&quot;0AAF064A&quot;/&gt;&lt;wsp:rsid wsp:val=&quot;0ACF06BA&quot;/&gt;&lt;wsp:rsid wsp:val=&quot;0AEC69F3&quot;/&gt;&lt;wsp:rsid wsp:val=&quot;0B022F0D&quot;/&gt;&lt;wsp:rsid wsp:val=&quot;0B120D44&quot;/&gt;&lt;wsp:rsid wsp:val=&quot;0B146C26&quot;/&gt;&lt;wsp:rsid wsp:val=&quot;0B264B2A&quot;/&gt;&lt;wsp:rsid wsp:val=&quot;0B586211&quot;/&gt;&lt;wsp:rsid wsp:val=&quot;0BB60AD4&quot;/&gt;&lt;wsp:rsid wsp:val=&quot;0BC02EB0&quot;/&gt;&lt;wsp:rsid wsp:val=&quot;0BD27BF6&quot;/&gt;&lt;wsp:rsid wsp:val=&quot;0BDA5200&quot;/&gt;&lt;wsp:rsid wsp:val=&quot;0C3B3C7D&quot;/&gt;&lt;wsp:rsid wsp:val=&quot;0C6246E6&quot;/&gt;&lt;wsp:rsid wsp:val=&quot;0C6422CB&quot;/&gt;&lt;wsp:rsid wsp:val=&quot;0C790683&quot;/&gt;&lt;wsp:rsid wsp:val=&quot;0CA8688B&quot;/&gt;&lt;wsp:rsid wsp:val=&quot;0CAA2036&quot;/&gt;&lt;wsp:rsid wsp:val=&quot;0CAB2EAE&quot;/&gt;&lt;wsp:rsid wsp:val=&quot;0CCB061E&quot;/&gt;&lt;wsp:rsid wsp:val=&quot;0CD6602D&quot;/&gt;&lt;wsp:rsid wsp:val=&quot;0CEF6424&quot;/&gt;&lt;wsp:rsid wsp:val=&quot;0D2565E2&quot;/&gt;&lt;wsp:rsid wsp:val=&quot;0D547385&quot;/&gt;&lt;wsp:rsid wsp:val=&quot;0D621C7D&quot;/&gt;&lt;wsp:rsid wsp:val=&quot;0DB564F7&quot;/&gt;&lt;wsp:rsid wsp:val=&quot;0DFD4B76&quot;/&gt;&lt;wsp:rsid wsp:val=&quot;0E075839&quot;/&gt;&lt;wsp:rsid wsp:val=&quot;0E0F477D&quot;/&gt;&lt;wsp:rsid wsp:val=&quot;0E561104&quot;/&gt;&lt;wsp:rsid wsp:val=&quot;0E73034D&quot;/&gt;&lt;wsp:rsid wsp:val=&quot;0EA67B00&quot;/&gt;&lt;wsp:rsid wsp:val=&quot;0EBD2634&quot;/&gt;&lt;wsp:rsid wsp:val=&quot;0EC8676A&quot;/&gt;&lt;wsp:rsid wsp:val=&quot;0F103591&quot;/&gt;&lt;wsp:rsid wsp:val=&quot;0F13775A&quot;/&gt;&lt;wsp:rsid wsp:val=&quot;0F332577&quot;/&gt;&lt;wsp:rsid wsp:val=&quot;0F3364D0&quot;/&gt;&lt;wsp:rsid wsp:val=&quot;0F362CB2&quot;/&gt;&lt;wsp:rsid wsp:val=&quot;0F5F45FE&quot;/&gt;&lt;wsp:rsid wsp:val=&quot;0F600F7E&quot;/&gt;&lt;wsp:rsid wsp:val=&quot;0F803C12&quot;/&gt;&lt;wsp:rsid wsp:val=&quot;0F8451AF&quot;/&gt;&lt;wsp:rsid wsp:val=&quot;0F9A112B&quot;/&gt;&lt;wsp:rsid wsp:val=&quot;0FA13A21&quot;/&gt;&lt;wsp:rsid wsp:val=&quot;0FA4036D&quot;/&gt;&lt;wsp:rsid wsp:val=&quot;0FAC682D&quot;/&gt;&lt;wsp:rsid wsp:val=&quot;0FF74BED&quot;/&gt;&lt;wsp:rsid wsp:val=&quot;10166590&quot;/&gt;&lt;wsp:rsid wsp:val=&quot;10166E2D&quot;/&gt;&lt;wsp:rsid wsp:val=&quot;103A155A&quot;/&gt;&lt;wsp:rsid wsp:val=&quot;10534B8C&quot;/&gt;&lt;wsp:rsid wsp:val=&quot;106D2F64&quot;/&gt;&lt;wsp:rsid wsp:val=&quot;108400D5&quot;/&gt;&lt;wsp:rsid wsp:val=&quot;10854A12&quot;/&gt;&lt;wsp:rsid wsp:val=&quot;10892FC3&quot;/&gt;&lt;wsp:rsid wsp:val=&quot;108931C0&quot;/&gt;&lt;wsp:rsid wsp:val=&quot;10913E2E&quot;/&gt;&lt;wsp:rsid wsp:val=&quot;10B63710&quot;/&gt;&lt;wsp:rsid wsp:val=&quot;10B7799D&quot;/&gt;&lt;wsp:rsid wsp:val=&quot;10BA3969&quot;/&gt;&lt;wsp:rsid wsp:val=&quot;10D06513&quot;/&gt;&lt;wsp:rsid wsp:val=&quot;10D41A87&quot;/&gt;&lt;wsp:rsid wsp:val=&quot;10DB5B8E&quot;/&gt;&lt;wsp:rsid wsp:val=&quot;10EE637E&quot;/&gt;&lt;wsp:rsid wsp:val=&quot;10F10820&quot;/&gt;&lt;wsp:rsid wsp:val=&quot;111239FE&quot;/&gt;&lt;wsp:rsid wsp:val=&quot;111C2F7A&quot;/&gt;&lt;wsp:rsid wsp:val=&quot;113742F5&quot;/&gt;&lt;wsp:rsid wsp:val=&quot;115033DA&quot;/&gt;&lt;wsp:rsid wsp:val=&quot;11587961&quot;/&gt;&lt;wsp:rsid wsp:val=&quot;11665CA1&quot;/&gt;&lt;wsp:rsid wsp:val=&quot;11860CB9&quot;/&gt;&lt;wsp:rsid wsp:val=&quot;1186606E&quot;/&gt;&lt;wsp:rsid wsp:val=&quot;1198426E&quot;/&gt;&lt;wsp:rsid wsp:val=&quot;11AC4230&quot;/&gt;&lt;wsp:rsid wsp:val=&quot;11AD6F74&quot;/&gt;&lt;wsp:rsid wsp:val=&quot;11BE0CED&quot;/&gt;&lt;wsp:rsid wsp:val=&quot;11C23998&quot;/&gt;&lt;wsp:rsid wsp:val=&quot;11DA1AEB&quot;/&gt;&lt;wsp:rsid wsp:val=&quot;11EC7D9E&quot;/&gt;&lt;wsp:rsid wsp:val=&quot;1224317D&quot;/&gt;&lt;wsp:rsid wsp:val=&quot;12392222&quot;/&gt;&lt;wsp:rsid wsp:val=&quot;123F2702&quot;/&gt;&lt;wsp:rsid wsp:val=&quot;12444F86&quot;/&gt;&lt;wsp:rsid wsp:val=&quot;1286119F&quot;/&gt;&lt;wsp:rsid wsp:val=&quot;129338CC&quot;/&gt;&lt;wsp:rsid wsp:val=&quot;129E0A7C&quot;/&gt;&lt;wsp:rsid wsp:val=&quot;12A23F42&quot;/&gt;&lt;wsp:rsid wsp:val=&quot;12B94687&quot;/&gt;&lt;wsp:rsid wsp:val=&quot;12E144DA&quot;/&gt;&lt;wsp:rsid wsp:val=&quot;13787D05&quot;/&gt;&lt;wsp:rsid wsp:val=&quot;13951726&quot;/&gt;&lt;wsp:rsid wsp:val=&quot;13A059FF&quot;/&gt;&lt;wsp:rsid wsp:val=&quot;13FF3510&quot;/&gt;&lt;wsp:rsid wsp:val=&quot;141A646D&quot;/&gt;&lt;wsp:rsid wsp:val=&quot;142F0B3A&quot;/&gt;&lt;wsp:rsid wsp:val=&quot;1436303E&quot;/&gt;&lt;wsp:rsid wsp:val=&quot;14396509&quot;/&gt;&lt;wsp:rsid wsp:val=&quot;144C19A0&quot;/&gt;&lt;wsp:rsid wsp:val=&quot;146E0E9E&quot;/&gt;&lt;wsp:rsid wsp:val=&quot;14C3594F&quot;/&gt;&lt;wsp:rsid wsp:val=&quot;14DD2C3C&quot;/&gt;&lt;wsp:rsid wsp:val=&quot;14F344C7&quot;/&gt;&lt;wsp:rsid wsp:val=&quot;150C77BF&quot;/&gt;&lt;wsp:rsid wsp:val=&quot;150F34DF&quot;/&gt;&lt;wsp:rsid wsp:val=&quot;15200AF7&quot;/&gt;&lt;wsp:rsid wsp:val=&quot;15810F82&quot;/&gt;&lt;wsp:rsid wsp:val=&quot;158B6093&quot;/&gt;&lt;wsp:rsid wsp:val=&quot;159B2FD2&quot;/&gt;&lt;wsp:rsid wsp:val=&quot;15C51650&quot;/&gt;&lt;wsp:rsid wsp:val=&quot;15C91C45&quot;/&gt;&lt;wsp:rsid wsp:val=&quot;16087E1D&quot;/&gt;&lt;wsp:rsid wsp:val=&quot;161673DF&quot;/&gt;&lt;wsp:rsid wsp:val=&quot;162360E5&quot;/&gt;&lt;wsp:rsid wsp:val=&quot;1637336C&quot;/&gt;&lt;wsp:rsid wsp:val=&quot;164A03CA&quot;/&gt;&lt;wsp:rsid wsp:val=&quot;164D4109&quot;/&gt;&lt;wsp:rsid wsp:val=&quot;169B49F3&quot;/&gt;&lt;wsp:rsid wsp:val=&quot;16BB0F29&quot;/&gt;&lt;wsp:rsid wsp:val=&quot;16BE3E40&quot;/&gt;&lt;wsp:rsid wsp:val=&quot;16CD64BD&quot;/&gt;&lt;wsp:rsid wsp:val=&quot;16DB368E&quot;/&gt;&lt;wsp:rsid wsp:val=&quot;16DB631A&quot;/&gt;&lt;wsp:rsid wsp:val=&quot;16DC78BC&quot;/&gt;&lt;wsp:rsid wsp:val=&quot;1736338A&quot;/&gt;&lt;wsp:rsid wsp:val=&quot;17463338&quot;/&gt;&lt;wsp:rsid wsp:val=&quot;17701D14&quot;/&gt;&lt;wsp:rsid wsp:val=&quot;17735226&quot;/&gt;&lt;wsp:rsid wsp:val=&quot;178F0015&quot;/&gt;&lt;wsp:rsid wsp:val=&quot;178F21FF&quot;/&gt;&lt;wsp:rsid wsp:val=&quot;17E41D2C&quot;/&gt;&lt;wsp:rsid wsp:val=&quot;17E54A2F&quot;/&gt;&lt;wsp:rsid wsp:val=&quot;181F2BD6&quot;/&gt;&lt;wsp:rsid wsp:val=&quot;186355BB&quot;/&gt;&lt;wsp:rsid wsp:val=&quot;189F624C&quot;/&gt;&lt;wsp:rsid wsp:val=&quot;18AB41E7&quot;/&gt;&lt;wsp:rsid wsp:val=&quot;18AC19C5&quot;/&gt;&lt;wsp:rsid wsp:val=&quot;18F76176&quot;/&gt;&lt;wsp:rsid wsp:val=&quot;192C5483&quot;/&gt;&lt;wsp:rsid wsp:val=&quot;19573E06&quot;/&gt;&lt;wsp:rsid wsp:val=&quot;196460D6&quot;/&gt;&lt;wsp:rsid wsp:val=&quot;19651AD8&quot;/&gt;&lt;wsp:rsid wsp:val=&quot;1968538D&quot;/&gt;&lt;wsp:rsid wsp:val=&quot;198620D6&quot;/&gt;&lt;wsp:rsid wsp:val=&quot;19B17E87&quot;/&gt;&lt;wsp:rsid wsp:val=&quot;19C226EB&quot;/&gt;&lt;wsp:rsid wsp:val=&quot;19D7417A&quot;/&gt;&lt;wsp:rsid wsp:val=&quot;1A1C66C0&quot;/&gt;&lt;wsp:rsid wsp:val=&quot;1A42393B&quot;/&gt;&lt;wsp:rsid wsp:val=&quot;1A466C59&quot;/&gt;&lt;wsp:rsid wsp:val=&quot;1A507A77&quot;/&gt;&lt;wsp:rsid wsp:val=&quot;1A5910F0&quot;/&gt;&lt;wsp:rsid wsp:val=&quot;1AAD45DE&quot;/&gt;&lt;wsp:rsid wsp:val=&quot;1ACE6341&quot;/&gt;&lt;wsp:rsid wsp:val=&quot;1AE14E8A&quot;/&gt;&lt;wsp:rsid wsp:val=&quot;1AE43477&quot;/&gt;&lt;wsp:rsid wsp:val=&quot;1B044BEA&quot;/&gt;&lt;wsp:rsid wsp:val=&quot;1B046F80&quot;/&gt;&lt;wsp:rsid wsp:val=&quot;1B3267B5&quot;/&gt;&lt;wsp:rsid wsp:val=&quot;1B352BF3&quot;/&gt;&lt;wsp:rsid wsp:val=&quot;1B40161D&quot;/&gt;&lt;wsp:rsid wsp:val=&quot;1B441859&quot;/&gt;&lt;wsp:rsid wsp:val=&quot;1B454EAD&quot;/&gt;&lt;wsp:rsid wsp:val=&quot;1B474F18&quot;/&gt;&lt;wsp:rsid wsp:val=&quot;1B644B29&quot;/&gt;&lt;wsp:rsid wsp:val=&quot;1B6606B1&quot;/&gt;&lt;wsp:rsid wsp:val=&quot;1B674700&quot;/&gt;&lt;wsp:rsid wsp:val=&quot;1B8F6DD1&quot;/&gt;&lt;wsp:rsid wsp:val=&quot;1B9978FB&quot;/&gt;&lt;wsp:rsid wsp:val=&quot;1B9B581B&quot;/&gt;&lt;wsp:rsid wsp:val=&quot;1BAE628C&quot;/&gt;&lt;wsp:rsid wsp:val=&quot;1BDD16FA&quot;/&gt;&lt;wsp:rsid wsp:val=&quot;1C054A99&quot;/&gt;&lt;wsp:rsid wsp:val=&quot;1C057B80&quot;/&gt;&lt;wsp:rsid wsp:val=&quot;1C2B5B3D&quot;/&gt;&lt;wsp:rsid wsp:val=&quot;1C475FFF&quot;/&gt;&lt;wsp:rsid wsp:val=&quot;1C5E7925&quot;/&gt;&lt;wsp:rsid wsp:val=&quot;1C6F78E3&quot;/&gt;&lt;wsp:rsid wsp:val=&quot;1C803289&quot;/&gt;&lt;wsp:rsid wsp:val=&quot;1CA16166&quot;/&gt;&lt;wsp:rsid wsp:val=&quot;1CF366E6&quot;/&gt;&lt;wsp:rsid wsp:val=&quot;1CFD070F&quot;/&gt;&lt;wsp:rsid wsp:val=&quot;1D5F6196&quot;/&gt;&lt;wsp:rsid wsp:val=&quot;1D6132A5&quot;/&gt;&lt;wsp:rsid wsp:val=&quot;1D8E56D5&quot;/&gt;&lt;wsp:rsid wsp:val=&quot;1DFB31A4&quot;/&gt;&lt;wsp:rsid wsp:val=&quot;1E0D6277&quot;/&gt;&lt;wsp:rsid wsp:val=&quot;1E576DBD&quot;/&gt;&lt;wsp:rsid wsp:val=&quot;1E7A43DA&quot;/&gt;&lt;wsp:rsid wsp:val=&quot;1E850517&quot;/&gt;&lt;wsp:rsid wsp:val=&quot;1F5338E4&quot;/&gt;&lt;wsp:rsid wsp:val=&quot;1F6257E5&quot;/&gt;&lt;wsp:rsid wsp:val=&quot;1F625C1D&quot;/&gt;&lt;wsp:rsid wsp:val=&quot;1F9821A0&quot;/&gt;&lt;wsp:rsid wsp:val=&quot;1FE7539E&quot;/&gt;&lt;wsp:rsid wsp:val=&quot;20391D58&quot;/&gt;&lt;wsp:rsid wsp:val=&quot;2041182F&quot;/&gt;&lt;wsp:rsid wsp:val=&quot;20552D71&quot;/&gt;&lt;wsp:rsid wsp:val=&quot;20671BE0&quot;/&gt;&lt;wsp:rsid wsp:val=&quot;20673FE1&quot;/&gt;&lt;wsp:rsid wsp:val=&quot;209158F8&quot;/&gt;&lt;wsp:rsid wsp:val=&quot;20963CB8&quot;/&gt;&lt;wsp:rsid wsp:val=&quot;20A81A1B&quot;/&gt;&lt;wsp:rsid wsp:val=&quot;20B07FB6&quot;/&gt;&lt;wsp:rsid wsp:val=&quot;20B646FB&quot;/&gt;&lt;wsp:rsid wsp:val=&quot;20EA6499&quot;/&gt;&lt;wsp:rsid wsp:val=&quot;20F01054&quot;/&gt;&lt;wsp:rsid wsp:val=&quot;20FC141B&quot;/&gt;&lt;wsp:rsid wsp:val=&quot;20FE1B70&quot;/&gt;&lt;wsp:rsid wsp:val=&quot;210F5164&quot;/&gt;&lt;wsp:rsid wsp:val=&quot;211F30A1&quot;/&gt;&lt;wsp:rsid wsp:val=&quot;212450B6&quot;/&gt;&lt;wsp:rsid wsp:val=&quot;21321CA7&quot;/&gt;&lt;wsp:rsid wsp:val=&quot;213B74B1&quot;/&gt;&lt;wsp:rsid wsp:val=&quot;21484562&quot;/&gt;&lt;wsp:rsid wsp:val=&quot;214B1912&quot;/&gt;&lt;wsp:rsid wsp:val=&quot;2152264B&quot;/&gt;&lt;wsp:rsid wsp:val=&quot;215A2310&quot;/&gt;&lt;wsp:rsid wsp:val=&quot;216702D2&quot;/&gt;&lt;wsp:rsid wsp:val=&quot;21701179&quot;/&gt;&lt;wsp:rsid wsp:val=&quot;21992D50&quot;/&gt;&lt;wsp:rsid wsp:val=&quot;21AE6B19&quot;/&gt;&lt;wsp:rsid wsp:val=&quot;21B76F07&quot;/&gt;&lt;wsp:rsid wsp:val=&quot;21BF5E84&quot;/&gt;&lt;wsp:rsid wsp:val=&quot;21D50D70&quot;/&gt;&lt;wsp:rsid wsp:val=&quot;21DE318A&quot;/&gt;&lt;wsp:rsid wsp:val=&quot;21EF5B80&quot;/&gt;&lt;wsp:rsid wsp:val=&quot;21F435F1&quot;/&gt;&lt;wsp:rsid wsp:val=&quot;21F654C7&quot;/&gt;&lt;wsp:rsid wsp:val=&quot;21FF51AF&quot;/&gt;&lt;wsp:rsid wsp:val=&quot;221F3B4E&quot;/&gt;&lt;wsp:rsid wsp:val=&quot;222379D9&quot;/&gt;&lt;wsp:rsid wsp:val=&quot;2243776C&quot;/&gt;&lt;wsp:rsid wsp:val=&quot;22576990&quot;/&gt;&lt;wsp:rsid wsp:val=&quot;22787A45&quot;/&gt;&lt;wsp:rsid wsp:val=&quot;227E6396&quot;/&gt;&lt;wsp:rsid wsp:val=&quot;22856B7F&quot;/&gt;&lt;wsp:rsid wsp:val=&quot;229C4C96&quot;/&gt;&lt;wsp:rsid wsp:val=&quot;22CF7EE0&quot;/&gt;&lt;wsp:rsid wsp:val=&quot;22DD5403&quot;/&gt;&lt;wsp:rsid wsp:val=&quot;22F2739F&quot;/&gt;&lt;wsp:rsid wsp:val=&quot;22F47480&quot;/&gt;&lt;wsp:rsid wsp:val=&quot;22F8223D&quot;/&gt;&lt;wsp:rsid wsp:val=&quot;230C7555&quot;/&gt;&lt;wsp:rsid wsp:val=&quot;234A1CAB&quot;/&gt;&lt;wsp:rsid wsp:val=&quot;235D0A6A&quot;/&gt;&lt;wsp:rsid wsp:val=&quot;235D3F1A&quot;/&gt;&lt;wsp:rsid wsp:val=&quot;236E24FF&quot;/&gt;&lt;wsp:rsid wsp:val=&quot;239B0C2C&quot;/&gt;&lt;wsp:rsid wsp:val=&quot;23DA41A0&quot;/&gt;&lt;wsp:rsid wsp:val=&quot;23DE1C48&quot;/&gt;&lt;wsp:rsid wsp:val=&quot;240210CD&quot;/&gt;&lt;wsp:rsid wsp:val=&quot;24110525&quot;/&gt;&lt;wsp:rsid wsp:val=&quot;241F6274&quot;/&gt;&lt;wsp:rsid wsp:val=&quot;244250D8&quot;/&gt;&lt;wsp:rsid wsp:val=&quot;24437762&quot;/&gt;&lt;wsp:rsid wsp:val=&quot;24BC54EC&quot;/&gt;&lt;wsp:rsid wsp:val=&quot;24BF08CF&quot;/&gt;&lt;wsp:rsid wsp:val=&quot;24BF09F7&quot;/&gt;&lt;wsp:rsid wsp:val=&quot;24D14F23&quot;/&gt;&lt;wsp:rsid wsp:val=&quot;24DD3DBB&quot;/&gt;&lt;wsp:rsid wsp:val=&quot;25160215&quot;/&gt;&lt;wsp:rsid wsp:val=&quot;252D53FE&quot;/&gt;&lt;wsp:rsid wsp:val=&quot;253802A7&quot;/&gt;&lt;wsp:rsid wsp:val=&quot;25671663&quot;/&gt;&lt;wsp:rsid wsp:val=&quot;256E2DE4&quot;/&gt;&lt;wsp:rsid wsp:val=&quot;25922B3B&quot;/&gt;&lt;wsp:rsid wsp:val=&quot;25EC2D81&quot;/&gt;&lt;wsp:rsid wsp:val=&quot;25F55AE2&quot;/&gt;&lt;wsp:rsid wsp:val=&quot;25F7019A&quot;/&gt;&lt;wsp:rsid wsp:val=&quot;261037AD&quot;/&gt;&lt;wsp:rsid wsp:val=&quot;26281C0E&quot;/&gt;&lt;wsp:rsid wsp:val=&quot;262F74C8&quot;/&gt;&lt;wsp:rsid wsp:val=&quot;264B3EA7&quot;/&gt;&lt;wsp:rsid wsp:val=&quot;265155C2&quot;/&gt;&lt;wsp:rsid wsp:val=&quot;26545AD0&quot;/&gt;&lt;wsp:rsid wsp:val=&quot;265461A8&quot;/&gt;&lt;wsp:rsid wsp:val=&quot;265533F3&quot;/&gt;&lt;wsp:rsid wsp:val=&quot;265852B8&quot;/&gt;&lt;wsp:rsid wsp:val=&quot;265F10EB&quot;/&gt;&lt;wsp:rsid wsp:val=&quot;26607D23&quot;/&gt;&lt;wsp:rsid wsp:val=&quot;267329ED&quot;/&gt;&lt;wsp:rsid wsp:val=&quot;26797437&quot;/&gt;&lt;wsp:rsid wsp:val=&quot;268A0AE8&quot;/&gt;&lt;wsp:rsid wsp:val=&quot;2697590D&quot;/&gt;&lt;wsp:rsid wsp:val=&quot;269A744F&quot;/&gt;&lt;wsp:rsid wsp:val=&quot;26E35F4C&quot;/&gt;&lt;wsp:rsid wsp:val=&quot;27186AFB&quot;/&gt;&lt;wsp:rsid wsp:val=&quot;27266DB6&quot;/&gt;&lt;wsp:rsid wsp:val=&quot;27357EB0&quot;/&gt;&lt;wsp:rsid wsp:val=&quot;27432A12&quot;/&gt;&lt;wsp:rsid wsp:val=&quot;274D72B9&quot;/&gt;&lt;wsp:rsid wsp:val=&quot;276758B1&quot;/&gt;&lt;wsp:rsid wsp:val=&quot;277057A2&quot;/&gt;&lt;wsp:rsid wsp:val=&quot;2798123C&quot;/&gt;&lt;wsp:rsid wsp:val=&quot;27C668CE&quot;/&gt;&lt;wsp:rsid wsp:val=&quot;27E36AF0&quot;/&gt;&lt;wsp:rsid wsp:val=&quot;27FA55BF&quot;/&gt;&lt;wsp:rsid wsp:val=&quot;280727BD&quot;/&gt;&lt;wsp:rsid wsp:val=&quot;28572EEE&quot;/&gt;&lt;wsp:rsid wsp:val=&quot;28786E71&quot;/&gt;&lt;wsp:rsid wsp:val=&quot;288E72FD&quot;/&gt;&lt;wsp:rsid wsp:val=&quot;28AA4288&quot;/&gt;&lt;wsp:rsid wsp:val=&quot;28B248E6&quot;/&gt;&lt;wsp:rsid wsp:val=&quot;28B34848&quot;/&gt;&lt;wsp:rsid wsp:val=&quot;28CB21A6&quot;/&gt;&lt;wsp:rsid wsp:val=&quot;28CF7791&quot;/&gt;&lt;wsp:rsid wsp:val=&quot;28DF3423&quot;/&gt;&lt;wsp:rsid wsp:val=&quot;29206EB8&quot;/&gt;&lt;wsp:rsid wsp:val=&quot;29595666&quot;/&gt;&lt;wsp:rsid wsp:val=&quot;296E51A9&quot;/&gt;&lt;wsp:rsid wsp:val=&quot;29874881&quot;/&gt;&lt;wsp:rsid wsp:val=&quot;299A0655&quot;/&gt;&lt;wsp:rsid wsp:val=&quot;299F1AF2&quot;/&gt;&lt;wsp:rsid wsp:val=&quot;29A82239&quot;/&gt;&lt;wsp:rsid wsp:val=&quot;29A96022&quot;/&gt;&lt;wsp:rsid wsp:val=&quot;29E325E0&quot;/&gt;&lt;wsp:rsid wsp:val=&quot;2A31015B&quot;/&gt;&lt;wsp:rsid wsp:val=&quot;2A36793E&quot;/&gt;&lt;wsp:rsid wsp:val=&quot;2A452503&quot;/&gt;&lt;wsp:rsid wsp:val=&quot;2A4F5977&quot;/&gt;&lt;wsp:rsid wsp:val=&quot;2A843EA5&quot;/&gt;&lt;wsp:rsid wsp:val=&quot;2A8C4129&quot;/&gt;&lt;wsp:rsid wsp:val=&quot;2A94692E&quot;/&gt;&lt;wsp:rsid wsp:val=&quot;2AB178D9&quot;/&gt;&lt;wsp:rsid wsp:val=&quot;2AD5516A&quot;/&gt;&lt;wsp:rsid wsp:val=&quot;2B074494&quot;/&gt;&lt;wsp:rsid wsp:val=&quot;2B1C68BF&quot;/&gt;&lt;wsp:rsid wsp:val=&quot;2B230554&quot;/&gt;&lt;wsp:rsid wsp:val=&quot;2B515B2E&quot;/&gt;&lt;wsp:rsid wsp:val=&quot;2B66126F&quot;/&gt;&lt;wsp:rsid wsp:val=&quot;2B666C99&quot;/&gt;&lt;wsp:rsid wsp:val=&quot;2B71568F&quot;/&gt;&lt;wsp:rsid wsp:val=&quot;2BA936A8&quot;/&gt;&lt;wsp:rsid wsp:val=&quot;2BAC61D6&quot;/&gt;&lt;wsp:rsid wsp:val=&quot;2BBC45CA&quot;/&gt;&lt;wsp:rsid wsp:val=&quot;2BFD0CF5&quot;/&gt;&lt;wsp:rsid wsp:val=&quot;2C18387F&quot;/&gt;&lt;wsp:rsid wsp:val=&quot;2C2345A6&quot;/&gt;&lt;wsp:rsid wsp:val=&quot;2C315A5A&quot;/&gt;&lt;wsp:rsid wsp:val=&quot;2C3234A5&quot;/&gt;&lt;wsp:rsid wsp:val=&quot;2C346697&quot;/&gt;&lt;wsp:rsid wsp:val=&quot;2C396033&quot;/&gt;&lt;wsp:rsid wsp:val=&quot;2C4B1C25&quot;/&gt;&lt;wsp:rsid wsp:val=&quot;2C6606F6&quot;/&gt;&lt;wsp:rsid wsp:val=&quot;2C6B7DB9&quot;/&gt;&lt;wsp:rsid wsp:val=&quot;2C6E4D4E&quot;/&gt;&lt;wsp:rsid wsp:val=&quot;2CDA0223&quot;/&gt;&lt;wsp:rsid wsp:val=&quot;2D2F0D30&quot;/&gt;&lt;wsp:rsid wsp:val=&quot;2D446F7E&quot;/&gt;&lt;wsp:rsid wsp:val=&quot;2D456BC8&quot;/&gt;&lt;wsp:rsid wsp:val=&quot;2D9E56F5&quot;/&gt;&lt;wsp:rsid wsp:val=&quot;2DA33FB7&quot;/&gt;&lt;wsp:rsid wsp:val=&quot;2DAB2E35&quot;/&gt;&lt;wsp:rsid wsp:val=&quot;2DC807D8&quot;/&gt;&lt;wsp:rsid wsp:val=&quot;2E2520F4&quot;/&gt;&lt;wsp:rsid wsp:val=&quot;2E652A8E&quot;/&gt;&lt;wsp:rsid wsp:val=&quot;2E667F96&quot;/&gt;&lt;wsp:rsid wsp:val=&quot;2E6823E2&quot;/&gt;&lt;wsp:rsid wsp:val=&quot;2E804D70&quot;/&gt;&lt;wsp:rsid wsp:val=&quot;2E8226AB&quot;/&gt;&lt;wsp:rsid wsp:val=&quot;2E895BCE&quot;/&gt;&lt;wsp:rsid wsp:val=&quot;2EAE7A6B&quot;/&gt;&lt;wsp:rsid wsp:val=&quot;2ECF39A8&quot;/&gt;&lt;wsp:rsid wsp:val=&quot;2ED175A0&quot;/&gt;&lt;wsp:rsid wsp:val=&quot;2F0D5A39&quot;/&gt;&lt;wsp:rsid wsp:val=&quot;2F393B22&quot;/&gt;&lt;wsp:rsid wsp:val=&quot;2FB55650&quot;/&gt;&lt;wsp:rsid wsp:val=&quot;2FB62947&quot;/&gt;&lt;wsp:rsid wsp:val=&quot;2FD065E6&quot;/&gt;&lt;wsp:rsid wsp:val=&quot;2FD828C9&quot;/&gt;&lt;wsp:rsid wsp:val=&quot;2FD96870&quot;/&gt;&lt;wsp:rsid wsp:val=&quot;30000983&quot;/&gt;&lt;wsp:rsid wsp:val=&quot;30286F2F&quot;/&gt;&lt;wsp:rsid wsp:val=&quot;303C7766&quot;/&gt;&lt;wsp:rsid wsp:val=&quot;30415662&quot;/&gt;&lt;wsp:rsid wsp:val=&quot;30580BC9&quot;/&gt;&lt;wsp:rsid wsp:val=&quot;30670621&quot;/&gt;&lt;wsp:rsid wsp:val=&quot;30716047&quot;/&gt;&lt;wsp:rsid wsp:val=&quot;30AC25DA&quot;/&gt;&lt;wsp:rsid wsp:val=&quot;30D7736B&quot;/&gt;&lt;wsp:rsid wsp:val=&quot;311E2ED7&quot;/&gt;&lt;wsp:rsid wsp:val=&quot;314962AA&quot;/&gt;&lt;wsp:rsid wsp:val=&quot;315619EE&quot;/&gt;&lt;wsp:rsid wsp:val=&quot;315A13D2&quot;/&gt;&lt;wsp:rsid wsp:val=&quot;315C449C&quot;/&gt;&lt;wsp:rsid wsp:val=&quot;31A829E0&quot;/&gt;&lt;wsp:rsid wsp:val=&quot;31A918BD&quot;/&gt;&lt;wsp:rsid wsp:val=&quot;31AA4BE6&quot;/&gt;&lt;wsp:rsid wsp:val=&quot;31B82709&quot;/&gt;&lt;wsp:rsid wsp:val=&quot;31D05482&quot;/&gt;&lt;wsp:rsid wsp:val=&quot;32177894&quot;/&gt;&lt;wsp:rsid wsp:val=&quot;32400B34&quot;/&gt;&lt;wsp:rsid wsp:val=&quot;32881751&quot;/&gt;&lt;wsp:rsid wsp:val=&quot;329E6876&quot;/&gt;&lt;wsp:rsid wsp:val=&quot;32C93988&quot;/&gt;&lt;wsp:rsid wsp:val=&quot;33015A0C&quot;/&gt;&lt;wsp:rsid wsp:val=&quot;332D034A&quot;/&gt;&lt;wsp:rsid wsp:val=&quot;333015F2&quot;/&gt;&lt;wsp:rsid wsp:val=&quot;33367A22&quot;/&gt;&lt;wsp:rsid wsp:val=&quot;334B6320&quot;/&gt;&lt;wsp:rsid wsp:val=&quot;33A569E9&quot;/&gt;&lt;wsp:rsid wsp:val=&quot;33D934D4&quot;/&gt;&lt;wsp:rsid wsp:val=&quot;33F31E82&quot;/&gt;&lt;wsp:rsid wsp:val=&quot;33FE2F6A&quot;/&gt;&lt;wsp:rsid wsp:val=&quot;340E07E5&quot;/&gt;&lt;wsp:rsid wsp:val=&quot;34196CC5&quot;/&gt;&lt;wsp:rsid wsp:val=&quot;341E03C3&quot;/&gt;&lt;wsp:rsid wsp:val=&quot;34235BF7&quot;/&gt;&lt;wsp:rsid wsp:val=&quot;34351A68&quot;/&gt;&lt;wsp:rsid wsp:val=&quot;344B1AFC&quot;/&gt;&lt;wsp:rsid wsp:val=&quot;345E742C&quot;/&gt;&lt;wsp:rsid wsp:val=&quot;34894BA8&quot;/&gt;&lt;wsp:rsid wsp:val=&quot;3491180A&quot;/&gt;&lt;wsp:rsid wsp:val=&quot;34963EC3&quot;/&gt;&lt;wsp:rsid wsp:val=&quot;34C569E6&quot;/&gt;&lt;wsp:rsid wsp:val=&quot;34DB7F3A&quot;/&gt;&lt;wsp:rsid wsp:val=&quot;34F054AA&quot;/&gt;&lt;wsp:rsid wsp:val=&quot;35377FEB&quot;/&gt;&lt;wsp:rsid wsp:val=&quot;354054DE&quot;/&gt;&lt;wsp:rsid wsp:val=&quot;356D6D5C&quot;/&gt;&lt;wsp:rsid wsp:val=&quot;357404AA&quot;/&gt;&lt;wsp:rsid wsp:val=&quot;35892B24&quot;/&gt;&lt;wsp:rsid wsp:val=&quot;358C5FA8&quot;/&gt;&lt;wsp:rsid wsp:val=&quot;35964628&quot;/&gt;&lt;wsp:rsid wsp:val=&quot;35C15DF1&quot;/&gt;&lt;wsp:rsid wsp:val=&quot;35FE7D7C&quot;/&gt;&lt;wsp:rsid wsp:val=&quot;36074A7F&quot;/&gt;&lt;wsp:rsid wsp:val=&quot;3618276E&quot;/&gt;&lt;wsp:rsid wsp:val=&quot;362016B5&quot;/&gt;&lt;wsp:rsid wsp:val=&quot;36237003&quot;/&gt;&lt;wsp:rsid wsp:val=&quot;362E0349&quot;/&gt;&lt;wsp:rsid wsp:val=&quot;367402BE&quot;/&gt;&lt;wsp:rsid wsp:val=&quot;36786178&quot;/&gt;&lt;wsp:rsid wsp:val=&quot;369150B1&quot;/&gt;&lt;wsp:rsid wsp:val=&quot;36923549&quot;/&gt;&lt;wsp:rsid wsp:val=&quot;36A41884&quot;/&gt;&lt;wsp:rsid wsp:val=&quot;36B75FBF&quot;/&gt;&lt;wsp:rsid wsp:val=&quot;36BD0C45&quot;/&gt;&lt;wsp:rsid wsp:val=&quot;36D51943&quot;/&gt;&lt;wsp:rsid wsp:val=&quot;36E23CAC&quot;/&gt;&lt;wsp:rsid wsp:val=&quot;36F07C6C&quot;/&gt;&lt;wsp:rsid wsp:val=&quot;374C7A84&quot;/&gt;&lt;wsp:rsid wsp:val=&quot;377D7653&quot;/&gt;&lt;wsp:rsid wsp:val=&quot;37C113A9&quot;/&gt;&lt;wsp:rsid wsp:val=&quot;37D651D1&quot;/&gt;&lt;wsp:rsid wsp:val=&quot;37E00298&quot;/&gt;&lt;wsp:rsid wsp:val=&quot;380C0A89&quot;/&gt;&lt;wsp:rsid wsp:val=&quot;380D1374&quot;/&gt;&lt;wsp:rsid wsp:val=&quot;381417B9&quot;/&gt;&lt;wsp:rsid wsp:val=&quot;384460C1&quot;/&gt;&lt;wsp:rsid wsp:val=&quot;38770D06&quot;/&gt;&lt;wsp:rsid wsp:val=&quot;388037CA&quot;/&gt;&lt;wsp:rsid wsp:val=&quot;38807A54&quot;/&gt;&lt;wsp:rsid wsp:val=&quot;38952E67&quot;/&gt;&lt;wsp:rsid wsp:val=&quot;38A81AF5&quot;/&gt;&lt;wsp:rsid wsp:val=&quot;38A9311C&quot;/&gt;&lt;wsp:rsid wsp:val=&quot;38AB5EE7&quot;/&gt;&lt;wsp:rsid wsp:val=&quot;38B0399C&quot;/&gt;&lt;wsp:rsid wsp:val=&quot;38B302F9&quot;/&gt;&lt;wsp:rsid wsp:val=&quot;38B836BC&quot;/&gt;&lt;wsp:rsid wsp:val=&quot;38F12CD3&quot;/&gt;&lt;wsp:rsid wsp:val=&quot;38F94775&quot;/&gt;&lt;wsp:rsid wsp:val=&quot;39016F6C&quot;/&gt;&lt;wsp:rsid wsp:val=&quot;39292932&quot;/&gt;&lt;wsp:rsid wsp:val=&quot;392971ED&quot;/&gt;&lt;wsp:rsid wsp:val=&quot;39325651&quot;/&gt;&lt;wsp:rsid wsp:val=&quot;39804AD4&quot;/&gt;&lt;wsp:rsid wsp:val=&quot;39AC71D3&quot;/&gt;&lt;wsp:rsid wsp:val=&quot;39E614CE&quot;/&gt;&lt;wsp:rsid wsp:val=&quot;3A234DD3&quot;/&gt;&lt;wsp:rsid wsp:val=&quot;3A6833C0&quot;/&gt;&lt;wsp:rsid wsp:val=&quot;3A795DF4&quot;/&gt;&lt;wsp:rsid wsp:val=&quot;3A817FDC&quot;/&gt;&lt;wsp:rsid wsp:val=&quot;3A872856&quot;/&gt;&lt;wsp:rsid wsp:val=&quot;3AB32F9A&quot;/&gt;&lt;wsp:rsid wsp:val=&quot;3AE17EA7&quot;/&gt;&lt;wsp:rsid wsp:val=&quot;3B0A0F88&quot;/&gt;&lt;wsp:rsid wsp:val=&quot;3B0C16E9&quot;/&gt;&lt;wsp:rsid wsp:val=&quot;3B2A42AB&quot;/&gt;&lt;wsp:rsid wsp:val=&quot;3B3763D1&quot;/&gt;&lt;wsp:rsid wsp:val=&quot;3B4E7F84&quot;/&gt;&lt;wsp:rsid wsp:val=&quot;3B641B85&quot;/&gt;&lt;wsp:rsid wsp:val=&quot;3C1F6370&quot;/&gt;&lt;wsp:rsid wsp:val=&quot;3C2F6E1E&quot;/&gt;&lt;wsp:rsid wsp:val=&quot;3C4F64BA&quot;/&gt;&lt;wsp:rsid wsp:val=&quot;3C680112&quot;/&gt;&lt;wsp:rsid wsp:val=&quot;3C6F1290&quot;/&gt;&lt;wsp:rsid wsp:val=&quot;3C992621&quot;/&gt;&lt;wsp:rsid wsp:val=&quot;3CB70B7D&quot;/&gt;&lt;wsp:rsid wsp:val=&quot;3CDA245A&quot;/&gt;&lt;wsp:rsid wsp:val=&quot;3CE816CD&quot;/&gt;&lt;wsp:rsid wsp:val=&quot;3D030DFD&quot;/&gt;&lt;wsp:rsid wsp:val=&quot;3D1E06B7&quot;/&gt;&lt;wsp:rsid wsp:val=&quot;3D5A14E9&quot;/&gt;&lt;wsp:rsid wsp:val=&quot;3D5B0162&quot;/&gt;&lt;wsp:rsid wsp:val=&quot;3D6C5689&quot;/&gt;&lt;wsp:rsid wsp:val=&quot;3E1778BD&quot;/&gt;&lt;wsp:rsid wsp:val=&quot;3E2576AD&quot;/&gt;&lt;wsp:rsid wsp:val=&quot;3E6E2B5B&quot;/&gt;&lt;wsp:rsid wsp:val=&quot;3E871ED3&quot;/&gt;&lt;wsp:rsid wsp:val=&quot;3E8A4C92&quot;/&gt;&lt;wsp:rsid wsp:val=&quot;3EB71D0C&quot;/&gt;&lt;wsp:rsid wsp:val=&quot;3EDA0523&quot;/&gt;&lt;wsp:rsid wsp:val=&quot;3EED6BB2&quot;/&gt;&lt;wsp:rsid wsp:val=&quot;3EF653CA&quot;/&gt;&lt;wsp:rsid wsp:val=&quot;3F463146&quot;/&gt;&lt;wsp:rsid wsp:val=&quot;3F610E54&quot;/&gt;&lt;wsp:rsid wsp:val=&quot;3F6963CD&quot;/&gt;&lt;wsp:rsid wsp:val=&quot;3F9F7211&quot;/&gt;&lt;wsp:rsid wsp:val=&quot;3FB65055&quot;/&gt;&lt;wsp:rsid wsp:val=&quot;3FC91ACD&quot;/&gt;&lt;wsp:rsid wsp:val=&quot;3FD72529&quot;/&gt;&lt;wsp:rsid wsp:val=&quot;3FDC5DE7&quot;/&gt;&lt;wsp:rsid wsp:val=&quot;3FF77315&quot;/&gt;&lt;wsp:rsid wsp:val=&quot;403326AF&quot;/&gt;&lt;wsp:rsid wsp:val=&quot;40474F1C&quot;/&gt;&lt;wsp:rsid wsp:val=&quot;4057181D&quot;/&gt;&lt;wsp:rsid wsp:val=&quot;406C7588&quot;/&gt;&lt;wsp:rsid wsp:val=&quot;40724FFD&quot;/&gt;&lt;wsp:rsid wsp:val=&quot;407A6407&quot;/&gt;&lt;wsp:rsid wsp:val=&quot;40844004&quot;/&gt;&lt;wsp:rsid wsp:val=&quot;40B3526A&quot;/&gt;&lt;wsp:rsid wsp:val=&quot;40D82DFB&quot;/&gt;&lt;wsp:rsid wsp:val=&quot;40E400AA&quot;/&gt;&lt;wsp:rsid wsp:val=&quot;410322FF&quot;/&gt;&lt;wsp:rsid wsp:val=&quot;41461244&quot;/&gt;&lt;wsp:rsid wsp:val=&quot;41DF62AC&quot;/&gt;&lt;wsp:rsid wsp:val=&quot;4200449D&quot;/&gt;&lt;wsp:rsid wsp:val=&quot;42216679&quot;/&gt;&lt;wsp:rsid wsp:val=&quot;42256686&quot;/&gt;&lt;wsp:rsid wsp:val=&quot;423A3BCC&quot;/&gt;&lt;wsp:rsid wsp:val=&quot;424E57D2&quot;/&gt;&lt;wsp:rsid wsp:val=&quot;42552A98&quot;/&gt;&lt;wsp:rsid wsp:val=&quot;42924A7B&quot;/&gt;&lt;wsp:rsid wsp:val=&quot;42AC4CCD&quot;/&gt;&lt;wsp:rsid wsp:val=&quot;42B26C49&quot;/&gt;&lt;wsp:rsid wsp:val=&quot;42C262F9&quot;/&gt;&lt;wsp:rsid wsp:val=&quot;42CB1615&quot;/&gt;&lt;wsp:rsid wsp:val=&quot;42F700F3&quot;/&gt;&lt;wsp:rsid wsp:val=&quot;43246925&quot;/&gt;&lt;wsp:rsid wsp:val=&quot;433A6FE6&quot;/&gt;&lt;wsp:rsid wsp:val=&quot;433F68C2&quot;/&gt;&lt;wsp:rsid wsp:val=&quot;43480868&quot;/&gt;&lt;wsp:rsid wsp:val=&quot;4350713C&quot;/&gt;&lt;wsp:rsid wsp:val=&quot;436653E0&quot;/&gt;&lt;wsp:rsid wsp:val=&quot;43C41769&quot;/&gt;&lt;wsp:rsid wsp:val=&quot;43C4431A&quot;/&gt;&lt;wsp:rsid wsp:val=&quot;43DE7689&quot;/&gt;&lt;wsp:rsid wsp:val=&quot;441843B1&quot;/&gt;&lt;wsp:rsid wsp:val=&quot;445D4484&quot;/&gt;&lt;wsp:rsid wsp:val=&quot;446052BB&quot;/&gt;&lt;wsp:rsid wsp:val=&quot;447944A8&quot;/&gt;&lt;wsp:rsid wsp:val=&quot;44A2233B&quot;/&gt;&lt;wsp:rsid wsp:val=&quot;44B951CC&quot;/&gt;&lt;wsp:rsid wsp:val=&quot;44C83831&quot;/&gt;&lt;wsp:rsid wsp:val=&quot;44CD14E0&quot;/&gt;&lt;wsp:rsid wsp:val=&quot;44D46AF1&quot;/&gt;&lt;wsp:rsid wsp:val=&quot;44ED5075&quot;/&gt;&lt;wsp:rsid wsp:val=&quot;44F20B0B&quot;/&gt;&lt;wsp:rsid wsp:val=&quot;450C0F8B&quot;/&gt;&lt;wsp:rsid wsp:val=&quot;452E5F4C&quot;/&gt;&lt;wsp:rsid wsp:val=&quot;45312019&quot;/&gt;&lt;wsp:rsid wsp:val=&quot;4542433A&quot;/&gt;&lt;wsp:rsid wsp:val=&quot;45612018&quot;/&gt;&lt;wsp:rsid wsp:val=&quot;45865177&quot;/&gt;&lt;wsp:rsid wsp:val=&quot;458946E9&quot;/&gt;&lt;wsp:rsid wsp:val=&quot;45A47C0E&quot;/&gt;&lt;wsp:rsid wsp:val=&quot;45B50DCF&quot;/&gt;&lt;wsp:rsid wsp:val=&quot;45BF1C37&quot;/&gt;&lt;wsp:rsid wsp:val=&quot;45D4285D&quot;/&gt;&lt;wsp:rsid wsp:val=&quot;45FE603B&quot;/&gt;&lt;wsp:rsid wsp:val=&quot;46420ADF&quot;/&gt;&lt;wsp:rsid wsp:val=&quot;4645515D&quot;/&gt;&lt;wsp:rsid wsp:val=&quot;46530F41&quot;/&gt;&lt;wsp:rsid wsp:val=&quot;46567C59&quot;/&gt;&lt;wsp:rsid wsp:val=&quot;46577FD6&quot;/&gt;&lt;wsp:rsid wsp:val=&quot;469356F0&quot;/&gt;&lt;wsp:rsid wsp:val=&quot;46A909CF&quot;/&gt;&lt;wsp:rsid wsp:val=&quot;46AE7C80&quot;/&gt;&lt;wsp:rsid wsp:val=&quot;46C5149B&quot;/&gt;&lt;wsp:rsid wsp:val=&quot;46CA1285&quot;/&gt;&lt;wsp:rsid wsp:val=&quot;46D6365B&quot;/&gt;&lt;wsp:rsid wsp:val=&quot;46D955A7&quot;/&gt;&lt;wsp:rsid wsp:val=&quot;47133957&quot;/&gt;&lt;wsp:rsid wsp:val=&quot;47190280&quot;/&gt;&lt;wsp:rsid wsp:val=&quot;47441D9C&quot;/&gt;&lt;wsp:rsid wsp:val=&quot;47590E68&quot;/&gt;&lt;wsp:rsid wsp:val=&quot;47746778&quot;/&gt;&lt;wsp:rsid wsp:val=&quot;47A07E0C&quot;/&gt;&lt;wsp:rsid wsp:val=&quot;47A3470D&quot;/&gt;&lt;wsp:rsid wsp:val=&quot;47BE31DC&quot;/&gt;&lt;wsp:rsid wsp:val=&quot;47DE1851&quot;/&gt;&lt;wsp:rsid wsp:val=&quot;47ED4DAE&quot;/&gt;&lt;wsp:rsid wsp:val=&quot;48375245&quot;/&gt;&lt;wsp:rsid wsp:val=&quot;48492097&quot;/&gt;&lt;wsp:rsid wsp:val=&quot;4870272E&quot;/&gt;&lt;wsp:rsid wsp:val=&quot;48BF7E6A&quot;/&gt;&lt;wsp:rsid wsp:val=&quot;48FD5F50&quot;/&gt;&lt;wsp:rsid wsp:val=&quot;491672C0&quot;/&gt;&lt;wsp:rsid wsp:val=&quot;4964207E&quot;/&gt;&lt;wsp:rsid wsp:val=&quot;49956317&quot;/&gt;&lt;wsp:rsid wsp:val=&quot;4998702C&quot;/&gt;&lt;wsp:rsid wsp:val=&quot;49B03482&quot;/&gt;&lt;wsp:rsid wsp:val=&quot;49C76C47&quot;/&gt;&lt;wsp:rsid wsp:val=&quot;49DC7715&quot;/&gt;&lt;wsp:rsid wsp:val=&quot;49EA48A9&quot;/&gt;&lt;wsp:rsid wsp:val=&quot;49FA2363&quot;/&gt;&lt;wsp:rsid wsp:val=&quot;4A023139&quot;/&gt;&lt;wsp:rsid wsp:val=&quot;4A575744&quot;/&gt;&lt;wsp:rsid wsp:val=&quot;4A6B35D8&quot;/&gt;&lt;wsp:rsid wsp:val=&quot;4A7B576F&quot;/&gt;&lt;wsp:rsid wsp:val=&quot;4AA22B3F&quot;/&gt;&lt;wsp:rsid wsp:val=&quot;4AAF3D92&quot;/&gt;&lt;wsp:rsid wsp:val=&quot;4ACD4DA3&quot;/&gt;&lt;wsp:rsid wsp:val=&quot;4AD37AEC&quot;/&gt;&lt;wsp:rsid wsp:val=&quot;4AD53535&quot;/&gt;&lt;wsp:rsid wsp:val=&quot;4ADA05A8&quot;/&gt;&lt;wsp:rsid wsp:val=&quot;4AF561A9&quot;/&gt;&lt;wsp:rsid wsp:val=&quot;4B3317B5&quot;/&gt;&lt;wsp:rsid wsp:val=&quot;4B825E47&quot;/&gt;&lt;wsp:rsid wsp:val=&quot;4B92328B&quot;/&gt;&lt;wsp:rsid wsp:val=&quot;4B9E690A&quot;/&gt;&lt;wsp:rsid wsp:val=&quot;4BA1474F&quot;/&gt;&lt;wsp:rsid wsp:val=&quot;4BD65BDD&quot;/&gt;&lt;wsp:rsid wsp:val=&quot;4C2751C1&quot;/&gt;&lt;wsp:rsid wsp:val=&quot;4C2A52AB&quot;/&gt;&lt;wsp:rsid wsp:val=&quot;4C38262B&quot;/&gt;&lt;wsp:rsid wsp:val=&quot;4C4A0649&quot;/&gt;&lt;wsp:rsid wsp:val=&quot;4C5C350E&quot;/&gt;&lt;wsp:rsid wsp:val=&quot;4C6677BD&quot;/&gt;&lt;wsp:rsid wsp:val=&quot;4C7E5ECA&quot;/&gt;&lt;wsp:rsid wsp:val=&quot;4C835502&quot;/&gt;&lt;wsp:rsid wsp:val=&quot;4C863BBC&quot;/&gt;&lt;wsp:rsid wsp:val=&quot;4C876AA5&quot;/&gt;&lt;wsp:rsid wsp:val=&quot;4C8C4593&quot;/&gt;&lt;wsp:rsid wsp:val=&quot;4C9343BD&quot;/&gt;&lt;wsp:rsid wsp:val=&quot;4CCA3E28&quot;/&gt;&lt;wsp:rsid wsp:val=&quot;4CE8053D&quot;/&gt;&lt;wsp:rsid wsp:val=&quot;4CFF1CCC&quot;/&gt;&lt;wsp:rsid wsp:val=&quot;4D0E00FB&quot;/&gt;&lt;wsp:rsid wsp:val=&quot;4D1464C2&quot;/&gt;&lt;wsp:rsid wsp:val=&quot;4D176606&quot;/&gt;&lt;wsp:rsid wsp:val=&quot;4D1E0754&quot;/&gt;&lt;wsp:rsid wsp:val=&quot;4D8C4CF0&quot;/&gt;&lt;wsp:rsid wsp:val=&quot;4DAA27CC&quot;/&gt;&lt;wsp:rsid wsp:val=&quot;4DDA22BC&quot;/&gt;&lt;wsp:rsid wsp:val=&quot;4DE42935&quot;/&gt;&lt;wsp:rsid wsp:val=&quot;4DE436CA&quot;/&gt;&lt;wsp:rsid wsp:val=&quot;4DEC4FB0&quot;/&gt;&lt;wsp:rsid wsp:val=&quot;4DF93D6B&quot;/&gt;&lt;wsp:rsid wsp:val=&quot;4DFC139B&quot;/&gt;&lt;wsp:rsid wsp:val=&quot;4E075D8A&quot;/&gt;&lt;wsp:rsid wsp:val=&quot;4E6B3FDE&quot;/&gt;&lt;wsp:rsid wsp:val=&quot;4E854252&quot;/&gt;&lt;wsp:rsid wsp:val=&quot;4EC00FAD&quot;/&gt;&lt;wsp:rsid wsp:val=&quot;4ED473AF&quot;/&gt;&lt;wsp:rsid wsp:val=&quot;4EF4649C&quot;/&gt;&lt;wsp:rsid wsp:val=&quot;4F383A50&quot;/&gt;&lt;wsp:rsid wsp:val=&quot;4F5A49E3&quot;/&gt;&lt;wsp:rsid wsp:val=&quot;4F5A5B9F&quot;/&gt;&lt;wsp:rsid wsp:val=&quot;4F7D1ABD&quot;/&gt;&lt;wsp:rsid wsp:val=&quot;4F7D7912&quot;/&gt;&lt;wsp:rsid wsp:val=&quot;4F9843DC&quot;/&gt;&lt;wsp:rsid wsp:val=&quot;4FAB3C5C&quot;/&gt;&lt;wsp:rsid wsp:val=&quot;4FC62A8C&quot;/&gt;&lt;wsp:rsid wsp:val=&quot;4FCB4E90&quot;/&gt;&lt;wsp:rsid wsp:val=&quot;4FD50463&quot;/&gt;&lt;wsp:rsid wsp:val=&quot;4FE20F0D&quot;/&gt;&lt;wsp:rsid wsp:val=&quot;4FE51552&quot;/&gt;&lt;wsp:rsid wsp:val=&quot;502B5144&quot;/&gt;&lt;wsp:rsid wsp:val=&quot;50396F9D&quot;/&gt;&lt;wsp:rsid wsp:val=&quot;50504C4B&quot;/&gt;&lt;wsp:rsid wsp:val=&quot;50506B47&quot;/&gt;&lt;wsp:rsid wsp:val=&quot;50571C6B&quot;/&gt;&lt;wsp:rsid wsp:val=&quot;506043DF&quot;/&gt;&lt;wsp:rsid wsp:val=&quot;50720014&quot;/&gt;&lt;wsp:rsid wsp:val=&quot;507278F3&quot;/&gt;&lt;wsp:rsid wsp:val=&quot;509C6E7C&quot;/&gt;&lt;wsp:rsid wsp:val=&quot;50BE5FC4&quot;/&gt;&lt;wsp:rsid wsp:val=&quot;50C578A1&quot;/&gt;&lt;wsp:rsid wsp:val=&quot;50D843A7&quot;/&gt;&lt;wsp:rsid wsp:val=&quot;511E491B&quot;/&gt;&lt;wsp:rsid wsp:val=&quot;513503CB&quot;/&gt;&lt;wsp:rsid wsp:val=&quot;51377CA4&quot;/&gt;&lt;wsp:rsid wsp:val=&quot;515735C5&quot;/&gt;&lt;wsp:rsid wsp:val=&quot;5162104E&quot;/&gt;&lt;wsp:rsid wsp:val=&quot;517F63A5&quot;/&gt;&lt;wsp:rsid wsp:val=&quot;518A72F6&quot;/&gt;&lt;wsp:rsid wsp:val=&quot;51BB71BA&quot;/&gt;&lt;wsp:rsid wsp:val=&quot;51C302F9&quot;/&gt;&lt;wsp:rsid wsp:val=&quot;51D955B1&quot;/&gt;&lt;wsp:rsid wsp:val=&quot;520D05D8&quot;/&gt;&lt;wsp:rsid wsp:val=&quot;52644433&quot;/&gt;&lt;wsp:rsid wsp:val=&quot;52742E3B&quot;/&gt;&lt;wsp:rsid wsp:val=&quot;528554A3&quot;/&gt;&lt;wsp:rsid wsp:val=&quot;52BA4671&quot;/&gt;&lt;wsp:rsid wsp:val=&quot;52D67FBF&quot;/&gt;&lt;wsp:rsid wsp:val=&quot;52DF3D59&quot;/&gt;&lt;wsp:rsid wsp:val=&quot;52EB0123&quot;/&gt;&lt;wsp:rsid wsp:val=&quot;52F33151&quot;/&gt;&lt;wsp:rsid wsp:val=&quot;531360E3&quot;/&gt;&lt;wsp:rsid wsp:val=&quot;53431963&quot;/&gt;&lt;wsp:rsid wsp:val=&quot;535A21E2&quot;/&gt;&lt;wsp:rsid wsp:val=&quot;535F247A&quot;/&gt;&lt;wsp:rsid wsp:val=&quot;53650B13&quot;/&gt;&lt;wsp:rsid wsp:val=&quot;537D5355&quot;/&gt;&lt;wsp:rsid wsp:val=&quot;53A039CC&quot;/&gt;&lt;wsp:rsid wsp:val=&quot;53A1505A&quot;/&gt;&lt;wsp:rsid wsp:val=&quot;53AE2E6D&quot;/&gt;&lt;wsp:rsid wsp:val=&quot;53BC0DA3&quot;/&gt;&lt;wsp:rsid wsp:val=&quot;53DC19E2&quot;/&gt;&lt;wsp:rsid wsp:val=&quot;54063E08&quot;/&gt;&lt;wsp:rsid wsp:val=&quot;542B49D5&quot;/&gt;&lt;wsp:rsid wsp:val=&quot;542D56AA&quot;/&gt;&lt;wsp:rsid wsp:val=&quot;543437E8&quot;/&gt;&lt;wsp:rsid wsp:val=&quot;544378D0&quot;/&gt;&lt;wsp:rsid wsp:val=&quot;544E7D4B&quot;/&gt;&lt;wsp:rsid wsp:val=&quot;548129B1&quot;/&gt;&lt;wsp:rsid wsp:val=&quot;549C24E3&quot;/&gt;&lt;wsp:rsid wsp:val=&quot;54A60641&quot;/&gt;&lt;wsp:rsid wsp:val=&quot;54F73313&quot;/&gt;&lt;wsp:rsid wsp:val=&quot;54F80955&quot;/&gt;&lt;wsp:rsid wsp:val=&quot;54FF336C&quot;/&gt;&lt;wsp:rsid wsp:val=&quot;552A5B5D&quot;/&gt;&lt;wsp:rsid wsp:val=&quot;555170A7&quot;/&gt;&lt;wsp:rsid wsp:val=&quot;557260F9&quot;/&gt;&lt;wsp:rsid wsp:val=&quot;5587536D&quot;/&gt;&lt;wsp:rsid wsp:val=&quot;55925D73&quot;/&gt;&lt;wsp:rsid wsp:val=&quot;559308F0&quot;/&gt;&lt;wsp:rsid wsp:val=&quot;559B174B&quot;/&gt;&lt;wsp:rsid wsp:val=&quot;55BA25B9&quot;/&gt;&lt;wsp:rsid wsp:val=&quot;55C220B3&quot;/&gt;&lt;wsp:rsid wsp:val=&quot;55CE0CF4&quot;/&gt;&lt;wsp:rsid wsp:val=&quot;55DE4BC5&quot;/&gt;&lt;wsp:rsid wsp:val=&quot;56225429&quot;/&gt;&lt;wsp:rsid wsp:val=&quot;564B23A9&quot;/&gt;&lt;wsp:rsid wsp:val=&quot;56527843&quot;/&gt;&lt;wsp:rsid wsp:val=&quot;56575382&quot;/&gt;&lt;wsp:rsid wsp:val=&quot;56A33B63&quot;/&gt;&lt;wsp:rsid wsp:val=&quot;56B22A9C&quot;/&gt;&lt;wsp:rsid wsp:val=&quot;56CA6906&quot;/&gt;&lt;wsp:rsid wsp:val=&quot;56EC1880&quot;/&gt;&lt;wsp:rsid wsp:val=&quot;574B77C5&quot;/&gt;&lt;wsp:rsid wsp:val=&quot;57541EDD&quot;/&gt;&lt;wsp:rsid wsp:val=&quot;57756AF8&quot;/&gt;&lt;wsp:rsid wsp:val=&quot;577C7C9E&quot;/&gt;&lt;wsp:rsid wsp:val=&quot;57AC118F&quot;/&gt;&lt;wsp:rsid wsp:val=&quot;57B72A76&quot;/&gt;&lt;wsp:rsid wsp:val=&quot;57BE21D9&quot;/&gt;&lt;wsp:rsid wsp:val=&quot;57C3426C&quot;/&gt;&lt;wsp:rsid wsp:val=&quot;57CE1F93&quot;/&gt;&lt;wsp:rsid wsp:val=&quot;57FA52F9&quot;/&gt;&lt;wsp:rsid wsp:val=&quot;58356912&quot;/&gt;&lt;wsp:rsid wsp:val=&quot;584F05EC&quot;/&gt;&lt;wsp:rsid wsp:val=&quot;58546F4F&quot;/&gt;&lt;wsp:rsid wsp:val=&quot;58566A1B&quot;/&gt;&lt;wsp:rsid wsp:val=&quot;588743D1&quot;/&gt;&lt;wsp:rsid wsp:val=&quot;5887701A&quot;/&gt;&lt;wsp:rsid wsp:val=&quot;58A70673&quot;/&gt;&lt;wsp:rsid wsp:val=&quot;58D12203&quot;/&gt;&lt;wsp:rsid wsp:val=&quot;592D2BCC&quot;/&gt;&lt;wsp:rsid wsp:val=&quot;59904C69&quot;/&gt;&lt;wsp:rsid wsp:val=&quot;59A4450F&quot;/&gt;&lt;wsp:rsid wsp:val=&quot;59A965CE&quot;/&gt;&lt;wsp:rsid wsp:val=&quot;59B04227&quot;/&gt;&lt;wsp:rsid wsp:val=&quot;59C0439F&quot;/&gt;&lt;wsp:rsid wsp:val=&quot;59DE6165&quot;/&gt;&lt;wsp:rsid wsp:val=&quot;59E902BB&quot;/&gt;&lt;wsp:rsid wsp:val=&quot;5A021FF8&quot;/&gt;&lt;wsp:rsid wsp:val=&quot;5A0672E3&quot;/&gt;&lt;wsp:rsid wsp:val=&quot;5A6F512A&quot;/&gt;&lt;wsp:rsid wsp:val=&quot;5AB339E1&quot;/&gt;&lt;wsp:rsid wsp:val=&quot;5ABE2233&quot;/&gt;&lt;wsp:rsid wsp:val=&quot;5AC411DC&quot;/&gt;&lt;wsp:rsid wsp:val=&quot;5AD17EF9&quot;/&gt;&lt;wsp:rsid wsp:val=&quot;5ADF1397&quot;/&gt;&lt;wsp:rsid wsp:val=&quot;5B193AC5&quot;/&gt;&lt;wsp:rsid wsp:val=&quot;5B1B4211&quot;/&gt;&lt;wsp:rsid wsp:val=&quot;5B3C194A&quot;/&gt;&lt;wsp:rsid wsp:val=&quot;5B5756A5&quot;/&gt;&lt;wsp:rsid wsp:val=&quot;5B5F4BB1&quot;/&gt;&lt;wsp:rsid wsp:val=&quot;5B631000&quot;/&gt;&lt;wsp:rsid wsp:val=&quot;5B6E46C9&quot;/&gt;&lt;wsp:rsid wsp:val=&quot;5B8709CC&quot;/&gt;&lt;wsp:rsid wsp:val=&quot;5B9F7767&quot;/&gt;&lt;wsp:rsid wsp:val=&quot;5BB12E16&quot;/&gt;&lt;wsp:rsid wsp:val=&quot;5BD76B7F&quot;/&gt;&lt;wsp:rsid wsp:val=&quot;5BDB0425&quot;/&gt;&lt;wsp:rsid wsp:val=&quot;5BDF5D95&quot;/&gt;&lt;wsp:rsid wsp:val=&quot;5BF342C6&quot;/&gt;&lt;wsp:rsid wsp:val=&quot;5BFE7528&quot;/&gt;&lt;wsp:rsid wsp:val=&quot;5C3839C7&quot;/&gt;&lt;wsp:rsid wsp:val=&quot;5C8D61B2&quot;/&gt;&lt;wsp:rsid wsp:val=&quot;5C8D796A&quot;/&gt;&lt;wsp:rsid wsp:val=&quot;5C9726A9&quot;/&gt;&lt;wsp:rsid wsp:val=&quot;5C9756A8&quot;/&gt;&lt;wsp:rsid wsp:val=&quot;5C9D45C0&quot;/&gt;&lt;wsp:rsid wsp:val=&quot;5CB3647B&quot;/&gt;&lt;wsp:rsid wsp:val=&quot;5CC80F35&quot;/&gt;&lt;wsp:rsid wsp:val=&quot;5CC82ECB&quot;/&gt;&lt;wsp:rsid wsp:val=&quot;5CC94001&quot;/&gt;&lt;wsp:rsid wsp:val=&quot;5CEE3690&quot;/&gt;&lt;wsp:rsid wsp:val=&quot;5D211E8A&quot;/&gt;&lt;wsp:rsid wsp:val=&quot;5D4316C1&quot;/&gt;&lt;wsp:rsid wsp:val=&quot;5D831E8E&quot;/&gt;&lt;wsp:rsid wsp:val=&quot;5D8E2377&quot;/&gt;&lt;wsp:rsid wsp:val=&quot;5DAC4BE2&quot;/&gt;&lt;wsp:rsid wsp:val=&quot;5DD46C25&quot;/&gt;&lt;wsp:rsid wsp:val=&quot;5DE87F6C&quot;/&gt;&lt;wsp:rsid wsp:val=&quot;5DE963A9&quot;/&gt;&lt;wsp:rsid wsp:val=&quot;5DEC0101&quot;/&gt;&lt;wsp:rsid wsp:val=&quot;5E0F4BB3&quot;/&gt;&lt;wsp:rsid wsp:val=&quot;5E0F513A&quot;/&gt;&lt;wsp:rsid wsp:val=&quot;5E1C31DE&quot;/&gt;&lt;wsp:rsid wsp:val=&quot;5E2467F1&quot;/&gt;&lt;wsp:rsid wsp:val=&quot;5E51638D&quot;/&gt;&lt;wsp:rsid wsp:val=&quot;5E5365DF&quot;/&gt;&lt;wsp:rsid wsp:val=&quot;5E745C12&quot;/&gt;&lt;wsp:rsid wsp:val=&quot;5EA23996&quot;/&gt;&lt;wsp:rsid wsp:val=&quot;5EA509E8&quot;/&gt;&lt;wsp:rsid wsp:val=&quot;5EFF2886&quot;/&gt;&lt;wsp:rsid wsp:val=&quot;5F0E185F&quot;/&gt;&lt;wsp:rsid wsp:val=&quot;5F17535D&quot;/&gt;&lt;wsp:rsid wsp:val=&quot;5F1A2B43&quot;/&gt;&lt;wsp:rsid wsp:val=&quot;5F470F5D&quot;/&gt;&lt;wsp:rsid wsp:val=&quot;5F4B6660&quot;/&gt;&lt;wsp:rsid wsp:val=&quot;5F8C18A8&quot;/&gt;&lt;wsp:rsid wsp:val=&quot;5F8D3AEB&quot;/&gt;&lt;wsp:rsid wsp:val=&quot;5FB837BB&quot;/&gt;&lt;wsp:rsid wsp:val=&quot;5FC60E15&quot;/&gt;&lt;wsp:rsid wsp:val=&quot;5FCC18F1&quot;/&gt;&lt;wsp:rsid wsp:val=&quot;5FE97D4A&quot;/&gt;&lt;wsp:rsid wsp:val=&quot;5FF208F1&quot;/&gt;&lt;wsp:rsid wsp:val=&quot;5FF805BE&quot;/&gt;&lt;wsp:rsid wsp:val=&quot;602D0366&quot;/&gt;&lt;wsp:rsid wsp:val=&quot;60353FC3&quot;/&gt;&lt;wsp:rsid wsp:val=&quot;60473E79&quot;/&gt;&lt;wsp:rsid wsp:val=&quot;60530796&quot;/&gt;&lt;wsp:rsid wsp:val=&quot;60560206&quot;/&gt;&lt;wsp:rsid wsp:val=&quot;606A1D50&quot;/&gt;&lt;wsp:rsid wsp:val=&quot;608A0236&quot;/&gt;&lt;wsp:rsid wsp:val=&quot;609B59DA&quot;/&gt;&lt;wsp:rsid wsp:val=&quot;60A21C1A&quot;/&gt;&lt;wsp:rsid wsp:val=&quot;60A26C67&quot;/&gt;&lt;wsp:rsid wsp:val=&quot;60AC5AE7&quot;/&gt;&lt;wsp:rsid wsp:val=&quot;60B10A09&quot;/&gt;&lt;wsp:rsid wsp:val=&quot;60CC405A&quot;/&gt;&lt;wsp:rsid wsp:val=&quot;60D96E31&quot;/&gt;&lt;wsp:rsid wsp:val=&quot;610F624D&quot;/&gt;&lt;wsp:rsid wsp:val=&quot;61414481&quot;/&gt;&lt;wsp:rsid wsp:val=&quot;615614C0&quot;/&gt;&lt;wsp:rsid wsp:val=&quot;61965BB0&quot;/&gt;&lt;wsp:rsid wsp:val=&quot;61A5574C&quot;/&gt;&lt;wsp:rsid wsp:val=&quot;61E215D8&quot;/&gt;&lt;wsp:rsid wsp:val=&quot;61EC00DF&quot;/&gt;&lt;wsp:rsid wsp:val=&quot;621B3775&quot;/&gt;&lt;wsp:rsid wsp:val=&quot;62364782&quot;/&gt;&lt;wsp:rsid wsp:val=&quot;62366BA2&quot;/&gt;&lt;wsp:rsid wsp:val=&quot;624176DA&quot;/&gt;&lt;wsp:rsid wsp:val=&quot;62685BF6&quot;/&gt;&lt;wsp:rsid wsp:val=&quot;62BB185C&quot;/&gt;&lt;wsp:rsid wsp:val=&quot;62C641F8&quot;/&gt;&lt;wsp:rsid wsp:val=&quot;62C71315&quot;/&gt;&lt;wsp:rsid wsp:val=&quot;63017EF8&quot;/&gt;&lt;wsp:rsid wsp:val=&quot;63180F5D&quot;/&gt;&lt;wsp:rsid wsp:val=&quot;631B5933&quot;/&gt;&lt;wsp:rsid wsp:val=&quot;634F0BD2&quot;/&gt;&lt;wsp:rsid wsp:val=&quot;6394356A&quot;/&gt;&lt;wsp:rsid wsp:val=&quot;63A156ED&quot;/&gt;&lt;wsp:rsid wsp:val=&quot;63C61B2C&quot;/&gt;&lt;wsp:rsid wsp:val=&quot;63D40BE9&quot;/&gt;&lt;wsp:rsid wsp:val=&quot;63F73B2E&quot;/&gt;&lt;wsp:rsid wsp:val=&quot;640F5161&quot;/&gt;&lt;wsp:rsid wsp:val=&quot;64102431&quot;/&gt;&lt;wsp:rsid wsp:val=&quot;64227B0E&quot;/&gt;&lt;wsp:rsid wsp:val=&quot;64246AC7&quot;/&gt;&lt;wsp:rsid wsp:val=&quot;64484336&quot;/&gt;&lt;wsp:rsid wsp:val=&quot;644A1536&quot;/&gt;&lt;wsp:rsid wsp:val=&quot;64524FC6&quot;/&gt;&lt;wsp:rsid wsp:val=&quot;64A5243A&quot;/&gt;&lt;wsp:rsid wsp:val=&quot;64A85387&quot;/&gt;&lt;wsp:rsid wsp:val=&quot;64F17E22&quot;/&gt;&lt;wsp:rsid wsp:val=&quot;64F531DE&quot;/&gt;&lt;wsp:rsid wsp:val=&quot;65014A5A&quot;/&gt;&lt;wsp:rsid wsp:val=&quot;65373578&quot;/&gt;&lt;wsp:rsid wsp:val=&quot;657D3ADE&quot;/&gt;&lt;wsp:rsid wsp:val=&quot;658743EB&quot;/&gt;&lt;wsp:rsid wsp:val=&quot;65D27F9F&quot;/&gt;&lt;wsp:rsid wsp:val=&quot;65D846D8&quot;/&gt;&lt;wsp:rsid wsp:val=&quot;65EE5014&quot;/&gt;&lt;wsp:rsid wsp:val=&quot;66530A01&quot;/&gt;&lt;wsp:rsid wsp:val=&quot;668F7929&quot;/&gt;&lt;wsp:rsid wsp:val=&quot;6693207A&quot;/&gt;&lt;wsp:rsid wsp:val=&quot;66F022E2&quot;/&gt;&lt;wsp:rsid wsp:val=&quot;670453D3&quot;/&gt;&lt;wsp:rsid wsp:val=&quot;671F124A&quot;/&gt;&lt;wsp:rsid wsp:val=&quot;674F6EA5&quot;/&gt;&lt;wsp:rsid wsp:val=&quot;67566A3D&quot;/&gt;&lt;wsp:rsid wsp:val=&quot;677A33C6&quot;/&gt;&lt;wsp:rsid wsp:val=&quot;679C01D1&quot;/&gt;&lt;wsp:rsid wsp:val=&quot;67C502E8&quot;/&gt;&lt;wsp:rsid wsp:val=&quot;67E56070&quot;/&gt;&lt;wsp:rsid wsp:val=&quot;681E3EAB&quot;/&gt;&lt;wsp:rsid wsp:val=&quot;681F6961&quot;/&gt;&lt;wsp:rsid wsp:val=&quot;6820044D&quot;/&gt;&lt;wsp:rsid wsp:val=&quot;68610A2F&quot;/&gt;&lt;wsp:rsid wsp:val=&quot;68696A3F&quot;/&gt;&lt;wsp:rsid wsp:val=&quot;68747C01&quot;/&gt;&lt;wsp:rsid wsp:val=&quot;68805514&quot;/&gt;&lt;wsp:rsid wsp:val=&quot;688614DF&quot;/&gt;&lt;wsp:rsid wsp:val=&quot;69316E2F&quot;/&gt;&lt;wsp:rsid wsp:val=&quot;694B18A4&quot;/&gt;&lt;wsp:rsid wsp:val=&quot;694C74CE&quot;/&gt;&lt;wsp:rsid wsp:val=&quot;694E2071&quot;/&gt;&lt;wsp:rsid wsp:val=&quot;69766163&quot;/&gt;&lt;wsp:rsid wsp:val=&quot;697A3B33&quot;/&gt;&lt;wsp:rsid wsp:val=&quot;69D44760&quot;/&gt;&lt;wsp:rsid wsp:val=&quot;6A1B6189&quot;/&gt;&lt;wsp:rsid wsp:val=&quot;6A2975E2&quot;/&gt;&lt;wsp:rsid wsp:val=&quot;6A3171E4&quot;/&gt;&lt;wsp:rsid wsp:val=&quot;6A520EC7&quot;/&gt;&lt;wsp:rsid wsp:val=&quot;6A56334F&quot;/&gt;&lt;wsp:rsid wsp:val=&quot;6A82313E&quot;/&gt;&lt;wsp:rsid wsp:val=&quot;6A8D303F&quot;/&gt;&lt;wsp:rsid wsp:val=&quot;6A99447C&quot;/&gt;&lt;wsp:rsid wsp:val=&quot;6AA93443&quot;/&gt;&lt;wsp:rsid wsp:val=&quot;6AC01CDE&quot;/&gt;&lt;wsp:rsid wsp:val=&quot;6AC3619D&quot;/&gt;&lt;wsp:rsid wsp:val=&quot;6AF87E20&quot;/&gt;&lt;wsp:rsid wsp:val=&quot;6B101A50&quot;/&gt;&lt;wsp:rsid wsp:val=&quot;6B146BE1&quot;/&gt;&lt;wsp:rsid wsp:val=&quot;6B2F33D4&quot;/&gt;&lt;wsp:rsid wsp:val=&quot;6B322639&quot;/&gt;&lt;wsp:rsid wsp:val=&quot;6B603C68&quot;/&gt;&lt;wsp:rsid wsp:val=&quot;6B6E4076&quot;/&gt;&lt;wsp:rsid wsp:val=&quot;6B71220E&quot;/&gt;&lt;wsp:rsid wsp:val=&quot;6BC526EB&quot;/&gt;&lt;wsp:rsid wsp:val=&quot;6BF21F10&quot;/&gt;&lt;wsp:rsid wsp:val=&quot;6C1175B2&quot;/&gt;&lt;wsp:rsid wsp:val=&quot;6C290053&quot;/&gt;&lt;wsp:rsid wsp:val=&quot;6C5A056D&quot;/&gt;&lt;wsp:rsid wsp:val=&quot;6C5D31E8&quot;/&gt;&lt;wsp:rsid wsp:val=&quot;6C636C38&quot;/&gt;&lt;wsp:rsid wsp:val=&quot;6C6A4767&quot;/&gt;&lt;wsp:rsid wsp:val=&quot;6C8E0259&quot;/&gt;&lt;wsp:rsid wsp:val=&quot;6CD71E7C&quot;/&gt;&lt;wsp:rsid wsp:val=&quot;6CFC6EC9&quot;/&gt;&lt;wsp:rsid wsp:val=&quot;6D095787&quot;/&gt;&lt;wsp:rsid wsp:val=&quot;6D184E0F&quot;/&gt;&lt;wsp:rsid wsp:val=&quot;6D3A13F1&quot;/&gt;&lt;wsp:rsid wsp:val=&quot;6D3C5590&quot;/&gt;&lt;wsp:rsid wsp:val=&quot;6DAD4C96&quot;/&gt;&lt;wsp:rsid wsp:val=&quot;6DB34098&quot;/&gt;&lt;wsp:rsid wsp:val=&quot;6DB545B6&quot;/&gt;&lt;wsp:rsid wsp:val=&quot;6DE02FB4&quot;/&gt;&lt;wsp:rsid wsp:val=&quot;6DF4532F&quot;/&gt;&lt;wsp:rsid wsp:val=&quot;6E514CED&quot;/&gt;&lt;wsp:rsid wsp:val=&quot;6E9C6EE9&quot;/&gt;&lt;wsp:rsid wsp:val=&quot;6EB563D5&quot;/&gt;&lt;wsp:rsid wsp:val=&quot;6EBF1B71&quot;/&gt;&lt;wsp:rsid wsp:val=&quot;6EC9126E&quot;/&gt;&lt;wsp:rsid wsp:val=&quot;6ED8494E&quot;/&gt;&lt;wsp:rsid wsp:val=&quot;6ED92677&quot;/&gt;&lt;wsp:rsid wsp:val=&quot;6EE51818&quot;/&gt;&lt;wsp:rsid wsp:val=&quot;6F225983&quot;/&gt;&lt;wsp:rsid wsp:val=&quot;6F52451C&quot;/&gt;&lt;wsp:rsid wsp:val=&quot;6F825382&quot;/&gt;&lt;wsp:rsid wsp:val=&quot;6F9C1520&quot;/&gt;&lt;wsp:rsid wsp:val=&quot;6FC27343&quot;/&gt;&lt;wsp:rsid wsp:val=&quot;6FFC5590&quot;/&gt;&lt;wsp:rsid wsp:val=&quot;7000135F&quot;/&gt;&lt;wsp:rsid wsp:val=&quot;70113419&quot;/&gt;&lt;wsp:rsid wsp:val=&quot;701B6D4C&quot;/&gt;&lt;wsp:rsid wsp:val=&quot;706D1DD0&quot;/&gt;&lt;wsp:rsid wsp:val=&quot;70856B87&quot;/&gt;&lt;wsp:rsid wsp:val=&quot;709324E2&quot;/&gt;&lt;wsp:rsid wsp:val=&quot;70D527EE&quot;/&gt;&lt;wsp:rsid wsp:val=&quot;70F61AB1&quot;/&gt;&lt;wsp:rsid wsp:val=&quot;70FC4AF5&quot;/&gt;&lt;wsp:rsid wsp:val=&quot;711A29CE&quot;/&gt;&lt;wsp:rsid wsp:val=&quot;714F21DF&quot;/&gt;&lt;wsp:rsid wsp:val=&quot;715542B0&quot;/&gt;&lt;wsp:rsid wsp:val=&quot;7158373C&quot;/&gt;&lt;wsp:rsid wsp:val=&quot;715B5300&quot;/&gt;&lt;wsp:rsid wsp:val=&quot;71723179&quot;/&gt;&lt;wsp:rsid wsp:val=&quot;71776B23&quot;/&gt;&lt;wsp:rsid wsp:val=&quot;71C87CC1&quot;/&gt;&lt;wsp:rsid wsp:val=&quot;71D06E15&quot;/&gt;&lt;wsp:rsid wsp:val=&quot;71D27F8A&quot;/&gt;&lt;wsp:rsid wsp:val=&quot;71E02CD2&quot;/&gt;&lt;wsp:rsid wsp:val=&quot;71E05D29&quot;/&gt;&lt;wsp:rsid wsp:val=&quot;721869DD&quot;/&gt;&lt;wsp:rsid wsp:val=&quot;722E5181&quot;/&gt;&lt;wsp:rsid wsp:val=&quot;723C33B7&quot;/&gt;&lt;wsp:rsid wsp:val=&quot;72553024&quot;/&gt;&lt;wsp:rsid wsp:val=&quot;726D0064&quot;/&gt;&lt;wsp:rsid wsp:val=&quot;727066A6&quot;/&gt;&lt;wsp:rsid wsp:val=&quot;72935E30&quot;/&gt;&lt;wsp:rsid wsp:val=&quot;72A30432&quot;/&gt;&lt;wsp:rsid wsp:val=&quot;72D5610B&quot;/&gt;&lt;wsp:rsid wsp:val=&quot;72EB1633&quot;/&gt;&lt;wsp:rsid wsp:val=&quot;72FB35B3&quot;/&gt;&lt;wsp:rsid wsp:val=&quot;73122968&quot;/&gt;&lt;wsp:rsid wsp:val=&quot;731F5D5E&quot;/&gt;&lt;wsp:rsid wsp:val=&quot;734E533F&quot;/&gt;&lt;wsp:rsid wsp:val=&quot;734F5974&quot;/&gt;&lt;wsp:rsid wsp:val=&quot;737E53C6&quot;/&gt;&lt;wsp:rsid wsp:val=&quot;737F74D1&quot;/&gt;&lt;wsp:rsid wsp:val=&quot;73C46AED&quot;/&gt;&lt;wsp:rsid wsp:val=&quot;73C51AD5&quot;/&gt;&lt;wsp:rsid wsp:val=&quot;73E734E4&quot;/&gt;&lt;wsp:rsid wsp:val=&quot;74110246&quot;/&gt;&lt;wsp:rsid wsp:val=&quot;741B0872&quot;/&gt;&lt;wsp:rsid wsp:val=&quot;741E793C&quot;/&gt;&lt;wsp:rsid wsp:val=&quot;745E3944&quot;/&gt;&lt;wsp:rsid wsp:val=&quot;749575E0&quot;/&gt;&lt;wsp:rsid wsp:val=&quot;74A83064&quot;/&gt;&lt;wsp:rsid wsp:val=&quot;74B648EA&quot;/&gt;&lt;wsp:rsid wsp:val=&quot;74CA1C00&quot;/&gt;&lt;wsp:rsid wsp:val=&quot;752D3222&quot;/&gt;&lt;wsp:rsid wsp:val=&quot;75355B19&quot;/&gt;&lt;wsp:rsid wsp:val=&quot;754D4C43&quot;/&gt;&lt;wsp:rsid wsp:val=&quot;75565028&quot;/&gt;&lt;wsp:rsid wsp:val=&quot;755F1493&quot;/&gt;&lt;wsp:rsid wsp:val=&quot;75D73A51&quot;/&gt;&lt;wsp:rsid wsp:val=&quot;7635099D&quot;/&gt;&lt;wsp:rsid wsp:val=&quot;76380FC0&quot;/&gt;&lt;wsp:rsid wsp:val=&quot;767A2A48&quot;/&gt;&lt;wsp:rsid wsp:val=&quot;76817C8A&quot;/&gt;&lt;wsp:rsid wsp:val=&quot;769F08F1&quot;/&gt;&lt;wsp:rsid wsp:val=&quot;76F7336F&quot;/&gt;&lt;wsp:rsid wsp:val=&quot;770463D2&quot;/&gt;&lt;wsp:rsid wsp:val=&quot;77374635&quot;/&gt;&lt;wsp:rsid wsp:val=&quot;7747776A&quot;/&gt;&lt;wsp:rsid wsp:val=&quot;77607A96&quot;/&gt;&lt;wsp:rsid wsp:val=&quot;77615540&quot;/&gt;&lt;wsp:rsid wsp:val=&quot;77762421&quot;/&gt;&lt;wsp:rsid wsp:val=&quot;777A5F64&quot;/&gt;&lt;wsp:rsid wsp:val=&quot;778B7BC0&quot;/&gt;&lt;wsp:rsid wsp:val=&quot;77B56B1F&quot;/&gt;&lt;wsp:rsid wsp:val=&quot;77B928C7&quot;/&gt;&lt;wsp:rsid wsp:val=&quot;780F09F4&quot;/&gt;&lt;wsp:rsid wsp:val=&quot;784E6805&quot;/&gt;&lt;wsp:rsid wsp:val=&quot;78507D81&quot;/&gt;&lt;wsp:rsid wsp:val=&quot;78A90480&quot;/&gt;&lt;wsp:rsid wsp:val=&quot;78AF67C2&quot;/&gt;&lt;wsp:rsid wsp:val=&quot;78B60207&quot;/&gt;&lt;wsp:rsid wsp:val=&quot;78FA2438&quot;/&gt;&lt;wsp:rsid wsp:val=&quot;7955034B&quot;/&gt;&lt;wsp:rsid wsp:val=&quot;796C12CC&quot;/&gt;&lt;wsp:rsid wsp:val=&quot;796D7B23&quot;/&gt;&lt;wsp:rsid wsp:val=&quot;798F7D2B&quot;/&gt;&lt;wsp:rsid wsp:val=&quot;79C146B8&quot;/&gt;&lt;wsp:rsid wsp:val=&quot;79CD3F3A&quot;/&gt;&lt;wsp:rsid wsp:val=&quot;79F0148E&quot;/&gt;&lt;wsp:rsid wsp:val=&quot;7A203EE3&quot;/&gt;&lt;wsp:rsid wsp:val=&quot;7A364017&quot;/&gt;&lt;wsp:rsid wsp:val=&quot;7A680398&quot;/&gt;&lt;wsp:rsid wsp:val=&quot;7A7C4199&quot;/&gt;&lt;wsp:rsid wsp:val=&quot;7A8165EB&quot;/&gt;&lt;wsp:rsid wsp:val=&quot;7A8265E1&quot;/&gt;&lt;wsp:rsid wsp:val=&quot;7A952B19&quot;/&gt;&lt;wsp:rsid wsp:val=&quot;7A9F579C&quot;/&gt;&lt;wsp:rsid wsp:val=&quot;7AEB5B8D&quot;/&gt;&lt;wsp:rsid wsp:val=&quot;7B48332C&quot;/&gt;&lt;wsp:rsid wsp:val=&quot;7B4917AC&quot;/&gt;&lt;wsp:rsid wsp:val=&quot;7B686D42&quot;/&gt;&lt;wsp:rsid wsp:val=&quot;7B841746&quot;/&gt;&lt;wsp:rsid wsp:val=&quot;7BC10335&quot;/&gt;&lt;wsp:rsid wsp:val=&quot;7C067289&quot;/&gt;&lt;wsp:rsid wsp:val=&quot;7C485F7E&quot;/&gt;&lt;wsp:rsid wsp:val=&quot;7C4D227B&quot;/&gt;&lt;wsp:rsid wsp:val=&quot;7C6C5AC7&quot;/&gt;&lt;wsp:rsid wsp:val=&quot;7C9B7160&quot;/&gt;&lt;wsp:rsid wsp:val=&quot;7CC2140F&quot;/&gt;&lt;wsp:rsid wsp:val=&quot;7CC6544B&quot;/&gt;&lt;wsp:rsid wsp:val=&quot;7CCC4769&quot;/&gt;&lt;wsp:rsid wsp:val=&quot;7D0239FF&quot;/&gt;&lt;wsp:rsid wsp:val=&quot;7D2C6362&quot;/&gt;&lt;wsp:rsid wsp:val=&quot;7D5E40CD&quot;/&gt;&lt;wsp:rsid wsp:val=&quot;7D615773&quot;/&gt;&lt;wsp:rsid wsp:val=&quot;7D8F1448&quot;/&gt;&lt;wsp:rsid wsp:val=&quot;7DC55CA1&quot;/&gt;&lt;wsp:rsid wsp:val=&quot;7DCD56F2&quot;/&gt;&lt;wsp:rsid wsp:val=&quot;7DE40A7A&quot;/&gt;&lt;wsp:rsid wsp:val=&quot;7E52238B&quot;/&gt;&lt;wsp:rsid wsp:val=&quot;7E5E60A6&quot;/&gt;&lt;wsp:rsid wsp:val=&quot;7EC40525&quot;/&gt;&lt;wsp:rsid wsp:val=&quot;7ECC0A8C&quot;/&gt;&lt;wsp:rsid wsp:val=&quot;7ECE4D51&quot;/&gt;&lt;wsp:rsid wsp:val=&quot;7EE24A9D&quot;/&gt;&lt;wsp:rsid wsp:val=&quot;7EF30024&quot;/&gt;&lt;wsp:rsid wsp:val=&quot;7EF76645&quot;/&gt;&lt;wsp:rsid wsp:val=&quot;7F001CE7&quot;/&gt;&lt;wsp:rsid wsp:val=&quot;7F1823D8&quot;/&gt;&lt;wsp:rsid wsp:val=&quot;7F1B083F&quot;/&gt;&lt;wsp:rsid wsp:val=&quot;7F300F8B&quot;/&gt;&lt;wsp:rsid wsp:val=&quot;7F326325&quot;/&gt;&lt;wsp:rsid wsp:val=&quot;7F5568A2&quot;/&gt;&lt;wsp:rsid wsp:val=&quot;7F6D6C1F&quot;/&gt;&lt;wsp:rsid wsp:val=&quot;7FB252A6&quot;/&gt;&lt;wsp:rsid wsp:val=&quot;7FE47E50&quot;/&gt;&lt;/wsp:rsids&gt;&lt;/w:docPr&gt;&lt;w:body&gt;&lt;wx:sect&gt;&lt;w:p wsp:rsidR=&quot;00000000&quot; wsp:rsidRDefault=&quot;00187102&quot; wsp:rsidP=&quot;00187102&quot;&gt;&lt;m:oMathPara&gt;&lt;m:oMath&gt;&lt;m:sSub&gt;&lt;m:sSubPr&gt;&lt;m:ctrlPr&gt;&lt;w:rPr&gt;&lt;w:rFonts w:ascii=&quot;Cambria Math&quot; w:h-ansi=&quot;Cambria Math&quot;/&gt;&lt;wx:font wx:val=&quot;Cambria Math&quot;/&gt;&lt;w:i/&gt;&lt;w:sz w:val=&quot;32&quot;/&gt;&lt;w:sz-cs w:val=&quot;32&quot;/&gt;&lt;/w:rPr&gt;&lt;/m:ctrlPr&gt;&lt;/m:sSubPr&gt;&lt;m:e&gt;&lt;m:r&gt;&lt;w:rPr&gt;&lt;w:rFonts w:ascii=&quot;Cambria Math&quot; w:h-ansi=&quot;Cambria Math&quot;/&gt;&lt;wx:font wx:val=&quot;Cambria Math&quot;/&gt;&lt;w:i/&gt;&lt;w:sz w:val=&quot;32&quot;/&gt;&lt;w:sz-cs w:val=&quot;32&quot;/&gt;&lt;/w:rPr&gt;&lt;m:t&gt;P&lt;/m:t&gt;&lt;/m:r&gt;&lt;/m:e&gt;&lt;m:sub&gt;&lt;m:r&gt;&lt;w:rPr&gt;&lt;w:rFonts w:ascii=&quot;Cambria Math&quot; w:h-ansi=&quot;Cambria Math&quot;/&gt;&lt;wx:font wx:val=&quot;Cambria Math&quot;/&gt;&lt;w:i/&gt;&lt;w:sz w:val=&quot;32&quot;/&gt;&lt;w:sz-cs w:val=&quot;32&quot;/&gt;&lt;/w:rPr&gt;&lt;m:t&gt;pH&lt;/m:t&gt;&lt;/m:r&gt;&lt;/m:sub&gt;&lt;/m:sSub&gt;&lt;m:r&gt;&lt;w:rPr&gt;&lt;w:rFonts w:ascii=&quot;Cambria Math&quot; w:h-ansi=&quot;Cambria Math&quot;/&gt;&lt;wx:font wx:val=&quot;Cambria Math&quot;/&gt;&lt;w:i/&gt;&lt;w:sz w:val=&quot;32&quot;/&gt;&lt;w:sz-cs w:val=&quot;32&quot;/&gt;&lt;/w:rPr&gt;&lt;m:t&gt;=&lt;/m:t&gt;&lt;/m:r&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7.0-pH&lt;/m:t&gt;&lt;/m:r&gt;&lt;/m:num&gt;&lt;m:den&gt;&lt;m:r&gt;&lt;w:rPr&gt;&lt;w:rFonts w:ascii=&quot;Cambria Math&quot; w:h-ansi=&quot;Cambria Math&quot;/&gt;&lt;wx:font wx:val=&quot;Cambria Math&quot;/&gt;&lt;w:i/&gt;&lt;w:sz w:val=&quot;32&quot;/&gt;&lt;w:sz-cs w:val=&quot;32&quot;/&gt;&lt;/w:rPr&gt;&lt;m:t&gt;7.0-&lt;/m:t&gt;&lt;/m:r&gt;&lt;m:sSub&gt;&lt;m:sSubPr&gt;&lt;m:ctrlPr&gt;&lt;w:rPr&gt;&lt;w:rFonts w:ascii=&quot;Cambria Math&quot; w:h-ansi=&quot;Cambria Math&quot;/&gt;&lt;wx:font wx:val=&quot;Cambria Math&quot;/&gt;&lt;w:i/&gt;&lt;w:sz w:val=&quot;32&quot;/&gt;&lt;w:sz-cs w:val=&quot;32&quot;/&gt;&lt;/w:rPr&gt;&lt;/m:ctrlPr&gt;&lt;/m:sSubPr&gt;&lt;m:e&gt;&lt;m:r&gt;&lt;w:rPr&gt;&lt;w:rFonts w:ascii=&quot;Cambria Math&quot; w:h-ansi=&quot;Cambria Math&quot;/&gt;&lt;wx:font wx:val=&quot;Cambria Math&quot;/&gt;&lt;w:i/&gt;&lt;w:sz w:val=&quot;32&quot;/&gt;&lt;w:sz-cs w:val=&quot;32&quot;/&gt;&lt;/w:rPr&gt;&lt;m:t&gt;pH&lt;/m:t&gt;&lt;/m:r&gt;&lt;/m:e&gt;&lt;m:sub&gt;&lt;m:r&gt;&lt;w:rPr&gt;&lt;w:rFonts w:ascii=&quot;Cambria Math&quot; w:h-ansi=&quot;Cambria Math&quot;/&gt;&lt;wx:font wx:val=&quot;Cambria Math&quot;/&gt;&lt;w:i/&gt;&lt;w:sz w:val=&quot;32&quot;/&gt;&lt;w:sz-cs w:val=&quot;32&quot;/&gt;&lt;/w:rPr&gt;&lt;m:t&gt;sd&lt;/m:t&gt;&lt;/m:r&gt;&lt;/m:sub&gt;&lt;/m:sSub&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8" chromakey="#FFFFFF" o:title=""/>
                  <o:lock v:ext="edit" aspectratio="t"/>
                  <w10:wrap type="none"/>
                  <w10:anchorlock/>
                </v:shape>
              </w:pict>
            </w:r>
            <w:r>
              <w:rPr>
                <w:color w:val="auto"/>
                <w:sz w:val="24"/>
                <w:highlight w:val="none"/>
              </w:rPr>
              <w:fldChar w:fldCharType="end"/>
            </w:r>
            <w:r>
              <w:rPr>
                <w:color w:val="auto"/>
                <w:sz w:val="24"/>
                <w:highlight w:val="none"/>
              </w:rPr>
              <w:t xml:space="preserve">          pH≤7时</w:t>
            </w:r>
          </w:p>
          <w:p w14:paraId="68FC8D8A">
            <w:pPr>
              <w:keepNext w:val="0"/>
              <w:keepLines w:val="0"/>
              <w:suppressLineNumbers w:val="0"/>
              <w:spacing w:before="0" w:beforeAutospacing="0" w:after="0" w:afterAutospacing="0"/>
              <w:ind w:left="0" w:right="0"/>
              <w:rPr>
                <w:rFonts w:eastAsia="仿宋_GB2312"/>
                <w:color w:val="auto"/>
                <w:sz w:val="24"/>
                <w:szCs w:val="22"/>
                <w:highlight w:val="none"/>
              </w:rPr>
            </w:pPr>
          </w:p>
          <w:p w14:paraId="74E76EAB">
            <w:pPr>
              <w:keepNext w:val="0"/>
              <w:keepLines w:val="0"/>
              <w:suppressLineNumbers w:val="0"/>
              <w:snapToGrid w:val="0"/>
              <w:spacing w:before="0" w:beforeAutospacing="0" w:after="0" w:afterAutospacing="0"/>
              <w:ind w:left="0" w:right="0" w:firstLine="2400" w:firstLineChars="1000"/>
              <w:rPr>
                <w:color w:val="auto"/>
                <w:sz w:val="24"/>
                <w:highlight w:val="none"/>
              </w:rPr>
            </w:pPr>
            <w:r>
              <w:rPr>
                <w:color w:val="auto"/>
                <w:sz w:val="24"/>
                <w:highlight w:val="none"/>
              </w:rPr>
              <w:fldChar w:fldCharType="begin"/>
            </w:r>
            <w:r>
              <w:rPr>
                <w:color w:val="auto"/>
                <w:sz w:val="24"/>
                <w:highlight w:val="none"/>
              </w:rPr>
              <w:instrText xml:space="preserve"> QUOTE </w:instrText>
            </w:r>
            <w:r>
              <w:rPr>
                <w:color w:val="auto"/>
                <w:position w:val="-26"/>
                <w:highlight w:val="none"/>
              </w:rPr>
              <w:pict>
                <v:shape id="_x0000_i1027" o:spt="75" type="#_x0000_t75" style="height:31.5pt;width:99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Q3NTBlZWEyYWI1MDNkNWQ3NWI2Yjc1MzAyZWU1MGQifQ==&quot;/&gt;&lt;/w:docVars&gt;&lt;wsp:rsids&gt;&lt;wsp:rsidRoot wsp:val=&quot;00172A27&quot;/&gt;&lt;wsp:rsid wsp:val=&quot;000001D5&quot;/&gt;&lt;wsp:rsid wsp:val=&quot;000015AB&quot;/&gt;&lt;wsp:rsid wsp:val=&quot;000060B3&quot;/&gt;&lt;wsp:rsid wsp:val=&quot;000133A0&quot;/&gt;&lt;wsp:rsid wsp:val=&quot;000135C3&quot;/&gt;&lt;wsp:rsid wsp:val=&quot;00014F88&quot;/&gt;&lt;wsp:rsid wsp:val=&quot;00021008&quot;/&gt;&lt;wsp:rsid wsp:val=&quot;0003757B&quot;/&gt;&lt;wsp:rsid wsp:val=&quot;000402C4&quot;/&gt;&lt;wsp:rsid wsp:val=&quot;0004364B&quot;/&gt;&lt;wsp:rsid wsp:val=&quot;00045C58&quot;/&gt;&lt;wsp:rsid wsp:val=&quot;000516C8&quot;/&gt;&lt;wsp:rsid wsp:val=&quot;00051C6E&quot;/&gt;&lt;wsp:rsid wsp:val=&quot;000566B9&quot;/&gt;&lt;wsp:rsid wsp:val=&quot;000608EF&quot;/&gt;&lt;wsp:rsid wsp:val=&quot;00061B1F&quot;/&gt;&lt;wsp:rsid wsp:val=&quot;00065CB1&quot;/&gt;&lt;wsp:rsid wsp:val=&quot;00065DDB&quot;/&gt;&lt;wsp:rsid wsp:val=&quot;000721D3&quot;/&gt;&lt;wsp:rsid wsp:val=&quot;000733C4&quot;/&gt;&lt;wsp:rsid wsp:val=&quot;00074783&quot;/&gt;&lt;wsp:rsid wsp:val=&quot;00077490&quot;/&gt;&lt;wsp:rsid wsp:val=&quot;00080166&quot;/&gt;&lt;wsp:rsid wsp:val=&quot;00080297&quot;/&gt;&lt;wsp:rsid wsp:val=&quot;0008070B&quot;/&gt;&lt;wsp:rsid wsp:val=&quot;00080755&quot;/&gt;&lt;wsp:rsid wsp:val=&quot;000810AC&quot;/&gt;&lt;wsp:rsid wsp:val=&quot;000817FE&quot;/&gt;&lt;wsp:rsid wsp:val=&quot;00081A02&quot;/&gt;&lt;wsp:rsid wsp:val=&quot;00082231&quot;/&gt;&lt;wsp:rsid wsp:val=&quot;0008392B&quot;/&gt;&lt;wsp:rsid wsp:val=&quot;000841F8&quot;/&gt;&lt;wsp:rsid wsp:val=&quot;00086A47&quot;/&gt;&lt;wsp:rsid wsp:val=&quot;00092D38&quot;/&gt;&lt;wsp:rsid wsp:val=&quot;0009377B&quot;/&gt;&lt;wsp:rsid wsp:val=&quot;00094BE1&quot;/&gt;&lt;wsp:rsid wsp:val=&quot;000A20C9&quot;/&gt;&lt;wsp:rsid wsp:val=&quot;000A7F18&quot;/&gt;&lt;wsp:rsid wsp:val=&quot;000B058F&quot;/&gt;&lt;wsp:rsid wsp:val=&quot;000B1BDD&quot;/&gt;&lt;wsp:rsid wsp:val=&quot;000B4467&quot;/&gt;&lt;wsp:rsid wsp:val=&quot;000B4DB9&quot;/&gt;&lt;wsp:rsid wsp:val=&quot;000C09AC&quot;/&gt;&lt;wsp:rsid wsp:val=&quot;000C2F13&quot;/&gt;&lt;wsp:rsid wsp:val=&quot;000C68AA&quot;/&gt;&lt;wsp:rsid wsp:val=&quot;000C7060&quot;/&gt;&lt;wsp:rsid wsp:val=&quot;000C767F&quot;/&gt;&lt;wsp:rsid wsp:val=&quot;000D2FC9&quot;/&gt;&lt;wsp:rsid wsp:val=&quot;000D5A44&quot;/&gt;&lt;wsp:rsid wsp:val=&quot;000E06B5&quot;/&gt;&lt;wsp:rsid wsp:val=&quot;000E3ED2&quot;/&gt;&lt;wsp:rsid wsp:val=&quot;000E542D&quot;/&gt;&lt;wsp:rsid wsp:val=&quot;000E752C&quot;/&gt;&lt;wsp:rsid wsp:val=&quot;000F4DF7&quot;/&gt;&lt;wsp:rsid wsp:val=&quot;00100322&quot;/&gt;&lt;wsp:rsid wsp:val=&quot;001013DF&quot;/&gt;&lt;wsp:rsid wsp:val=&quot;001043BC&quot;/&gt;&lt;wsp:rsid wsp:val=&quot;0010496F&quot;/&gt;&lt;wsp:rsid wsp:val=&quot;00105887&quot;/&gt;&lt;wsp:rsid wsp:val=&quot;00112010&quot;/&gt;&lt;wsp:rsid wsp:val=&quot;00112376&quot;/&gt;&lt;wsp:rsid wsp:val=&quot;00126AD1&quot;/&gt;&lt;wsp:rsid wsp:val=&quot;00127B40&quot;/&gt;&lt;wsp:rsid wsp:val=&quot;00131F42&quot;/&gt;&lt;wsp:rsid wsp:val=&quot;001357F1&quot;/&gt;&lt;wsp:rsid wsp:val=&quot;00140FA8&quot;/&gt;&lt;wsp:rsid wsp:val=&quot;00142FEB&quot;/&gt;&lt;wsp:rsid wsp:val=&quot;00143A2D&quot;/&gt;&lt;wsp:rsid wsp:val=&quot;00145A41&quot;/&gt;&lt;wsp:rsid wsp:val=&quot;00147A3A&quot;/&gt;&lt;wsp:rsid wsp:val=&quot;00151675&quot;/&gt;&lt;wsp:rsid wsp:val=&quot;001517DA&quot;/&gt;&lt;wsp:rsid wsp:val=&quot;00152F69&quot;/&gt;&lt;wsp:rsid wsp:val=&quot;0015498B&quot;/&gt;&lt;wsp:rsid wsp:val=&quot;00157435&quot;/&gt;&lt;wsp:rsid wsp:val=&quot;00162383&quot;/&gt;&lt;wsp:rsid wsp:val=&quot;001641A6&quot;/&gt;&lt;wsp:rsid wsp:val=&quot;00164BD5&quot;/&gt;&lt;wsp:rsid wsp:val=&quot;0016759A&quot;/&gt;&lt;wsp:rsid wsp:val=&quot;001745F0&quot;/&gt;&lt;wsp:rsid wsp:val=&quot;0017504D&quot;/&gt;&lt;wsp:rsid wsp:val=&quot;0017671A&quot;/&gt;&lt;wsp:rsid wsp:val=&quot;00177422&quot;/&gt;&lt;wsp:rsid wsp:val=&quot;001827D4&quot;/&gt;&lt;wsp:rsid wsp:val=&quot;00182F0E&quot;/&gt;&lt;wsp:rsid wsp:val=&quot;00184590&quot;/&gt;&lt;wsp:rsid wsp:val=&quot;001870D1&quot;/&gt;&lt;wsp:rsid wsp:val=&quot;0018781E&quot;/&gt;&lt;wsp:rsid wsp:val=&quot;00187DBE&quot;/&gt;&lt;wsp:rsid wsp:val=&quot;00187DFF&quot;/&gt;&lt;wsp:rsid wsp:val=&quot;00190985&quot;/&gt;&lt;wsp:rsid wsp:val=&quot;0019226E&quot;/&gt;&lt;wsp:rsid wsp:val=&quot;0019262D&quot;/&gt;&lt;wsp:rsid wsp:val=&quot;00194E72&quot;/&gt;&lt;wsp:rsid wsp:val=&quot;00195DD0&quot;/&gt;&lt;wsp:rsid wsp:val=&quot;001967CB&quot;/&gt;&lt;wsp:rsid wsp:val=&quot;001A1B35&quot;/&gt;&lt;wsp:rsid wsp:val=&quot;001A301A&quot;/&gt;&lt;wsp:rsid wsp:val=&quot;001A48A2&quot;/&gt;&lt;wsp:rsid wsp:val=&quot;001A61B6&quot;/&gt;&lt;wsp:rsid wsp:val=&quot;001A6D63&quot;/&gt;&lt;wsp:rsid wsp:val=&quot;001A6F61&quot;/&gt;&lt;wsp:rsid wsp:val=&quot;001A763A&quot;/&gt;&lt;wsp:rsid wsp:val=&quot;001A78E1&quot;/&gt;&lt;wsp:rsid wsp:val=&quot;001B373B&quot;/&gt;&lt;wsp:rsid wsp:val=&quot;001B72B8&quot;/&gt;&lt;wsp:rsid wsp:val=&quot;001C0BB6&quot;/&gt;&lt;wsp:rsid wsp:val=&quot;001C69B3&quot;/&gt;&lt;wsp:rsid wsp:val=&quot;001D1B9A&quot;/&gt;&lt;wsp:rsid wsp:val=&quot;001D5595&quot;/&gt;&lt;wsp:rsid wsp:val=&quot;001D7874&quot;/&gt;&lt;wsp:rsid wsp:val=&quot;001D7F22&quot;/&gt;&lt;wsp:rsid wsp:val=&quot;001E03ED&quot;/&gt;&lt;wsp:rsid wsp:val=&quot;001E0E25&quot;/&gt;&lt;wsp:rsid wsp:val=&quot;001E4AEA&quot;/&gt;&lt;wsp:rsid wsp:val=&quot;001F0F17&quot;/&gt;&lt;wsp:rsid wsp:val=&quot;001F3347&quot;/&gt;&lt;wsp:rsid wsp:val=&quot;001F348D&quot;/&gt;&lt;wsp:rsid wsp:val=&quot;001F69E4&quot;/&gt;&lt;wsp:rsid wsp:val=&quot;002003EF&quot;/&gt;&lt;wsp:rsid wsp:val=&quot;0020350B&quot;/&gt;&lt;wsp:rsid wsp:val=&quot;00203F88&quot;/&gt;&lt;wsp:rsid wsp:val=&quot;002104D9&quot;/&gt;&lt;wsp:rsid wsp:val=&quot;002111E2&quot;/&gt;&lt;wsp:rsid wsp:val=&quot;00211868&quot;/&gt;&lt;wsp:rsid wsp:val=&quot;002125B4&quot;/&gt;&lt;wsp:rsid wsp:val=&quot;002155B8&quot;/&gt;&lt;wsp:rsid wsp:val=&quot;00220461&quot;/&gt;&lt;wsp:rsid wsp:val=&quot;00221FF4&quot;/&gt;&lt;wsp:rsid wsp:val=&quot;00224839&quot;/&gt;&lt;wsp:rsid wsp:val=&quot;002249B2&quot;/&gt;&lt;wsp:rsid wsp:val=&quot;00226574&quot;/&gt;&lt;wsp:rsid wsp:val=&quot;002278EC&quot;/&gt;&lt;wsp:rsid wsp:val=&quot;00231CAC&quot;/&gt;&lt;wsp:rsid wsp:val=&quot;002321C3&quot;/&gt;&lt;wsp:rsid wsp:val=&quot;0023280E&quot;/&gt;&lt;wsp:rsid wsp:val=&quot;002334B7&quot;/&gt;&lt;wsp:rsid wsp:val=&quot;002356E6&quot;/&gt;&lt;wsp:rsid wsp:val=&quot;00236D4C&quot;/&gt;&lt;wsp:rsid wsp:val=&quot;002377D1&quot;/&gt;&lt;wsp:rsid wsp:val=&quot;0024212D&quot;/&gt;&lt;wsp:rsid wsp:val=&quot;00243A38&quot;/&gt;&lt;wsp:rsid wsp:val=&quot;00244405&quot;/&gt;&lt;wsp:rsid wsp:val=&quot;00244B3D&quot;/&gt;&lt;wsp:rsid wsp:val=&quot;002506BC&quot;/&gt;&lt;wsp:rsid wsp:val=&quot;00254345&quot;/&gt;&lt;wsp:rsid wsp:val=&quot;002556DA&quot;/&gt;&lt;wsp:rsid wsp:val=&quot;00264557&quot;/&gt;&lt;wsp:rsid wsp:val=&quot;00264C8F&quot;/&gt;&lt;wsp:rsid wsp:val=&quot;0027763D&quot;/&gt;&lt;wsp:rsid wsp:val=&quot;00277DAE&quot;/&gt;&lt;wsp:rsid wsp:val=&quot;002805AB&quot;/&gt;&lt;wsp:rsid wsp:val=&quot;0028312F&quot;/&gt;&lt;wsp:rsid wsp:val=&quot;00284204&quot;/&gt;&lt;wsp:rsid wsp:val=&quot;00285B6F&quot;/&gt;&lt;wsp:rsid wsp:val=&quot;00291773&quot;/&gt;&lt;wsp:rsid wsp:val=&quot;00292628&quot;/&gt;&lt;wsp:rsid wsp:val=&quot;00292A68&quot;/&gt;&lt;wsp:rsid wsp:val=&quot;00295235&quot;/&gt;&lt;wsp:rsid wsp:val=&quot;0029597C&quot;/&gt;&lt;wsp:rsid wsp:val=&quot;002A168C&quot;/&gt;&lt;wsp:rsid wsp:val=&quot;002A3DC7&quot;/&gt;&lt;wsp:rsid wsp:val=&quot;002B0847&quot;/&gt;&lt;wsp:rsid wsp:val=&quot;002B49E2&quot;/&gt;&lt;wsp:rsid wsp:val=&quot;002B7B00&quot;/&gt;&lt;wsp:rsid wsp:val=&quot;002B7C44&quot;/&gt;&lt;wsp:rsid wsp:val=&quot;002C2B17&quot;/&gt;&lt;wsp:rsid wsp:val=&quot;002C36C5&quot;/&gt;&lt;wsp:rsid wsp:val=&quot;002D30F8&quot;/&gt;&lt;wsp:rsid wsp:val=&quot;002D3DD0&quot;/&gt;&lt;wsp:rsid wsp:val=&quot;002D6CC9&quot;/&gt;&lt;wsp:rsid wsp:val=&quot;002D793B&quot;/&gt;&lt;wsp:rsid wsp:val=&quot;002E0C39&quot;/&gt;&lt;wsp:rsid wsp:val=&quot;002E1F3A&quot;/&gt;&lt;wsp:rsid wsp:val=&quot;002E298A&quot;/&gt;&lt;wsp:rsid wsp:val=&quot;002E376B&quot;/&gt;&lt;wsp:rsid wsp:val=&quot;002E5A02&quot;/&gt;&lt;wsp:rsid wsp:val=&quot;002E625A&quot;/&gt;&lt;wsp:rsid wsp:val=&quot;002E757B&quot;/&gt;&lt;wsp:rsid wsp:val=&quot;002E7ACF&quot;/&gt;&lt;wsp:rsid wsp:val=&quot;002F189B&quot;/&gt;&lt;wsp:rsid wsp:val=&quot;002F5F9E&quot;/&gt;&lt;wsp:rsid wsp:val=&quot;002F6D23&quot;/&gt;&lt;wsp:rsid wsp:val=&quot;00301978&quot;/&gt;&lt;wsp:rsid wsp:val=&quot;0030332C&quot;/&gt;&lt;wsp:rsid wsp:val=&quot;003045A6&quot;/&gt;&lt;wsp:rsid wsp:val=&quot;003051C2&quot;/&gt;&lt;wsp:rsid wsp:val=&quot;00306812&quot;/&gt;&lt;wsp:rsid wsp:val=&quot;00306896&quot;/&gt;&lt;wsp:rsid wsp:val=&quot;00312296&quot;/&gt;&lt;wsp:rsid wsp:val=&quot;00314F0E&quot;/&gt;&lt;wsp:rsid wsp:val=&quot;00321D8E&quot;/&gt;&lt;wsp:rsid wsp:val=&quot;00325928&quot;/&gt;&lt;wsp:rsid wsp:val=&quot;003274EF&quot;/&gt;&lt;wsp:rsid wsp:val=&quot;00332863&quot;/&gt;&lt;wsp:rsid wsp:val=&quot;003361F8&quot;/&gt;&lt;wsp:rsid wsp:val=&quot;0033684D&quot;/&gt;&lt;wsp:rsid wsp:val=&quot;00337B42&quot;/&gt;&lt;wsp:rsid wsp:val=&quot;00341B42&quot;/&gt;&lt;wsp:rsid wsp:val=&quot;0034348F&quot;/&gt;&lt;wsp:rsid wsp:val=&quot;003439AE&quot;/&gt;&lt;wsp:rsid wsp:val=&quot;00344120&quot;/&gt;&lt;wsp:rsid wsp:val=&quot;0034470B&quot;/&gt;&lt;wsp:rsid wsp:val=&quot;00353207&quot;/&gt;&lt;wsp:rsid wsp:val=&quot;003548C5&quot;/&gt;&lt;wsp:rsid wsp:val=&quot;00355C09&quot;/&gt;&lt;wsp:rsid wsp:val=&quot;00356653&quot;/&gt;&lt;wsp:rsid wsp:val=&quot;0035743F&quot;/&gt;&lt;wsp:rsid wsp:val=&quot;00357BE2&quot;/&gt;&lt;wsp:rsid wsp:val=&quot;003604A6&quot;/&gt;&lt;wsp:rsid wsp:val=&quot;0036170C&quot;/&gt;&lt;wsp:rsid wsp:val=&quot;00366E0F&quot;/&gt;&lt;wsp:rsid wsp:val=&quot;00372937&quot;/&gt;&lt;wsp:rsid wsp:val=&quot;00373BA1&quot;/&gt;&lt;wsp:rsid wsp:val=&quot;00374954&quot;/&gt;&lt;wsp:rsid wsp:val=&quot;003775ED&quot;/&gt;&lt;wsp:rsid wsp:val=&quot;00381A72&quot;/&gt;&lt;wsp:rsid wsp:val=&quot;0038275A&quot;/&gt;&lt;wsp:rsid wsp:val=&quot;00382E44&quot;/&gt;&lt;wsp:rsid wsp:val=&quot;00384676&quot;/&gt;&lt;wsp:rsid wsp:val=&quot;0038684E&quot;/&gt;&lt;wsp:rsid wsp:val=&quot;00390857&quot;/&gt;&lt;wsp:rsid wsp:val=&quot;00393E29&quot;/&gt;&lt;wsp:rsid wsp:val=&quot;003A21F2&quot;/&gt;&lt;wsp:rsid wsp:val=&quot;003A4BF3&quot;/&gt;&lt;wsp:rsid wsp:val=&quot;003A5F58&quot;/&gt;&lt;wsp:rsid wsp:val=&quot;003B420D&quot;/&gt;&lt;wsp:rsid wsp:val=&quot;003B7389&quot;/&gt;&lt;wsp:rsid wsp:val=&quot;003C4CE2&quot;/&gt;&lt;wsp:rsid wsp:val=&quot;003C6047&quot;/&gt;&lt;wsp:rsid wsp:val=&quot;003C6C16&quot;/&gt;&lt;wsp:rsid wsp:val=&quot;003D4305&quot;/&gt;&lt;wsp:rsid wsp:val=&quot;003D794D&quot;/&gt;&lt;wsp:rsid wsp:val=&quot;003E2F1B&quot;/&gt;&lt;wsp:rsid wsp:val=&quot;003E3058&quot;/&gt;&lt;wsp:rsid wsp:val=&quot;003E4C0B&quot;/&gt;&lt;wsp:rsid wsp:val=&quot;003E76A9&quot;/&gt;&lt;wsp:rsid wsp:val=&quot;003F0809&quot;/&gt;&lt;wsp:rsid wsp:val=&quot;003F10AC&quot;/&gt;&lt;wsp:rsid wsp:val=&quot;003F6A8C&quot;/&gt;&lt;wsp:rsid wsp:val=&quot;003F755C&quot;/&gt;&lt;wsp:rsid wsp:val=&quot;003F7993&quot;/&gt;&lt;wsp:rsid wsp:val=&quot;004020F0&quot;/&gt;&lt;wsp:rsid wsp:val=&quot;004022B3&quot;/&gt;&lt;wsp:rsid wsp:val=&quot;00403B54&quot;/&gt;&lt;wsp:rsid wsp:val=&quot;00406F01&quot;/&gt;&lt;wsp:rsid wsp:val=&quot;00406F27&quot;/&gt;&lt;wsp:rsid wsp:val=&quot;004079DC&quot;/&gt;&lt;wsp:rsid wsp:val=&quot;00416652&quot;/&gt;&lt;wsp:rsid wsp:val=&quot;00416D50&quot;/&gt;&lt;wsp:rsid wsp:val=&quot;00416FD5&quot;/&gt;&lt;wsp:rsid wsp:val=&quot;00417772&quot;/&gt;&lt;wsp:rsid wsp:val=&quot;00420E6A&quot;/&gt;&lt;wsp:rsid wsp:val=&quot;00422656&quot;/&gt;&lt;wsp:rsid wsp:val=&quot;00425A9E&quot;/&gt;&lt;wsp:rsid wsp:val=&quot;00426D6B&quot;/&gt;&lt;wsp:rsid wsp:val=&quot;00427E16&quot;/&gt;&lt;wsp:rsid wsp:val=&quot;00430215&quot;/&gt;&lt;wsp:rsid wsp:val=&quot;00431E6C&quot;/&gt;&lt;wsp:rsid wsp:val=&quot;00433CE7&quot;/&gt;&lt;wsp:rsid wsp:val=&quot;00437DCD&quot;/&gt;&lt;wsp:rsid wsp:val=&quot;0044199C&quot;/&gt;&lt;wsp:rsid wsp:val=&quot;00442FF6&quot;/&gt;&lt;wsp:rsid wsp:val=&quot;0044477A&quot;/&gt;&lt;wsp:rsid wsp:val=&quot;00452738&quot;/&gt;&lt;wsp:rsid wsp:val=&quot;00452B6F&quot;/&gt;&lt;wsp:rsid wsp:val=&quot;00452F6A&quot;/&gt;&lt;wsp:rsid wsp:val=&quot;00456091&quot;/&gt;&lt;wsp:rsid wsp:val=&quot;00466321&quot;/&gt;&lt;wsp:rsid wsp:val=&quot;0047402B&quot;/&gt;&lt;wsp:rsid wsp:val=&quot;0047420F&quot;/&gt;&lt;wsp:rsid wsp:val=&quot;00482463&quot;/&gt;&lt;wsp:rsid wsp:val=&quot;0048258B&quot;/&gt;&lt;wsp:rsid wsp:val=&quot;00484B9B&quot;/&gt;&lt;wsp:rsid wsp:val=&quot;004855F6&quot;/&gt;&lt;wsp:rsid wsp:val=&quot;0048661E&quot;/&gt;&lt;wsp:rsid wsp:val=&quot;004941DB&quot;/&gt;&lt;wsp:rsid wsp:val=&quot;00494492&quot;/&gt;&lt;wsp:rsid wsp:val=&quot;00494670&quot;/&gt;&lt;wsp:rsid wsp:val=&quot;004A12FC&quot;/&gt;&lt;wsp:rsid wsp:val=&quot;004A1C11&quot;/&gt;&lt;wsp:rsid wsp:val=&quot;004A3823&quot;/&gt;&lt;wsp:rsid wsp:val=&quot;004A664B&quot;/&gt;&lt;wsp:rsid wsp:val=&quot;004B0712&quot;/&gt;&lt;wsp:rsid wsp:val=&quot;004B2AED&quot;/&gt;&lt;wsp:rsid wsp:val=&quot;004B39FE&quot;/&gt;&lt;wsp:rsid wsp:val=&quot;004B3EB7&quot;/&gt;&lt;wsp:rsid wsp:val=&quot;004B60EB&quot;/&gt;&lt;wsp:rsid wsp:val=&quot;004C1246&quot;/&gt;&lt;wsp:rsid wsp:val=&quot;004E00DF&quot;/&gt;&lt;wsp:rsid wsp:val=&quot;004E2407&quot;/&gt;&lt;wsp:rsid wsp:val=&quot;004E6946&quot;/&gt;&lt;wsp:rsid wsp:val=&quot;004F1AD8&quot;/&gt;&lt;wsp:rsid wsp:val=&quot;004F26C4&quot;/&gt;&lt;wsp:rsid wsp:val=&quot;004F3BEC&quot;/&gt;&lt;wsp:rsid wsp:val=&quot;004F5E1E&quot;/&gt;&lt;wsp:rsid wsp:val=&quot;00500177&quot;/&gt;&lt;wsp:rsid wsp:val=&quot;005010F2&quot;/&gt;&lt;wsp:rsid wsp:val=&quot;005039CB&quot;/&gt;&lt;wsp:rsid wsp:val=&quot;0050558F&quot;/&gt;&lt;wsp:rsid wsp:val=&quot;00506286&quot;/&gt;&lt;wsp:rsid wsp:val=&quot;00510813&quot;/&gt;&lt;wsp:rsid wsp:val=&quot;00511990&quot;/&gt;&lt;wsp:rsid wsp:val=&quot;00511DE0&quot;/&gt;&lt;wsp:rsid wsp:val=&quot;00513A67&quot;/&gt;&lt;wsp:rsid wsp:val=&quot;00514870&quot;/&gt;&lt;wsp:rsid wsp:val=&quot;00514B9B&quot;/&gt;&lt;wsp:rsid wsp:val=&quot;00517F02&quot;/&gt;&lt;wsp:rsid wsp:val=&quot;00524303&quot;/&gt;&lt;wsp:rsid wsp:val=&quot;005258A2&quot;/&gt;&lt;wsp:rsid wsp:val=&quot;00527756&quot;/&gt;&lt;wsp:rsid wsp:val=&quot;00531884&quot;/&gt;&lt;wsp:rsid wsp:val=&quot;00534C05&quot;/&gt;&lt;wsp:rsid wsp:val=&quot;005401AE&quot;/&gt;&lt;wsp:rsid wsp:val=&quot;00542D74&quot;/&gt;&lt;wsp:rsid wsp:val=&quot;00542E07&quot;/&gt;&lt;wsp:rsid wsp:val=&quot;00543846&quot;/&gt;&lt;wsp:rsid wsp:val=&quot;00545424&quot;/&gt;&lt;wsp:rsid wsp:val=&quot;00545B8F&quot;/&gt;&lt;wsp:rsid wsp:val=&quot;00552415&quot;/&gt;&lt;wsp:rsid wsp:val=&quot;00554279&quot;/&gt;&lt;wsp:rsid wsp:val=&quot;00554A7B&quot;/&gt;&lt;wsp:rsid wsp:val=&quot;0055572C&quot;/&gt;&lt;wsp:rsid wsp:val=&quot;00556A5B&quot;/&gt;&lt;wsp:rsid wsp:val=&quot;0056106A&quot;/&gt;&lt;wsp:rsid wsp:val=&quot;00563A27&quot;/&gt;&lt;wsp:rsid wsp:val=&quot;005720AE&quot;/&gt;&lt;wsp:rsid wsp:val=&quot;0057751D&quot;/&gt;&lt;wsp:rsid wsp:val=&quot;00580624&quot;/&gt;&lt;wsp:rsid wsp:val=&quot;0058385C&quot;/&gt;&lt;wsp:rsid wsp:val=&quot;00583B0F&quot;/&gt;&lt;wsp:rsid wsp:val=&quot;00586059&quot;/&gt;&lt;wsp:rsid wsp:val=&quot;00587644&quot;/&gt;&lt;wsp:rsid wsp:val=&quot;005914C5&quot;/&gt;&lt;wsp:rsid wsp:val=&quot;00593F2F&quot;/&gt;&lt;wsp:rsid wsp:val=&quot;00594D77&quot;/&gt;&lt;wsp:rsid wsp:val=&quot;00595BD9&quot;/&gt;&lt;wsp:rsid wsp:val=&quot;005969E4&quot;/&gt;&lt;wsp:rsid wsp:val=&quot;00596CDB&quot;/&gt;&lt;wsp:rsid wsp:val=&quot;005A06B7&quot;/&gt;&lt;wsp:rsid wsp:val=&quot;005A1759&quot;/&gt;&lt;wsp:rsid wsp:val=&quot;005A1972&quot;/&gt;&lt;wsp:rsid wsp:val=&quot;005A4C27&quot;/&gt;&lt;wsp:rsid wsp:val=&quot;005A68A7&quot;/&gt;&lt;wsp:rsid wsp:val=&quot;005A79FF&quot;/&gt;&lt;wsp:rsid wsp:val=&quot;005B290B&quot;/&gt;&lt;wsp:rsid wsp:val=&quot;005B39C2&quot;/&gt;&lt;wsp:rsid wsp:val=&quot;005B46E8&quot;/&gt;&lt;wsp:rsid wsp:val=&quot;005B6911&quot;/&gt;&lt;wsp:rsid wsp:val=&quot;005D36AB&quot;/&gt;&lt;wsp:rsid wsp:val=&quot;00600A69&quot;/&gt;&lt;wsp:rsid wsp:val=&quot;006018C8&quot;/&gt;&lt;wsp:rsid wsp:val=&quot;00606BB5&quot;/&gt;&lt;wsp:rsid wsp:val=&quot;00611884&quot;/&gt;&lt;wsp:rsid wsp:val=&quot;00612BFD&quot;/&gt;&lt;wsp:rsid wsp:val=&quot;00617CC3&quot;/&gt;&lt;wsp:rsid wsp:val=&quot;00621597&quot;/&gt;&lt;wsp:rsid wsp:val=&quot;00622128&quot;/&gt;&lt;wsp:rsid wsp:val=&quot;0062450D&quot;/&gt;&lt;wsp:rsid wsp:val=&quot;0062682F&quot;/&gt;&lt;wsp:rsid wsp:val=&quot;00634282&quot;/&gt;&lt;wsp:rsid wsp:val=&quot;006377A6&quot;/&gt;&lt;wsp:rsid wsp:val=&quot;00637A3D&quot;/&gt;&lt;wsp:rsid wsp:val=&quot;006411EF&quot;/&gt;&lt;wsp:rsid wsp:val=&quot;00646953&quot;/&gt;&lt;wsp:rsid wsp:val=&quot;0065088D&quot;/&gt;&lt;wsp:rsid wsp:val=&quot;00650BC4&quot;/&gt;&lt;wsp:rsid wsp:val=&quot;00652B81&quot;/&gt;&lt;wsp:rsid wsp:val=&quot;0065412B&quot;/&gt;&lt;wsp:rsid wsp:val=&quot;006549A1&quot;/&gt;&lt;wsp:rsid wsp:val=&quot;00657575&quot;/&gt;&lt;wsp:rsid wsp:val=&quot;00663759&quot;/&gt;&lt;wsp:rsid wsp:val=&quot;00663DC3&quot;/&gt;&lt;wsp:rsid wsp:val=&quot;00664684&quot;/&gt;&lt;wsp:rsid wsp:val=&quot;00664D05&quot;/&gt;&lt;wsp:rsid wsp:val=&quot;0066686A&quot;/&gt;&lt;wsp:rsid wsp:val=&quot;006713F4&quot;/&gt;&lt;wsp:rsid wsp:val=&quot;006748B8&quot;/&gt;&lt;wsp:rsid wsp:val=&quot;00675989&quot;/&gt;&lt;wsp:rsid wsp:val=&quot;006775C3&quot;/&gt;&lt;wsp:rsid wsp:val=&quot;00683D2D&quot;/&gt;&lt;wsp:rsid wsp:val=&quot;0069002B&quot;/&gt;&lt;wsp:rsid wsp:val=&quot;0069290A&quot;/&gt;&lt;wsp:rsid wsp:val=&quot;0069569A&quot;/&gt;&lt;wsp:rsid wsp:val=&quot;00695A77&quot;/&gt;&lt;wsp:rsid wsp:val=&quot;0069775A&quot;/&gt;&lt;wsp:rsid wsp:val=&quot;00697813&quot;/&gt;&lt;wsp:rsid wsp:val=&quot;006A1794&quot;/&gt;&lt;wsp:rsid wsp:val=&quot;006A2C57&quot;/&gt;&lt;wsp:rsid wsp:val=&quot;006A3EE8&quot;/&gt;&lt;wsp:rsid wsp:val=&quot;006A6B4D&quot;/&gt;&lt;wsp:rsid wsp:val=&quot;006A72BF&quot;/&gt;&lt;wsp:rsid wsp:val=&quot;006A7E6E&quot;/&gt;&lt;wsp:rsid wsp:val=&quot;006B03F2&quot;/&gt;&lt;wsp:rsid wsp:val=&quot;006B072B&quot;/&gt;&lt;wsp:rsid wsp:val=&quot;006B37DC&quot;/&gt;&lt;wsp:rsid wsp:val=&quot;006B4C93&quot;/&gt;&lt;wsp:rsid wsp:val=&quot;006B4F68&quot;/&gt;&lt;wsp:rsid wsp:val=&quot;006C0364&quot;/&gt;&lt;wsp:rsid wsp:val=&quot;006C0592&quot;/&gt;&lt;wsp:rsid wsp:val=&quot;006C0C01&quot;/&gt;&lt;wsp:rsid wsp:val=&quot;006C272E&quot;/&gt;&lt;wsp:rsid wsp:val=&quot;006C4A44&quot;/&gt;&lt;wsp:rsid wsp:val=&quot;006C5479&quot;/&gt;&lt;wsp:rsid wsp:val=&quot;006C6CFC&quot;/&gt;&lt;wsp:rsid wsp:val=&quot;006D13B5&quot;/&gt;&lt;wsp:rsid wsp:val=&quot;006D652B&quot;/&gt;&lt;wsp:rsid wsp:val=&quot;006D7065&quot;/&gt;&lt;wsp:rsid wsp:val=&quot;006E12FF&quot;/&gt;&lt;wsp:rsid wsp:val=&quot;006E607E&quot;/&gt;&lt;wsp:rsid wsp:val=&quot;006E7CFB&quot;/&gt;&lt;wsp:rsid wsp:val=&quot;006F13BC&quot;/&gt;&lt;wsp:rsid wsp:val=&quot;006F696B&quot;/&gt;&lt;wsp:rsid wsp:val=&quot;006F6A6D&quot;/&gt;&lt;wsp:rsid wsp:val=&quot;00706C5D&quot;/&gt;&lt;wsp:rsid wsp:val=&quot;00712FD8&quot;/&gt;&lt;wsp:rsid wsp:val=&quot;007170D9&quot;/&gt;&lt;wsp:rsid wsp:val=&quot;00724B98&quot;/&gt;&lt;wsp:rsid wsp:val=&quot;00732922&quot;/&gt;&lt;wsp:rsid wsp:val=&quot;007366B4&quot;/&gt;&lt;wsp:rsid wsp:val=&quot;007377E8&quot;/&gt;&lt;wsp:rsid wsp:val=&quot;00741262&quot;/&gt;&lt;wsp:rsid wsp:val=&quot;00745276&quot;/&gt;&lt;wsp:rsid wsp:val=&quot;007477E4&quot;/&gt;&lt;wsp:rsid wsp:val=&quot;0075162E&quot;/&gt;&lt;wsp:rsid wsp:val=&quot;00754034&quot;/&gt;&lt;wsp:rsid wsp:val=&quot;00755BFE&quot;/&gt;&lt;wsp:rsid wsp:val=&quot;00756556&quot;/&gt;&lt;wsp:rsid wsp:val=&quot;0076046E&quot;/&gt;&lt;wsp:rsid wsp:val=&quot;007606B0&quot;/&gt;&lt;wsp:rsid wsp:val=&quot;007618C4&quot;/&gt;&lt;wsp:rsid wsp:val=&quot;00766218&quot;/&gt;&lt;wsp:rsid wsp:val=&quot;00767980&quot;/&gt;&lt;wsp:rsid wsp:val=&quot;00770330&quot;/&gt;&lt;wsp:rsid wsp:val=&quot;00770B19&quot;/&gt;&lt;wsp:rsid wsp:val=&quot;0077463F&quot;/&gt;&lt;wsp:rsid wsp:val=&quot;007752A8&quot;/&gt;&lt;wsp:rsid wsp:val=&quot;00782319&quot;/&gt;&lt;wsp:rsid wsp:val=&quot;0078302B&quot;/&gt;&lt;wsp:rsid wsp:val=&quot;007836EA&quot;/&gt;&lt;wsp:rsid wsp:val=&quot;00784CDA&quot;/&gt;&lt;wsp:rsid wsp:val=&quot;007906C4&quot;/&gt;&lt;wsp:rsid wsp:val=&quot;00791070&quot;/&gt;&lt;wsp:rsid wsp:val=&quot;00791A03&quot;/&gt;&lt;wsp:rsid wsp:val=&quot;00792084&quot;/&gt;&lt;wsp:rsid wsp:val=&quot;00793C9E&quot;/&gt;&lt;wsp:rsid wsp:val=&quot;007940EA&quot;/&gt;&lt;wsp:rsid wsp:val=&quot;00795A79&quot;/&gt;&lt;wsp:rsid wsp:val=&quot;007967E8&quot;/&gt;&lt;wsp:rsid wsp:val=&quot;0079760B&quot;/&gt;&lt;wsp:rsid wsp:val=&quot;007A1888&quot;/&gt;&lt;wsp:rsid wsp:val=&quot;007A2170&quot;/&gt;&lt;wsp:rsid wsp:val=&quot;007A22BF&quot;/&gt;&lt;wsp:rsid wsp:val=&quot;007A3323&quot;/&gt;&lt;wsp:rsid wsp:val=&quot;007B3B45&quot;/&gt;&lt;wsp:rsid wsp:val=&quot;007B5F7F&quot;/&gt;&lt;wsp:rsid wsp:val=&quot;007B72B8&quot;/&gt;&lt;wsp:rsid wsp:val=&quot;007B7A58&quot;/&gt;&lt;wsp:rsid wsp:val=&quot;007C21B5&quot;/&gt;&lt;wsp:rsid wsp:val=&quot;007C330C&quot;/&gt;&lt;wsp:rsid wsp:val=&quot;007C3D00&quot;/&gt;&lt;wsp:rsid wsp:val=&quot;007C7B40&quot;/&gt;&lt;wsp:rsid wsp:val=&quot;007E1F10&quot;/&gt;&lt;wsp:rsid wsp:val=&quot;007E4BD2&quot;/&gt;&lt;wsp:rsid wsp:val=&quot;007F0605&quot;/&gt;&lt;wsp:rsid wsp:val=&quot;007F6FED&quot;/&gt;&lt;wsp:rsid wsp:val=&quot;008005D2&quot;/&gt;&lt;wsp:rsid wsp:val=&quot;00801393&quot;/&gt;&lt;wsp:rsid wsp:val=&quot;00802738&quot;/&gt;&lt;wsp:rsid wsp:val=&quot;00802F88&quot;/&gt;&lt;wsp:rsid wsp:val=&quot;0080469E&quot;/&gt;&lt;wsp:rsid wsp:val=&quot;00807C1B&quot;/&gt;&lt;wsp:rsid wsp:val=&quot;0081293E&quot;/&gt;&lt;wsp:rsid wsp:val=&quot;00815465&quot;/&gt;&lt;wsp:rsid wsp:val=&quot;00817E9A&quot;/&gt;&lt;wsp:rsid wsp:val=&quot;00825E48&quot;/&gt;&lt;wsp:rsid wsp:val=&quot;0082602E&quot;/&gt;&lt;wsp:rsid wsp:val=&quot;0082624F&quot;/&gt;&lt;wsp:rsid wsp:val=&quot;00827546&quot;/&gt;&lt;wsp:rsid wsp:val=&quot;0082794A&quot;/&gt;&lt;wsp:rsid wsp:val=&quot;008279E5&quot;/&gt;&lt;wsp:rsid wsp:val=&quot;008306BD&quot;/&gt;&lt;wsp:rsid wsp:val=&quot;00831A80&quot;/&gt;&lt;wsp:rsid wsp:val=&quot;00833743&quot;/&gt;&lt;wsp:rsid wsp:val=&quot;00833B02&quot;/&gt;&lt;wsp:rsid wsp:val=&quot;008340A4&quot;/&gt;&lt;wsp:rsid wsp:val=&quot;00834CAA&quot;/&gt;&lt;wsp:rsid wsp:val=&quot;00835160&quot;/&gt;&lt;wsp:rsid wsp:val=&quot;008424AA&quot;/&gt;&lt;wsp:rsid wsp:val=&quot;008428E7&quot;/&gt;&lt;wsp:rsid wsp:val=&quot;008477FE&quot;/&gt;&lt;wsp:rsid wsp:val=&quot;00861538&quot;/&gt;&lt;wsp:rsid wsp:val=&quot;008617D8&quot;/&gt;&lt;wsp:rsid wsp:val=&quot;0086367C&quot;/&gt;&lt;wsp:rsid wsp:val=&quot;008650BC&quot;/&gt;&lt;wsp:rsid wsp:val=&quot;0087135F&quot;/&gt;&lt;wsp:rsid wsp:val=&quot;00872D94&quot;/&gt;&lt;wsp:rsid wsp:val=&quot;00877885&quot;/&gt;&lt;wsp:rsid wsp:val=&quot;00877AA2&quot;/&gt;&lt;wsp:rsid wsp:val=&quot;00880364&quot;/&gt;&lt;wsp:rsid wsp:val=&quot;00881B29&quot;/&gt;&lt;wsp:rsid wsp:val=&quot;00883181&quot;/&gt;&lt;wsp:rsid wsp:val=&quot;00883862&quot;/&gt;&lt;wsp:rsid wsp:val=&quot;00891592&quot;/&gt;&lt;wsp:rsid wsp:val=&quot;00891E9E&quot;/&gt;&lt;wsp:rsid wsp:val=&quot;00892A1F&quot;/&gt;&lt;wsp:rsid wsp:val=&quot;008A2F68&quot;/&gt;&lt;wsp:rsid wsp:val=&quot;008A7E1D&quot;/&gt;&lt;wsp:rsid wsp:val=&quot;008B4FA6&quot;/&gt;&lt;wsp:rsid wsp:val=&quot;008B5282&quot;/&gt;&lt;wsp:rsid wsp:val=&quot;008B7C17&quot;/&gt;&lt;wsp:rsid wsp:val=&quot;008C2D01&quot;/&gt;&lt;wsp:rsid wsp:val=&quot;008C40E6&quot;/&gt;&lt;wsp:rsid wsp:val=&quot;008C517B&quot;/&gt;&lt;wsp:rsid wsp:val=&quot;008D0F7A&quot;/&gt;&lt;wsp:rsid wsp:val=&quot;008D68E4&quot;/&gt;&lt;wsp:rsid wsp:val=&quot;008E0506&quot;/&gt;&lt;wsp:rsid wsp:val=&quot;008E0CFF&quot;/&gt;&lt;wsp:rsid wsp:val=&quot;008E2B1E&quot;/&gt;&lt;wsp:rsid wsp:val=&quot;008E3BC0&quot;/&gt;&lt;wsp:rsid wsp:val=&quot;008E5D6B&quot;/&gt;&lt;wsp:rsid wsp:val=&quot;008E76F0&quot;/&gt;&lt;wsp:rsid wsp:val=&quot;008F10BB&quot;/&gt;&lt;wsp:rsid wsp:val=&quot;008F12B0&quot;/&gt;&lt;wsp:rsid wsp:val=&quot;008F15FE&quot;/&gt;&lt;wsp:rsid wsp:val=&quot;008F2022&quot;/&gt;&lt;wsp:rsid wsp:val=&quot;008F2D29&quot;/&gt;&lt;wsp:rsid wsp:val=&quot;008F5187&quot;/&gt;&lt;wsp:rsid wsp:val=&quot;008F60D8&quot;/&gt;&lt;wsp:rsid wsp:val=&quot;00902727&quot;/&gt;&lt;wsp:rsid wsp:val=&quot;0090312B&quot;/&gt;&lt;wsp:rsid wsp:val=&quot;0090465E&quot;/&gt;&lt;wsp:rsid wsp:val=&quot;00905151&quot;/&gt;&lt;wsp:rsid wsp:val=&quot;00906144&quot;/&gt;&lt;wsp:rsid wsp:val=&quot;009074C0&quot;/&gt;&lt;wsp:rsid wsp:val=&quot;00907561&quot;/&gt;&lt;wsp:rsid wsp:val=&quot;00911FE8&quot;/&gt;&lt;wsp:rsid wsp:val=&quot;0091736D&quot;/&gt;&lt;wsp:rsid wsp:val=&quot;00923E09&quot;/&gt;&lt;wsp:rsid wsp:val=&quot;0093037A&quot;/&gt;&lt;wsp:rsid wsp:val=&quot;009310A3&quot;/&gt;&lt;wsp:rsid wsp:val=&quot;00931D2D&quot;/&gt;&lt;wsp:rsid wsp:val=&quot;00933BF2&quot;/&gt;&lt;wsp:rsid wsp:val=&quot;009346EB&quot;/&gt;&lt;wsp:rsid wsp:val=&quot;0093510D&quot;/&gt;&lt;wsp:rsid wsp:val=&quot;00940470&quot;/&gt;&lt;wsp:rsid wsp:val=&quot;0094154D&quot;/&gt;&lt;wsp:rsid wsp:val=&quot;00941815&quot;/&gt;&lt;wsp:rsid wsp:val=&quot;00942E72&quot;/&gt;&lt;wsp:rsid wsp:val=&quot;00946AEA&quot;/&gt;&lt;wsp:rsid wsp:val=&quot;0095155F&quot;/&gt;&lt;wsp:rsid wsp:val=&quot;00951B1C&quot;/&gt;&lt;wsp:rsid wsp:val=&quot;00954429&quot;/&gt;&lt;wsp:rsid wsp:val=&quot;00955B75&quot;/&gt;&lt;wsp:rsid wsp:val=&quot;009563CE&quot;/&gt;&lt;wsp:rsid wsp:val=&quot;00957118&quot;/&gt;&lt;wsp:rsid wsp:val=&quot;00957895&quot;/&gt;&lt;wsp:rsid wsp:val=&quot;00962DDD&quot;/&gt;&lt;wsp:rsid wsp:val=&quot;00976328&quot;/&gt;&lt;wsp:rsid wsp:val=&quot;0097680D&quot;/&gt;&lt;wsp:rsid wsp:val=&quot;00982438&quot;/&gt;&lt;wsp:rsid wsp:val=&quot;00982A9B&quot;/&gt;&lt;wsp:rsid wsp:val=&quot;0098404C&quot;/&gt;&lt;wsp:rsid wsp:val=&quot;00985283&quot;/&gt;&lt;wsp:rsid wsp:val=&quot;00987A66&quot;/&gt;&lt;wsp:rsid wsp:val=&quot;00995992&quot;/&gt;&lt;wsp:rsid wsp:val=&quot;009A03E5&quot;/&gt;&lt;wsp:rsid wsp:val=&quot;009A0F3B&quot;/&gt;&lt;wsp:rsid wsp:val=&quot;009A1BB4&quot;/&gt;&lt;wsp:rsid wsp:val=&quot;009A2628&quot;/&gt;&lt;wsp:rsid wsp:val=&quot;009A3200&quot;/&gt;&lt;wsp:rsid wsp:val=&quot;009A78A6&quot;/&gt;&lt;wsp:rsid wsp:val=&quot;009B046D&quot;/&gt;&lt;wsp:rsid wsp:val=&quot;009B0792&quot;/&gt;&lt;wsp:rsid wsp:val=&quot;009B0897&quot;/&gt;&lt;wsp:rsid wsp:val=&quot;009B379E&quot;/&gt;&lt;wsp:rsid wsp:val=&quot;009B66B6&quot;/&gt;&lt;wsp:rsid wsp:val=&quot;009B6A62&quot;/&gt;&lt;wsp:rsid wsp:val=&quot;009B7BD9&quot;/&gt;&lt;wsp:rsid wsp:val=&quot;009C0563&quot;/&gt;&lt;wsp:rsid wsp:val=&quot;009C425C&quot;/&gt;&lt;wsp:rsid wsp:val=&quot;009C6D2D&quot;/&gt;&lt;wsp:rsid wsp:val=&quot;009C7DD5&quot;/&gt;&lt;wsp:rsid wsp:val=&quot;009D2B98&quot;/&gt;&lt;wsp:rsid wsp:val=&quot;009D7A4D&quot;/&gt;&lt;wsp:rsid wsp:val=&quot;009E227D&quot;/&gt;&lt;wsp:rsid wsp:val=&quot;009E3774&quot;/&gt;&lt;wsp:rsid wsp:val=&quot;009E5019&quot;/&gt;&lt;wsp:rsid wsp:val=&quot;009E56D8&quot;/&gt;&lt;wsp:rsid wsp:val=&quot;009F103F&quot;/&gt;&lt;wsp:rsid wsp:val=&quot;009F54C0&quot;/&gt;&lt;wsp:rsid wsp:val=&quot;009F7B25&quot;/&gt;&lt;wsp:rsid wsp:val=&quot;00A04F1B&quot;/&gt;&lt;wsp:rsid wsp:val=&quot;00A0501B&quot;/&gt;&lt;wsp:rsid wsp:val=&quot;00A1053C&quot;/&gt;&lt;wsp:rsid wsp:val=&quot;00A14947&quot;/&gt;&lt;wsp:rsid wsp:val=&quot;00A22D5E&quot;/&gt;&lt;wsp:rsid wsp:val=&quot;00A32A83&quot;/&gt;&lt;wsp:rsid wsp:val=&quot;00A34813&quot;/&gt;&lt;wsp:rsid wsp:val=&quot;00A359FC&quot;/&gt;&lt;wsp:rsid wsp:val=&quot;00A368DB&quot;/&gt;&lt;wsp:rsid wsp:val=&quot;00A3720B&quot;/&gt;&lt;wsp:rsid wsp:val=&quot;00A40483&quot;/&gt;&lt;wsp:rsid wsp:val=&quot;00A41B44&quot;/&gt;&lt;wsp:rsid wsp:val=&quot;00A423AA&quot;/&gt;&lt;wsp:rsid wsp:val=&quot;00A46AF4&quot;/&gt;&lt;wsp:rsid wsp:val=&quot;00A50E5C&quot;/&gt;&lt;wsp:rsid wsp:val=&quot;00A53EC6&quot;/&gt;&lt;wsp:rsid wsp:val=&quot;00A543A3&quot;/&gt;&lt;wsp:rsid wsp:val=&quot;00A55C0F&quot;/&gt;&lt;wsp:rsid wsp:val=&quot;00A62E43&quot;/&gt;&lt;wsp:rsid wsp:val=&quot;00A6477E&quot;/&gt;&lt;wsp:rsid wsp:val=&quot;00A651F9&quot;/&gt;&lt;wsp:rsid wsp:val=&quot;00A707D1&quot;/&gt;&lt;wsp:rsid wsp:val=&quot;00A75926&quot;/&gt;&lt;wsp:rsid wsp:val=&quot;00A760B1&quot;/&gt;&lt;wsp:rsid wsp:val=&quot;00A80B36&quot;/&gt;&lt;wsp:rsid wsp:val=&quot;00A80E94&quot;/&gt;&lt;wsp:rsid wsp:val=&quot;00A8713F&quot;/&gt;&lt;wsp:rsid wsp:val=&quot;00A90BA1&quot;/&gt;&lt;wsp:rsid wsp:val=&quot;00A9337D&quot;/&gt;&lt;wsp:rsid wsp:val=&quot;00A96027&quot;/&gt;&lt;wsp:rsid wsp:val=&quot;00A9666F&quot;/&gt;&lt;wsp:rsid wsp:val=&quot;00A97A9A&quot;/&gt;&lt;wsp:rsid wsp:val=&quot;00AA0671&quot;/&gt;&lt;wsp:rsid wsp:val=&quot;00AA2531&quot;/&gt;&lt;wsp:rsid wsp:val=&quot;00AA4704&quot;/&gt;&lt;wsp:rsid wsp:val=&quot;00AA66C3&quot;/&gt;&lt;wsp:rsid wsp:val=&quot;00AB1E09&quot;/&gt;&lt;wsp:rsid wsp:val=&quot;00AB5330&quot;/&gt;&lt;wsp:rsid wsp:val=&quot;00AB7747&quot;/&gt;&lt;wsp:rsid wsp:val=&quot;00AC14CE&quot;/&gt;&lt;wsp:rsid wsp:val=&quot;00AC1E58&quot;/&gt;&lt;wsp:rsid wsp:val=&quot;00AC2A56&quot;/&gt;&lt;wsp:rsid wsp:val=&quot;00AC344E&quot;/&gt;&lt;wsp:rsid wsp:val=&quot;00AC7081&quot;/&gt;&lt;wsp:rsid wsp:val=&quot;00AD055E&quot;/&gt;&lt;wsp:rsid wsp:val=&quot;00AD2872&quot;/&gt;&lt;wsp:rsid wsp:val=&quot;00AD47A7&quot;/&gt;&lt;wsp:rsid wsp:val=&quot;00AD625A&quot;/&gt;&lt;wsp:rsid wsp:val=&quot;00AE2FBF&quot;/&gt;&lt;wsp:rsid wsp:val=&quot;00AE32A7&quot;/&gt;&lt;wsp:rsid wsp:val=&quot;00AE64DE&quot;/&gt;&lt;wsp:rsid wsp:val=&quot;00AE7606&quot;/&gt;&lt;wsp:rsid wsp:val=&quot;00AF0CBF&quot;/&gt;&lt;wsp:rsid wsp:val=&quot;00AF257F&quot;/&gt;&lt;wsp:rsid wsp:val=&quot;00AF33CF&quot;/&gt;&lt;wsp:rsid wsp:val=&quot;00AF4D50&quot;/&gt;&lt;wsp:rsid wsp:val=&quot;00AF6179&quot;/&gt;&lt;wsp:rsid wsp:val=&quot;00B1295A&quot;/&gt;&lt;wsp:rsid wsp:val=&quot;00B13C49&quot;/&gt;&lt;wsp:rsid wsp:val=&quot;00B13DE3&quot;/&gt;&lt;wsp:rsid wsp:val=&quot;00B20A45&quot;/&gt;&lt;wsp:rsid wsp:val=&quot;00B22736&quot;/&gt;&lt;wsp:rsid wsp:val=&quot;00B22C5C&quot;/&gt;&lt;wsp:rsid wsp:val=&quot;00B24F30&quot;/&gt;&lt;wsp:rsid wsp:val=&quot;00B272A8&quot;/&gt;&lt;wsp:rsid wsp:val=&quot;00B27E7F&quot;/&gt;&lt;wsp:rsid wsp:val=&quot;00B31037&quot;/&gt;&lt;wsp:rsid wsp:val=&quot;00B31ABF&quot;/&gt;&lt;wsp:rsid wsp:val=&quot;00B31C2A&quot;/&gt;&lt;wsp:rsid wsp:val=&quot;00B33BE3&quot;/&gt;&lt;wsp:rsid wsp:val=&quot;00B36E64&quot;/&gt;&lt;wsp:rsid wsp:val=&quot;00B4215F&quot;/&gt;&lt;wsp:rsid wsp:val=&quot;00B43435&quot;/&gt;&lt;wsp:rsid wsp:val=&quot;00B511ED&quot;/&gt;&lt;wsp:rsid wsp:val=&quot;00B51F4B&quot;/&gt;&lt;wsp:rsid wsp:val=&quot;00B52694&quot;/&gt;&lt;wsp:rsid wsp:val=&quot;00B53B5D&quot;/&gt;&lt;wsp:rsid wsp:val=&quot;00B56775&quot;/&gt;&lt;wsp:rsid wsp:val=&quot;00B57FE2&quot;/&gt;&lt;wsp:rsid wsp:val=&quot;00B6055E&quot;/&gt;&lt;wsp:rsid wsp:val=&quot;00B6317D&quot;/&gt;&lt;wsp:rsid wsp:val=&quot;00B63669&quot;/&gt;&lt;wsp:rsid wsp:val=&quot;00B64424&quot;/&gt;&lt;wsp:rsid wsp:val=&quot;00B67990&quot;/&gt;&lt;wsp:rsid wsp:val=&quot;00B7723F&quot;/&gt;&lt;wsp:rsid wsp:val=&quot;00B80534&quot;/&gt;&lt;wsp:rsid wsp:val=&quot;00B80546&quot;/&gt;&lt;wsp:rsid wsp:val=&quot;00B8433C&quot;/&gt;&lt;wsp:rsid wsp:val=&quot;00B87491&quot;/&gt;&lt;wsp:rsid wsp:val=&quot;00B918F9&quot;/&gt;&lt;wsp:rsid wsp:val=&quot;00B92EA1&quot;/&gt;&lt;wsp:rsid wsp:val=&quot;00B94296&quot;/&gt;&lt;wsp:rsid wsp:val=&quot;00BA273A&quot;/&gt;&lt;wsp:rsid wsp:val=&quot;00BA29E9&quot;/&gt;&lt;wsp:rsid wsp:val=&quot;00BA7142&quot;/&gt;&lt;wsp:rsid wsp:val=&quot;00BB237C&quot;/&gt;&lt;wsp:rsid wsp:val=&quot;00BB41A3&quot;/&gt;&lt;wsp:rsid wsp:val=&quot;00BB44F2&quot;/&gt;&lt;wsp:rsid wsp:val=&quot;00BC0A0A&quot;/&gt;&lt;wsp:rsid wsp:val=&quot;00BC0E92&quot;/&gt;&lt;wsp:rsid wsp:val=&quot;00BC32DC&quot;/&gt;&lt;wsp:rsid wsp:val=&quot;00BC35B6&quot;/&gt;&lt;wsp:rsid wsp:val=&quot;00BD1B51&quot;/&gt;&lt;wsp:rsid wsp:val=&quot;00BD4596&quot;/&gt;&lt;wsp:rsid wsp:val=&quot;00BE1405&quot;/&gt;&lt;wsp:rsid wsp:val=&quot;00BE23DE&quot;/&gt;&lt;wsp:rsid wsp:val=&quot;00BE312D&quot;/&gt;&lt;wsp:rsid wsp:val=&quot;00BE7AFE&quot;/&gt;&lt;wsp:rsid wsp:val=&quot;00BE7E1B&quot;/&gt;&lt;wsp:rsid wsp:val=&quot;00BF097C&quot;/&gt;&lt;wsp:rsid wsp:val=&quot;00BF1C20&quot;/&gt;&lt;wsp:rsid wsp:val=&quot;00BF21F7&quot;/&gt;&lt;wsp:rsid wsp:val=&quot;00BF2D2C&quot;/&gt;&lt;wsp:rsid wsp:val=&quot;00C10578&quot;/&gt;&lt;wsp:rsid wsp:val=&quot;00C1061A&quot;/&gt;&lt;wsp:rsid wsp:val=&quot;00C135BC&quot;/&gt;&lt;wsp:rsid wsp:val=&quot;00C15C95&quot;/&gt;&lt;wsp:rsid wsp:val=&quot;00C175E7&quot;/&gt;&lt;wsp:rsid wsp:val=&quot;00C22BEE&quot;/&gt;&lt;wsp:rsid wsp:val=&quot;00C234CE&quot;/&gt;&lt;wsp:rsid wsp:val=&quot;00C2596A&quot;/&gt;&lt;wsp:rsid wsp:val=&quot;00C26866&quot;/&gt;&lt;wsp:rsid wsp:val=&quot;00C27537&quot;/&gt;&lt;wsp:rsid wsp:val=&quot;00C31C31&quot;/&gt;&lt;wsp:rsid wsp:val=&quot;00C32398&quot;/&gt;&lt;wsp:rsid wsp:val=&quot;00C328FE&quot;/&gt;&lt;wsp:rsid wsp:val=&quot;00C33507&quot;/&gt;&lt;wsp:rsid wsp:val=&quot;00C408C1&quot;/&gt;&lt;wsp:rsid wsp:val=&quot;00C41D3D&quot;/&gt;&lt;wsp:rsid wsp:val=&quot;00C4409D&quot;/&gt;&lt;wsp:rsid wsp:val=&quot;00C44E72&quot;/&gt;&lt;wsp:rsid wsp:val=&quot;00C45A06&quot;/&gt;&lt;wsp:rsid wsp:val=&quot;00C47E5B&quot;/&gt;&lt;wsp:rsid wsp:val=&quot;00C61E4B&quot;/&gt;&lt;wsp:rsid wsp:val=&quot;00C639CA&quot;/&gt;&lt;wsp:rsid wsp:val=&quot;00C63B46&quot;/&gt;&lt;wsp:rsid wsp:val=&quot;00C64BFF&quot;/&gt;&lt;wsp:rsid wsp:val=&quot;00C6506C&quot;/&gt;&lt;wsp:rsid wsp:val=&quot;00C65333&quot;/&gt;&lt;wsp:rsid wsp:val=&quot;00C70448&quot;/&gt;&lt;wsp:rsid wsp:val=&quot;00C704E9&quot;/&gt;&lt;wsp:rsid wsp:val=&quot;00C74F21&quot;/&gt;&lt;wsp:rsid wsp:val=&quot;00C754D4&quot;/&gt;&lt;wsp:rsid wsp:val=&quot;00C763C9&quot;/&gt;&lt;wsp:rsid wsp:val=&quot;00C769E6&quot;/&gt;&lt;wsp:rsid wsp:val=&quot;00C80057&quot;/&gt;&lt;wsp:rsid wsp:val=&quot;00C82232&quot;/&gt;&lt;wsp:rsid wsp:val=&quot;00C82913&quot;/&gt;&lt;wsp:rsid wsp:val=&quot;00C86203&quot;/&gt;&lt;wsp:rsid wsp:val=&quot;00C86713&quot;/&gt;&lt;wsp:rsid wsp:val=&quot;00C925C0&quot;/&gt;&lt;wsp:rsid wsp:val=&quot;00C934E1&quot;/&gt;&lt;wsp:rsid wsp:val=&quot;00C972B1&quot;/&gt;&lt;wsp:rsid wsp:val=&quot;00CA29B0&quot;/&gt;&lt;wsp:rsid wsp:val=&quot;00CA2CCE&quot;/&gt;&lt;wsp:rsid wsp:val=&quot;00CA43FD&quot;/&gt;&lt;wsp:rsid wsp:val=&quot;00CA7DDE&quot;/&gt;&lt;wsp:rsid wsp:val=&quot;00CA7EF8&quot;/&gt;&lt;wsp:rsid wsp:val=&quot;00CB03E2&quot;/&gt;&lt;wsp:rsid wsp:val=&quot;00CC489B&quot;/&gt;&lt;wsp:rsid wsp:val=&quot;00CC66AE&quot;/&gt;&lt;wsp:rsid wsp:val=&quot;00CD2BCD&quot;/&gt;&lt;wsp:rsid wsp:val=&quot;00CD3A4C&quot;/&gt;&lt;wsp:rsid wsp:val=&quot;00CD4045&quot;/&gt;&lt;wsp:rsid wsp:val=&quot;00CD4D87&quot;/&gt;&lt;wsp:rsid wsp:val=&quot;00CE10E9&quot;/&gt;&lt;wsp:rsid wsp:val=&quot;00CE2910&quot;/&gt;&lt;wsp:rsid wsp:val=&quot;00CE2AC6&quot;/&gt;&lt;wsp:rsid wsp:val=&quot;00CE3BB1&quot;/&gt;&lt;wsp:rsid wsp:val=&quot;00CE3EA2&quot;/&gt;&lt;wsp:rsid wsp:val=&quot;00CE5393&quot;/&gt;&lt;wsp:rsid wsp:val=&quot;00CE7D84&quot;/&gt;&lt;wsp:rsid wsp:val=&quot;00CF040C&quot;/&gt;&lt;wsp:rsid wsp:val=&quot;00CF2EF3&quot;/&gt;&lt;wsp:rsid wsp:val=&quot;00CF314B&quot;/&gt;&lt;wsp:rsid wsp:val=&quot;00CF36BE&quot;/&gt;&lt;wsp:rsid wsp:val=&quot;00CF3709&quot;/&gt;&lt;wsp:rsid wsp:val=&quot;00CF5E3D&quot;/&gt;&lt;wsp:rsid wsp:val=&quot;00CF6000&quot;/&gt;&lt;wsp:rsid wsp:val=&quot;00D003F3&quot;/&gt;&lt;wsp:rsid wsp:val=&quot;00D0364F&quot;/&gt;&lt;wsp:rsid wsp:val=&quot;00D03CF0&quot;/&gt;&lt;wsp:rsid wsp:val=&quot;00D0588C&quot;/&gt;&lt;wsp:rsid wsp:val=&quot;00D06834&quot;/&gt;&lt;wsp:rsid wsp:val=&quot;00D07B3E&quot;/&gt;&lt;wsp:rsid wsp:val=&quot;00D12094&quot;/&gt;&lt;wsp:rsid wsp:val=&quot;00D15CD3&quot;/&gt;&lt;wsp:rsid wsp:val=&quot;00D258BD&quot;/&gt;&lt;wsp:rsid wsp:val=&quot;00D308ED&quot;/&gt;&lt;wsp:rsid wsp:val=&quot;00D328E0&quot;/&gt;&lt;wsp:rsid wsp:val=&quot;00D36D86&quot;/&gt;&lt;wsp:rsid wsp:val=&quot;00D428AA&quot;/&gt;&lt;wsp:rsid wsp:val=&quot;00D438FB&quot;/&gt;&lt;wsp:rsid wsp:val=&quot;00D43A8C&quot;/&gt;&lt;wsp:rsid wsp:val=&quot;00D4506F&quot;/&gt;&lt;wsp:rsid wsp:val=&quot;00D47829&quot;/&gt;&lt;wsp:rsid wsp:val=&quot;00D50A34&quot;/&gt;&lt;wsp:rsid wsp:val=&quot;00D52015&quot;/&gt;&lt;wsp:rsid wsp:val=&quot;00D53EFA&quot;/&gt;&lt;wsp:rsid wsp:val=&quot;00D54DC0&quot;/&gt;&lt;wsp:rsid wsp:val=&quot;00D57C39&quot;/&gt;&lt;wsp:rsid wsp:val=&quot;00D623D9&quot;/&gt;&lt;wsp:rsid wsp:val=&quot;00D67E3E&quot;/&gt;&lt;wsp:rsid wsp:val=&quot;00D77609&quot;/&gt;&lt;wsp:rsid wsp:val=&quot;00D8116E&quot;/&gt;&lt;wsp:rsid wsp:val=&quot;00D84E5D&quot;/&gt;&lt;wsp:rsid wsp:val=&quot;00D94046&quot;/&gt;&lt;wsp:rsid wsp:val=&quot;00D94A7C&quot;/&gt;&lt;wsp:rsid wsp:val=&quot;00D95896&quot;/&gt;&lt;wsp:rsid wsp:val=&quot;00D9630A&quot;/&gt;&lt;wsp:rsid wsp:val=&quot;00DA0D62&quot;/&gt;&lt;wsp:rsid wsp:val=&quot;00DA28F5&quot;/&gt;&lt;wsp:rsid wsp:val=&quot;00DB28D3&quot;/&gt;&lt;wsp:rsid wsp:val=&quot;00DB2983&quot;/&gt;&lt;wsp:rsid wsp:val=&quot;00DB489D&quot;/&gt;&lt;wsp:rsid wsp:val=&quot;00DC06CE&quot;/&gt;&lt;wsp:rsid wsp:val=&quot;00DC1257&quot;/&gt;&lt;wsp:rsid wsp:val=&quot;00DC2D8B&quot;/&gt;&lt;wsp:rsid wsp:val=&quot;00DC367F&quot;/&gt;&lt;wsp:rsid wsp:val=&quot;00DC3DC0&quot;/&gt;&lt;wsp:rsid wsp:val=&quot;00DC4661&quot;/&gt;&lt;wsp:rsid wsp:val=&quot;00DC5B2B&quot;/&gt;&lt;wsp:rsid wsp:val=&quot;00DC5FAC&quot;/&gt;&lt;wsp:rsid wsp:val=&quot;00DD163A&quot;/&gt;&lt;wsp:rsid wsp:val=&quot;00DD1F2A&quot;/&gt;&lt;wsp:rsid wsp:val=&quot;00DD318D&quot;/&gt;&lt;wsp:rsid wsp:val=&quot;00DD6C43&quot;/&gt;&lt;wsp:rsid wsp:val=&quot;00DE1BE8&quot;/&gt;&lt;wsp:rsid wsp:val=&quot;00DE3458&quot;/&gt;&lt;wsp:rsid wsp:val=&quot;00DE4BBF&quot;/&gt;&lt;wsp:rsid wsp:val=&quot;00DE7604&quot;/&gt;&lt;wsp:rsid wsp:val=&quot;00DF2C09&quot;/&gt;&lt;wsp:rsid wsp:val=&quot;00DF2E12&quot;/&gt;&lt;wsp:rsid wsp:val=&quot;00DF514A&quot;/&gt;&lt;wsp:rsid wsp:val=&quot;00DF6690&quot;/&gt;&lt;wsp:rsid wsp:val=&quot;00DF6804&quot;/&gt;&lt;wsp:rsid wsp:val=&quot;00E02B88&quot;/&gt;&lt;wsp:rsid wsp:val=&quot;00E0358D&quot;/&gt;&lt;wsp:rsid wsp:val=&quot;00E04323&quot;/&gt;&lt;wsp:rsid wsp:val=&quot;00E070A2&quot;/&gt;&lt;wsp:rsid wsp:val=&quot;00E1068E&quot;/&gt;&lt;wsp:rsid wsp:val=&quot;00E23C39&quot;/&gt;&lt;wsp:rsid wsp:val=&quot;00E2441C&quot;/&gt;&lt;wsp:rsid wsp:val=&quot;00E24AD8&quot;/&gt;&lt;wsp:rsid wsp:val=&quot;00E2656A&quot;/&gt;&lt;wsp:rsid wsp:val=&quot;00E34FE3&quot;/&gt;&lt;wsp:rsid wsp:val=&quot;00E412D0&quot;/&gt;&lt;wsp:rsid wsp:val=&quot;00E4174A&quot;/&gt;&lt;wsp:rsid wsp:val=&quot;00E43310&quot;/&gt;&lt;wsp:rsid wsp:val=&quot;00E43B81&quot;/&gt;&lt;wsp:rsid wsp:val=&quot;00E44883&quot;/&gt;&lt;wsp:rsid wsp:val=&quot;00E52032&quot;/&gt;&lt;wsp:rsid wsp:val=&quot;00E56322&quot;/&gt;&lt;wsp:rsid wsp:val=&quot;00E56328&quot;/&gt;&lt;wsp:rsid wsp:val=&quot;00E60982&quot;/&gt;&lt;wsp:rsid wsp:val=&quot;00E62C62&quot;/&gt;&lt;wsp:rsid wsp:val=&quot;00E62F8D&quot;/&gt;&lt;wsp:rsid wsp:val=&quot;00E64141&quot;/&gt;&lt;wsp:rsid wsp:val=&quot;00E654C1&quot;/&gt;&lt;wsp:rsid wsp:val=&quot;00E65D97&quot;/&gt;&lt;wsp:rsid wsp:val=&quot;00E708AC&quot;/&gt;&lt;wsp:rsid wsp:val=&quot;00E72A5A&quot;/&gt;&lt;wsp:rsid wsp:val=&quot;00E72F5F&quot;/&gt;&lt;wsp:rsid wsp:val=&quot;00E73354&quot;/&gt;&lt;wsp:rsid wsp:val=&quot;00E829AF&quot;/&gt;&lt;wsp:rsid wsp:val=&quot;00E9242D&quot;/&gt;&lt;wsp:rsid wsp:val=&quot;00EB1450&quot;/&gt;&lt;wsp:rsid wsp:val=&quot;00EB3A77&quot;/&gt;&lt;wsp:rsid wsp:val=&quot;00EB5255&quot;/&gt;&lt;wsp:rsid wsp:val=&quot;00EB5C47&quot;/&gt;&lt;wsp:rsid wsp:val=&quot;00EC5675&quot;/&gt;&lt;wsp:rsid wsp:val=&quot;00EC5D42&quot;/&gt;&lt;wsp:rsid wsp:val=&quot;00ED0639&quot;/&gt;&lt;wsp:rsid wsp:val=&quot;00ED1959&quot;/&gt;&lt;wsp:rsid wsp:val=&quot;00EE34BF&quot;/&gt;&lt;wsp:rsid wsp:val=&quot;00EE55C7&quot;/&gt;&lt;wsp:rsid wsp:val=&quot;00EF0145&quot;/&gt;&lt;wsp:rsid wsp:val=&quot;00EF0281&quot;/&gt;&lt;wsp:rsid wsp:val=&quot;00EF2394&quot;/&gt;&lt;wsp:rsid wsp:val=&quot;00EF2586&quot;/&gt;&lt;wsp:rsid wsp:val=&quot;00EF436D&quot;/&gt;&lt;wsp:rsid wsp:val=&quot;00EF4755&quot;/&gt;&lt;wsp:rsid wsp:val=&quot;00EF7135&quot;/&gt;&lt;wsp:rsid wsp:val=&quot;00F027DB&quot;/&gt;&lt;wsp:rsid wsp:val=&quot;00F077FA&quot;/&gt;&lt;wsp:rsid wsp:val=&quot;00F105C4&quot;/&gt;&lt;wsp:rsid wsp:val=&quot;00F14A7A&quot;/&gt;&lt;wsp:rsid wsp:val=&quot;00F22985&quot;/&gt;&lt;wsp:rsid wsp:val=&quot;00F26CF8&quot;/&gt;&lt;wsp:rsid wsp:val=&quot;00F313F6&quot;/&gt;&lt;wsp:rsid wsp:val=&quot;00F3383E&quot;/&gt;&lt;wsp:rsid wsp:val=&quot;00F43EAC&quot;/&gt;&lt;wsp:rsid wsp:val=&quot;00F465A7&quot;/&gt;&lt;wsp:rsid wsp:val=&quot;00F50B7C&quot;/&gt;&lt;wsp:rsid wsp:val=&quot;00F53C06&quot;/&gt;&lt;wsp:rsid wsp:val=&quot;00F53EF2&quot;/&gt;&lt;wsp:rsid wsp:val=&quot;00F5409D&quot;/&gt;&lt;wsp:rsid wsp:val=&quot;00F54ED7&quot;/&gt;&lt;wsp:rsid wsp:val=&quot;00F550E6&quot;/&gt;&lt;wsp:rsid wsp:val=&quot;00F57E83&quot;/&gt;&lt;wsp:rsid wsp:val=&quot;00F622CB&quot;/&gt;&lt;wsp:rsid wsp:val=&quot;00F679B4&quot;/&gt;&lt;wsp:rsid wsp:val=&quot;00F74345&quot;/&gt;&lt;wsp:rsid wsp:val=&quot;00F8014E&quot;/&gt;&lt;wsp:rsid wsp:val=&quot;00F80A0A&quot;/&gt;&lt;wsp:rsid wsp:val=&quot;00F82B19&quot;/&gt;&lt;wsp:rsid wsp:val=&quot;00F84754&quot;/&gt;&lt;wsp:rsid wsp:val=&quot;00F9212D&quot;/&gt;&lt;wsp:rsid wsp:val=&quot;00F965DA&quot;/&gt;&lt;wsp:rsid wsp:val=&quot;00FA406A&quot;/&gt;&lt;wsp:rsid wsp:val=&quot;00FB503A&quot;/&gt;&lt;wsp:rsid wsp:val=&quot;00FB516C&quot;/&gt;&lt;wsp:rsid wsp:val=&quot;00FC4A11&quot;/&gt;&lt;wsp:rsid wsp:val=&quot;00FC53BD&quot;/&gt;&lt;wsp:rsid wsp:val=&quot;00FD0236&quot;/&gt;&lt;wsp:rsid wsp:val=&quot;00FD116B&quot;/&gt;&lt;wsp:rsid wsp:val=&quot;00FD18F4&quot;/&gt;&lt;wsp:rsid wsp:val=&quot;00FD322F&quot;/&gt;&lt;wsp:rsid wsp:val=&quot;00FD54DB&quot;/&gt;&lt;wsp:rsid wsp:val=&quot;00FD5790&quot;/&gt;&lt;wsp:rsid wsp:val=&quot;00FD619F&quot;/&gt;&lt;wsp:rsid wsp:val=&quot;00FE43B9&quot;/&gt;&lt;wsp:rsid wsp:val=&quot;00FF495D&quot;/&gt;&lt;wsp:rsid wsp:val=&quot;00FF7B0B&quot;/&gt;&lt;wsp:rsid wsp:val=&quot;011454F9&quot;/&gt;&lt;wsp:rsid wsp:val=&quot;0122177B&quot;/&gt;&lt;wsp:rsid wsp:val=&quot;01290F7E&quot;/&gt;&lt;wsp:rsid wsp:val=&quot;012D5AD8&quot;/&gt;&lt;wsp:rsid wsp:val=&quot;015D1E09&quot;/&gt;&lt;wsp:rsid wsp:val=&quot;016C4C19&quot;/&gt;&lt;wsp:rsid wsp:val=&quot;01D512FE&quot;/&gt;&lt;wsp:rsid wsp:val=&quot;021C461D&quot;/&gt;&lt;wsp:rsid wsp:val=&quot;02316736&quot;/&gt;&lt;wsp:rsid wsp:val=&quot;02697903&quot;/&gt;&lt;wsp:rsid wsp:val=&quot;02743AD7&quot;/&gt;&lt;wsp:rsid wsp:val=&quot;02774E21&quot;/&gt;&lt;wsp:rsid wsp:val=&quot;02C73A9D&quot;/&gt;&lt;wsp:rsid wsp:val=&quot;02DF3F93&quot;/&gt;&lt;wsp:rsid wsp:val=&quot;02EF0302&quot;/&gt;&lt;wsp:rsid wsp:val=&quot;02F42AF6&quot;/&gt;&lt;wsp:rsid wsp:val=&quot;02F96569&quot;/&gt;&lt;wsp:rsid wsp:val=&quot;032A4004&quot;/&gt;&lt;wsp:rsid wsp:val=&quot;03343439&quot;/&gt;&lt;wsp:rsid wsp:val=&quot;03917223&quot;/&gt;&lt;wsp:rsid wsp:val=&quot;03924037&quot;/&gt;&lt;wsp:rsid wsp:val=&quot;03E4090F&quot;/&gt;&lt;wsp:rsid wsp:val=&quot;03EA7B21&quot;/&gt;&lt;wsp:rsid wsp:val=&quot;041B75AD&quot;/&gt;&lt;wsp:rsid wsp:val=&quot;041D3E29&quot;/&gt;&lt;wsp:rsid wsp:val=&quot;04AE7167&quot;/&gt;&lt;wsp:rsid wsp:val=&quot;04B35764&quot;/&gt;&lt;wsp:rsid wsp:val=&quot;04BE5847&quot;/&gt;&lt;wsp:rsid wsp:val=&quot;04C06A59&quot;/&gt;&lt;wsp:rsid wsp:val=&quot;04C7345C&quot;/&gt;&lt;wsp:rsid wsp:val=&quot;050425F9&quot;/&gt;&lt;wsp:rsid wsp:val=&quot;05065C62&quot;/&gt;&lt;wsp:rsid wsp:val=&quot;05086887&quot;/&gt;&lt;wsp:rsid wsp:val=&quot;052A6349&quot;/&gt;&lt;wsp:rsid wsp:val=&quot;052D4FD8&quot;/&gt;&lt;wsp:rsid wsp:val=&quot;053C0EA0&quot;/&gt;&lt;wsp:rsid wsp:val=&quot;05585C3D&quot;/&gt;&lt;wsp:rsid wsp:val=&quot;05692BD6&quot;/&gt;&lt;wsp:rsid wsp:val=&quot;05A57C50&quot;/&gt;&lt;wsp:rsid wsp:val=&quot;05DC2619&quot;/&gt;&lt;wsp:rsid wsp:val=&quot;05EB3AE6&quot;/&gt;&lt;wsp:rsid wsp:val=&quot;05F83EAE&quot;/&gt;&lt;wsp:rsid wsp:val=&quot;060D1384&quot;/&gt;&lt;wsp:rsid wsp:val=&quot;063B1344&quot;/&gt;&lt;wsp:rsid wsp:val=&quot;063E7D85&quot;/&gt;&lt;wsp:rsid wsp:val=&quot;06B45BE4&quot;/&gt;&lt;wsp:rsid wsp:val=&quot;06C04DE4&quot;/&gt;&lt;wsp:rsid wsp:val=&quot;06CE49C9&quot;/&gt;&lt;wsp:rsid wsp:val=&quot;07293586&quot;/&gt;&lt;wsp:rsid wsp:val=&quot;07295285&quot;/&gt;&lt;wsp:rsid wsp:val=&quot;07366D47&quot;/&gt;&lt;wsp:rsid wsp:val=&quot;07457CCE&quot;/&gt;&lt;wsp:rsid wsp:val=&quot;07636392&quot;/&gt;&lt;wsp:rsid wsp:val=&quot;07770C56&quot;/&gt;&lt;wsp:rsid wsp:val=&quot;077A6DC4&quot;/&gt;&lt;wsp:rsid wsp:val=&quot;07CD6198&quot;/&gt;&lt;wsp:rsid wsp:val=&quot;07F34BE0&quot;/&gt;&lt;wsp:rsid wsp:val=&quot;081125CE&quot;/&gt;&lt;wsp:rsid wsp:val=&quot;081D1500&quot;/&gt;&lt;wsp:rsid wsp:val=&quot;08246246&quot;/&gt;&lt;wsp:rsid wsp:val=&quot;083F1958&quot;/&gt;&lt;wsp:rsid wsp:val=&quot;08820311&quot;/&gt;&lt;wsp:rsid wsp:val=&quot;08940749&quot;/&gt;&lt;wsp:rsid wsp:val=&quot;08EB5F01&quot;/&gt;&lt;wsp:rsid wsp:val=&quot;08F22476&quot;/&gt;&lt;wsp:rsid wsp:val=&quot;08F22726&quot;/&gt;&lt;wsp:rsid wsp:val=&quot;092217DD&quot;/&gt;&lt;wsp:rsid wsp:val=&quot;093A7294&quot;/&gt;&lt;wsp:rsid wsp:val=&quot;0942299C&quot;/&gt;&lt;wsp:rsid wsp:val=&quot;09C53BBD&quot;/&gt;&lt;wsp:rsid wsp:val=&quot;09CD1774&quot;/&gt;&lt;wsp:rsid wsp:val=&quot;0A15216D&quot;/&gt;&lt;wsp:rsid wsp:val=&quot;0A263993&quot;/&gt;&lt;wsp:rsid wsp:val=&quot;0A2D3AC2&quot;/&gt;&lt;wsp:rsid wsp:val=&quot;0A3470C9&quot;/&gt;&lt;wsp:rsid wsp:val=&quot;0A4B711F&quot;/&gt;&lt;wsp:rsid wsp:val=&quot;0A556D5C&quot;/&gt;&lt;wsp:rsid wsp:val=&quot;0A5A582A&quot;/&gt;&lt;wsp:rsid wsp:val=&quot;0A723C9C&quot;/&gt;&lt;wsp:rsid wsp:val=&quot;0AA755DF&quot;/&gt;&lt;wsp:rsid wsp:val=&quot;0AAF064A&quot;/&gt;&lt;wsp:rsid wsp:val=&quot;0ACF06BA&quot;/&gt;&lt;wsp:rsid wsp:val=&quot;0AEC69F3&quot;/&gt;&lt;wsp:rsid wsp:val=&quot;0B022F0D&quot;/&gt;&lt;wsp:rsid wsp:val=&quot;0B120D44&quot;/&gt;&lt;wsp:rsid wsp:val=&quot;0B146C26&quot;/&gt;&lt;wsp:rsid wsp:val=&quot;0B264B2A&quot;/&gt;&lt;wsp:rsid wsp:val=&quot;0B586211&quot;/&gt;&lt;wsp:rsid wsp:val=&quot;0BB60AD4&quot;/&gt;&lt;wsp:rsid wsp:val=&quot;0BC02EB0&quot;/&gt;&lt;wsp:rsid wsp:val=&quot;0BD27BF6&quot;/&gt;&lt;wsp:rsid wsp:val=&quot;0BDA5200&quot;/&gt;&lt;wsp:rsid wsp:val=&quot;0C3B3C7D&quot;/&gt;&lt;wsp:rsid wsp:val=&quot;0C6246E6&quot;/&gt;&lt;wsp:rsid wsp:val=&quot;0C6422CB&quot;/&gt;&lt;wsp:rsid wsp:val=&quot;0C790683&quot;/&gt;&lt;wsp:rsid wsp:val=&quot;0CA8688B&quot;/&gt;&lt;wsp:rsid wsp:val=&quot;0CAA2036&quot;/&gt;&lt;wsp:rsid wsp:val=&quot;0CAB2EAE&quot;/&gt;&lt;wsp:rsid wsp:val=&quot;0CCB061E&quot;/&gt;&lt;wsp:rsid wsp:val=&quot;0CD6602D&quot;/&gt;&lt;wsp:rsid wsp:val=&quot;0CEF6424&quot;/&gt;&lt;wsp:rsid wsp:val=&quot;0D2565E2&quot;/&gt;&lt;wsp:rsid wsp:val=&quot;0D547385&quot;/&gt;&lt;wsp:rsid wsp:val=&quot;0D621C7D&quot;/&gt;&lt;wsp:rsid wsp:val=&quot;0DB564F7&quot;/&gt;&lt;wsp:rsid wsp:val=&quot;0DFD4B76&quot;/&gt;&lt;wsp:rsid wsp:val=&quot;0E075839&quot;/&gt;&lt;wsp:rsid wsp:val=&quot;0E0F477D&quot;/&gt;&lt;wsp:rsid wsp:val=&quot;0E561104&quot;/&gt;&lt;wsp:rsid wsp:val=&quot;0E73034D&quot;/&gt;&lt;wsp:rsid wsp:val=&quot;0EA67B00&quot;/&gt;&lt;wsp:rsid wsp:val=&quot;0EBD2634&quot;/&gt;&lt;wsp:rsid wsp:val=&quot;0EC8676A&quot;/&gt;&lt;wsp:rsid wsp:val=&quot;0F103591&quot;/&gt;&lt;wsp:rsid wsp:val=&quot;0F13775A&quot;/&gt;&lt;wsp:rsid wsp:val=&quot;0F332577&quot;/&gt;&lt;wsp:rsid wsp:val=&quot;0F3364D0&quot;/&gt;&lt;wsp:rsid wsp:val=&quot;0F362CB2&quot;/&gt;&lt;wsp:rsid wsp:val=&quot;0F5F45FE&quot;/&gt;&lt;wsp:rsid wsp:val=&quot;0F600F7E&quot;/&gt;&lt;wsp:rsid wsp:val=&quot;0F803C12&quot;/&gt;&lt;wsp:rsid wsp:val=&quot;0F8451AF&quot;/&gt;&lt;wsp:rsid wsp:val=&quot;0F9A112B&quot;/&gt;&lt;wsp:rsid wsp:val=&quot;0FA13A21&quot;/&gt;&lt;wsp:rsid wsp:val=&quot;0FA4036D&quot;/&gt;&lt;wsp:rsid wsp:val=&quot;0FAC682D&quot;/&gt;&lt;wsp:rsid wsp:val=&quot;0FF74BED&quot;/&gt;&lt;wsp:rsid wsp:val=&quot;10166590&quot;/&gt;&lt;wsp:rsid wsp:val=&quot;10166E2D&quot;/&gt;&lt;wsp:rsid wsp:val=&quot;103A155A&quot;/&gt;&lt;wsp:rsid wsp:val=&quot;10534B8C&quot;/&gt;&lt;wsp:rsid wsp:val=&quot;106D2F64&quot;/&gt;&lt;wsp:rsid wsp:val=&quot;108400D5&quot;/&gt;&lt;wsp:rsid wsp:val=&quot;10854A12&quot;/&gt;&lt;wsp:rsid wsp:val=&quot;10892FC3&quot;/&gt;&lt;wsp:rsid wsp:val=&quot;108931C0&quot;/&gt;&lt;wsp:rsid wsp:val=&quot;10913E2E&quot;/&gt;&lt;wsp:rsid wsp:val=&quot;10B63710&quot;/&gt;&lt;wsp:rsid wsp:val=&quot;10B7799D&quot;/&gt;&lt;wsp:rsid wsp:val=&quot;10BA3969&quot;/&gt;&lt;wsp:rsid wsp:val=&quot;10D06513&quot;/&gt;&lt;wsp:rsid wsp:val=&quot;10D41A87&quot;/&gt;&lt;wsp:rsid wsp:val=&quot;10DB5B8E&quot;/&gt;&lt;wsp:rsid wsp:val=&quot;10EE637E&quot;/&gt;&lt;wsp:rsid wsp:val=&quot;10F10820&quot;/&gt;&lt;wsp:rsid wsp:val=&quot;111239FE&quot;/&gt;&lt;wsp:rsid wsp:val=&quot;111C2F7A&quot;/&gt;&lt;wsp:rsid wsp:val=&quot;113742F5&quot;/&gt;&lt;wsp:rsid wsp:val=&quot;115033DA&quot;/&gt;&lt;wsp:rsid wsp:val=&quot;11587961&quot;/&gt;&lt;wsp:rsid wsp:val=&quot;11665CA1&quot;/&gt;&lt;wsp:rsid wsp:val=&quot;11860CB9&quot;/&gt;&lt;wsp:rsid wsp:val=&quot;1186606E&quot;/&gt;&lt;wsp:rsid wsp:val=&quot;1198426E&quot;/&gt;&lt;wsp:rsid wsp:val=&quot;11AC4230&quot;/&gt;&lt;wsp:rsid wsp:val=&quot;11AD6F74&quot;/&gt;&lt;wsp:rsid wsp:val=&quot;11BE0CED&quot;/&gt;&lt;wsp:rsid wsp:val=&quot;11C23998&quot;/&gt;&lt;wsp:rsid wsp:val=&quot;11DA1AEB&quot;/&gt;&lt;wsp:rsid wsp:val=&quot;11EC7D9E&quot;/&gt;&lt;wsp:rsid wsp:val=&quot;1224317D&quot;/&gt;&lt;wsp:rsid wsp:val=&quot;12392222&quot;/&gt;&lt;wsp:rsid wsp:val=&quot;123F2702&quot;/&gt;&lt;wsp:rsid wsp:val=&quot;12444F86&quot;/&gt;&lt;wsp:rsid wsp:val=&quot;1286119F&quot;/&gt;&lt;wsp:rsid wsp:val=&quot;129338CC&quot;/&gt;&lt;wsp:rsid wsp:val=&quot;129E0A7C&quot;/&gt;&lt;wsp:rsid wsp:val=&quot;12A23F42&quot;/&gt;&lt;wsp:rsid wsp:val=&quot;12B94687&quot;/&gt;&lt;wsp:rsid wsp:val=&quot;12E144DA&quot;/&gt;&lt;wsp:rsid wsp:val=&quot;13787D05&quot;/&gt;&lt;wsp:rsid wsp:val=&quot;13951726&quot;/&gt;&lt;wsp:rsid wsp:val=&quot;13A059FF&quot;/&gt;&lt;wsp:rsid wsp:val=&quot;13FF3510&quot;/&gt;&lt;wsp:rsid wsp:val=&quot;141A646D&quot;/&gt;&lt;wsp:rsid wsp:val=&quot;142F0B3A&quot;/&gt;&lt;wsp:rsid wsp:val=&quot;1436303E&quot;/&gt;&lt;wsp:rsid wsp:val=&quot;14396509&quot;/&gt;&lt;wsp:rsid wsp:val=&quot;144C19A0&quot;/&gt;&lt;wsp:rsid wsp:val=&quot;146E0E9E&quot;/&gt;&lt;wsp:rsid wsp:val=&quot;14C3594F&quot;/&gt;&lt;wsp:rsid wsp:val=&quot;14DD2C3C&quot;/&gt;&lt;wsp:rsid wsp:val=&quot;14F344C7&quot;/&gt;&lt;wsp:rsid wsp:val=&quot;150C77BF&quot;/&gt;&lt;wsp:rsid wsp:val=&quot;150F34DF&quot;/&gt;&lt;wsp:rsid wsp:val=&quot;15200AF7&quot;/&gt;&lt;wsp:rsid wsp:val=&quot;15810F82&quot;/&gt;&lt;wsp:rsid wsp:val=&quot;158B6093&quot;/&gt;&lt;wsp:rsid wsp:val=&quot;159B2FD2&quot;/&gt;&lt;wsp:rsid wsp:val=&quot;15C51650&quot;/&gt;&lt;wsp:rsid wsp:val=&quot;15C91C45&quot;/&gt;&lt;wsp:rsid wsp:val=&quot;16087E1D&quot;/&gt;&lt;wsp:rsid wsp:val=&quot;161673DF&quot;/&gt;&lt;wsp:rsid wsp:val=&quot;162360E5&quot;/&gt;&lt;wsp:rsid wsp:val=&quot;1637336C&quot;/&gt;&lt;wsp:rsid wsp:val=&quot;164A03CA&quot;/&gt;&lt;wsp:rsid wsp:val=&quot;164D4109&quot;/&gt;&lt;wsp:rsid wsp:val=&quot;169B49F3&quot;/&gt;&lt;wsp:rsid wsp:val=&quot;16BB0F29&quot;/&gt;&lt;wsp:rsid wsp:val=&quot;16BE3E40&quot;/&gt;&lt;wsp:rsid wsp:val=&quot;16CD64BD&quot;/&gt;&lt;wsp:rsid wsp:val=&quot;16DB368E&quot;/&gt;&lt;wsp:rsid wsp:val=&quot;16DB631A&quot;/&gt;&lt;wsp:rsid wsp:val=&quot;16DC78BC&quot;/&gt;&lt;wsp:rsid wsp:val=&quot;1736338A&quot;/&gt;&lt;wsp:rsid wsp:val=&quot;17463338&quot;/&gt;&lt;wsp:rsid wsp:val=&quot;17701D14&quot;/&gt;&lt;wsp:rsid wsp:val=&quot;17735226&quot;/&gt;&lt;wsp:rsid wsp:val=&quot;178F0015&quot;/&gt;&lt;wsp:rsid wsp:val=&quot;178F21FF&quot;/&gt;&lt;wsp:rsid wsp:val=&quot;17E41D2C&quot;/&gt;&lt;wsp:rsid wsp:val=&quot;17E54A2F&quot;/&gt;&lt;wsp:rsid wsp:val=&quot;181F2BD6&quot;/&gt;&lt;wsp:rsid wsp:val=&quot;186355BB&quot;/&gt;&lt;wsp:rsid wsp:val=&quot;189F624C&quot;/&gt;&lt;wsp:rsid wsp:val=&quot;18AB41E7&quot;/&gt;&lt;wsp:rsid wsp:val=&quot;18AC19C5&quot;/&gt;&lt;wsp:rsid wsp:val=&quot;18F76176&quot;/&gt;&lt;wsp:rsid wsp:val=&quot;192C5483&quot;/&gt;&lt;wsp:rsid wsp:val=&quot;19573E06&quot;/&gt;&lt;wsp:rsid wsp:val=&quot;196460D6&quot;/&gt;&lt;wsp:rsid wsp:val=&quot;19651AD8&quot;/&gt;&lt;wsp:rsid wsp:val=&quot;1968538D&quot;/&gt;&lt;wsp:rsid wsp:val=&quot;198620D6&quot;/&gt;&lt;wsp:rsid wsp:val=&quot;19B17E87&quot;/&gt;&lt;wsp:rsid wsp:val=&quot;19C226EB&quot;/&gt;&lt;wsp:rsid wsp:val=&quot;19D7417A&quot;/&gt;&lt;wsp:rsid wsp:val=&quot;1A1C66C0&quot;/&gt;&lt;wsp:rsid wsp:val=&quot;1A42393B&quot;/&gt;&lt;wsp:rsid wsp:val=&quot;1A466C59&quot;/&gt;&lt;wsp:rsid wsp:val=&quot;1A507A77&quot;/&gt;&lt;wsp:rsid wsp:val=&quot;1A5910F0&quot;/&gt;&lt;wsp:rsid wsp:val=&quot;1AAD45DE&quot;/&gt;&lt;wsp:rsid wsp:val=&quot;1ACE6341&quot;/&gt;&lt;wsp:rsid wsp:val=&quot;1AE14E8A&quot;/&gt;&lt;wsp:rsid wsp:val=&quot;1AE43477&quot;/&gt;&lt;wsp:rsid wsp:val=&quot;1B044BEA&quot;/&gt;&lt;wsp:rsid wsp:val=&quot;1B046F80&quot;/&gt;&lt;wsp:rsid wsp:val=&quot;1B3267B5&quot;/&gt;&lt;wsp:rsid wsp:val=&quot;1B352BF3&quot;/&gt;&lt;wsp:rsid wsp:val=&quot;1B40161D&quot;/&gt;&lt;wsp:rsid wsp:val=&quot;1B441859&quot;/&gt;&lt;wsp:rsid wsp:val=&quot;1B454EAD&quot;/&gt;&lt;wsp:rsid wsp:val=&quot;1B474F18&quot;/&gt;&lt;wsp:rsid wsp:val=&quot;1B644B29&quot;/&gt;&lt;wsp:rsid wsp:val=&quot;1B6606B1&quot;/&gt;&lt;wsp:rsid wsp:val=&quot;1B674700&quot;/&gt;&lt;wsp:rsid wsp:val=&quot;1B8F6DD1&quot;/&gt;&lt;wsp:rsid wsp:val=&quot;1B9978FB&quot;/&gt;&lt;wsp:rsid wsp:val=&quot;1B9B581B&quot;/&gt;&lt;wsp:rsid wsp:val=&quot;1BAE628C&quot;/&gt;&lt;wsp:rsid wsp:val=&quot;1BDD16FA&quot;/&gt;&lt;wsp:rsid wsp:val=&quot;1C054A99&quot;/&gt;&lt;wsp:rsid wsp:val=&quot;1C057B80&quot;/&gt;&lt;wsp:rsid wsp:val=&quot;1C2B5B3D&quot;/&gt;&lt;wsp:rsid wsp:val=&quot;1C475FFF&quot;/&gt;&lt;wsp:rsid wsp:val=&quot;1C5E7925&quot;/&gt;&lt;wsp:rsid wsp:val=&quot;1C6F78E3&quot;/&gt;&lt;wsp:rsid wsp:val=&quot;1C803289&quot;/&gt;&lt;wsp:rsid wsp:val=&quot;1CA16166&quot;/&gt;&lt;wsp:rsid wsp:val=&quot;1CF366E6&quot;/&gt;&lt;wsp:rsid wsp:val=&quot;1CFD070F&quot;/&gt;&lt;wsp:rsid wsp:val=&quot;1D5F6196&quot;/&gt;&lt;wsp:rsid wsp:val=&quot;1D6132A5&quot;/&gt;&lt;wsp:rsid wsp:val=&quot;1D8E56D5&quot;/&gt;&lt;wsp:rsid wsp:val=&quot;1DFB31A4&quot;/&gt;&lt;wsp:rsid wsp:val=&quot;1E0D6277&quot;/&gt;&lt;wsp:rsid wsp:val=&quot;1E576DBD&quot;/&gt;&lt;wsp:rsid wsp:val=&quot;1E7A43DA&quot;/&gt;&lt;wsp:rsid wsp:val=&quot;1E850517&quot;/&gt;&lt;wsp:rsid wsp:val=&quot;1F5338E4&quot;/&gt;&lt;wsp:rsid wsp:val=&quot;1F6257E5&quot;/&gt;&lt;wsp:rsid wsp:val=&quot;1F625C1D&quot;/&gt;&lt;wsp:rsid wsp:val=&quot;1F9821A0&quot;/&gt;&lt;wsp:rsid wsp:val=&quot;1FE7539E&quot;/&gt;&lt;wsp:rsid wsp:val=&quot;20391D58&quot;/&gt;&lt;wsp:rsid wsp:val=&quot;2041182F&quot;/&gt;&lt;wsp:rsid wsp:val=&quot;20552D71&quot;/&gt;&lt;wsp:rsid wsp:val=&quot;20671BE0&quot;/&gt;&lt;wsp:rsid wsp:val=&quot;20673FE1&quot;/&gt;&lt;wsp:rsid wsp:val=&quot;209158F8&quot;/&gt;&lt;wsp:rsid wsp:val=&quot;20963CB8&quot;/&gt;&lt;wsp:rsid wsp:val=&quot;20A81A1B&quot;/&gt;&lt;wsp:rsid wsp:val=&quot;20B07FB6&quot;/&gt;&lt;wsp:rsid wsp:val=&quot;20B646FB&quot;/&gt;&lt;wsp:rsid wsp:val=&quot;20EA6499&quot;/&gt;&lt;wsp:rsid wsp:val=&quot;20F01054&quot;/&gt;&lt;wsp:rsid wsp:val=&quot;20FC141B&quot;/&gt;&lt;wsp:rsid wsp:val=&quot;20FE1B70&quot;/&gt;&lt;wsp:rsid wsp:val=&quot;210F5164&quot;/&gt;&lt;wsp:rsid wsp:val=&quot;211F30A1&quot;/&gt;&lt;wsp:rsid wsp:val=&quot;212450B6&quot;/&gt;&lt;wsp:rsid wsp:val=&quot;21321CA7&quot;/&gt;&lt;wsp:rsid wsp:val=&quot;213B74B1&quot;/&gt;&lt;wsp:rsid wsp:val=&quot;21484562&quot;/&gt;&lt;wsp:rsid wsp:val=&quot;214B1912&quot;/&gt;&lt;wsp:rsid wsp:val=&quot;2152264B&quot;/&gt;&lt;wsp:rsid wsp:val=&quot;215A2310&quot;/&gt;&lt;wsp:rsid wsp:val=&quot;216702D2&quot;/&gt;&lt;wsp:rsid wsp:val=&quot;21701179&quot;/&gt;&lt;wsp:rsid wsp:val=&quot;21992D50&quot;/&gt;&lt;wsp:rsid wsp:val=&quot;21AE6B19&quot;/&gt;&lt;wsp:rsid wsp:val=&quot;21B76F07&quot;/&gt;&lt;wsp:rsid wsp:val=&quot;21BF5E84&quot;/&gt;&lt;wsp:rsid wsp:val=&quot;21D50D70&quot;/&gt;&lt;wsp:rsid wsp:val=&quot;21DE318A&quot;/&gt;&lt;wsp:rsid wsp:val=&quot;21EF5B80&quot;/&gt;&lt;wsp:rsid wsp:val=&quot;21F435F1&quot;/&gt;&lt;wsp:rsid wsp:val=&quot;21F654C7&quot;/&gt;&lt;wsp:rsid wsp:val=&quot;21FF51AF&quot;/&gt;&lt;wsp:rsid wsp:val=&quot;221F3B4E&quot;/&gt;&lt;wsp:rsid wsp:val=&quot;222379D9&quot;/&gt;&lt;wsp:rsid wsp:val=&quot;2243776C&quot;/&gt;&lt;wsp:rsid wsp:val=&quot;22576990&quot;/&gt;&lt;wsp:rsid wsp:val=&quot;22787A45&quot;/&gt;&lt;wsp:rsid wsp:val=&quot;227E6396&quot;/&gt;&lt;wsp:rsid wsp:val=&quot;22856B7F&quot;/&gt;&lt;wsp:rsid wsp:val=&quot;229C4C96&quot;/&gt;&lt;wsp:rsid wsp:val=&quot;22CF7EE0&quot;/&gt;&lt;wsp:rsid wsp:val=&quot;22DD5403&quot;/&gt;&lt;wsp:rsid wsp:val=&quot;22F2739F&quot;/&gt;&lt;wsp:rsid wsp:val=&quot;22F47480&quot;/&gt;&lt;wsp:rsid wsp:val=&quot;22F8223D&quot;/&gt;&lt;wsp:rsid wsp:val=&quot;230C7555&quot;/&gt;&lt;wsp:rsid wsp:val=&quot;234A1CAB&quot;/&gt;&lt;wsp:rsid wsp:val=&quot;235D0A6A&quot;/&gt;&lt;wsp:rsid wsp:val=&quot;235D3F1A&quot;/&gt;&lt;wsp:rsid wsp:val=&quot;236E24FF&quot;/&gt;&lt;wsp:rsid wsp:val=&quot;239B0C2C&quot;/&gt;&lt;wsp:rsid wsp:val=&quot;23DA41A0&quot;/&gt;&lt;wsp:rsid wsp:val=&quot;23DE1C48&quot;/&gt;&lt;wsp:rsid wsp:val=&quot;240210CD&quot;/&gt;&lt;wsp:rsid wsp:val=&quot;24110525&quot;/&gt;&lt;wsp:rsid wsp:val=&quot;241F6274&quot;/&gt;&lt;wsp:rsid wsp:val=&quot;244250D8&quot;/&gt;&lt;wsp:rsid wsp:val=&quot;24437762&quot;/&gt;&lt;wsp:rsid wsp:val=&quot;24BC54EC&quot;/&gt;&lt;wsp:rsid wsp:val=&quot;24BF08CF&quot;/&gt;&lt;wsp:rsid wsp:val=&quot;24BF09F7&quot;/&gt;&lt;wsp:rsid wsp:val=&quot;24D14F23&quot;/&gt;&lt;wsp:rsid wsp:val=&quot;24DD3DBB&quot;/&gt;&lt;wsp:rsid wsp:val=&quot;25160215&quot;/&gt;&lt;wsp:rsid wsp:val=&quot;252D53FE&quot;/&gt;&lt;wsp:rsid wsp:val=&quot;253802A7&quot;/&gt;&lt;wsp:rsid wsp:val=&quot;25671663&quot;/&gt;&lt;wsp:rsid wsp:val=&quot;256E2DE4&quot;/&gt;&lt;wsp:rsid wsp:val=&quot;25922B3B&quot;/&gt;&lt;wsp:rsid wsp:val=&quot;25EC2D81&quot;/&gt;&lt;wsp:rsid wsp:val=&quot;25F55AE2&quot;/&gt;&lt;wsp:rsid wsp:val=&quot;25F7019A&quot;/&gt;&lt;wsp:rsid wsp:val=&quot;261037AD&quot;/&gt;&lt;wsp:rsid wsp:val=&quot;26281C0E&quot;/&gt;&lt;wsp:rsid wsp:val=&quot;262F74C8&quot;/&gt;&lt;wsp:rsid wsp:val=&quot;264B3EA7&quot;/&gt;&lt;wsp:rsid wsp:val=&quot;265155C2&quot;/&gt;&lt;wsp:rsid wsp:val=&quot;26545AD0&quot;/&gt;&lt;wsp:rsid wsp:val=&quot;265461A8&quot;/&gt;&lt;wsp:rsid wsp:val=&quot;265533F3&quot;/&gt;&lt;wsp:rsid wsp:val=&quot;265852B8&quot;/&gt;&lt;wsp:rsid wsp:val=&quot;265F10EB&quot;/&gt;&lt;wsp:rsid wsp:val=&quot;26607D23&quot;/&gt;&lt;wsp:rsid wsp:val=&quot;267329ED&quot;/&gt;&lt;wsp:rsid wsp:val=&quot;26797437&quot;/&gt;&lt;wsp:rsid wsp:val=&quot;268A0AE8&quot;/&gt;&lt;wsp:rsid wsp:val=&quot;2697590D&quot;/&gt;&lt;wsp:rsid wsp:val=&quot;269A744F&quot;/&gt;&lt;wsp:rsid wsp:val=&quot;26E35F4C&quot;/&gt;&lt;wsp:rsid wsp:val=&quot;27186AFB&quot;/&gt;&lt;wsp:rsid wsp:val=&quot;27266DB6&quot;/&gt;&lt;wsp:rsid wsp:val=&quot;27357EB0&quot;/&gt;&lt;wsp:rsid wsp:val=&quot;27432A12&quot;/&gt;&lt;wsp:rsid wsp:val=&quot;274D72B9&quot;/&gt;&lt;wsp:rsid wsp:val=&quot;276758B1&quot;/&gt;&lt;wsp:rsid wsp:val=&quot;277057A2&quot;/&gt;&lt;wsp:rsid wsp:val=&quot;2798123C&quot;/&gt;&lt;wsp:rsid wsp:val=&quot;27C668CE&quot;/&gt;&lt;wsp:rsid wsp:val=&quot;27E36AF0&quot;/&gt;&lt;wsp:rsid wsp:val=&quot;27FA55BF&quot;/&gt;&lt;wsp:rsid wsp:val=&quot;280727BD&quot;/&gt;&lt;wsp:rsid wsp:val=&quot;28572EEE&quot;/&gt;&lt;wsp:rsid wsp:val=&quot;28786E71&quot;/&gt;&lt;wsp:rsid wsp:val=&quot;288E72FD&quot;/&gt;&lt;wsp:rsid wsp:val=&quot;28AA4288&quot;/&gt;&lt;wsp:rsid wsp:val=&quot;28B248E6&quot;/&gt;&lt;wsp:rsid wsp:val=&quot;28B34848&quot;/&gt;&lt;wsp:rsid wsp:val=&quot;28CB21A6&quot;/&gt;&lt;wsp:rsid wsp:val=&quot;28CF7791&quot;/&gt;&lt;wsp:rsid wsp:val=&quot;28DF3423&quot;/&gt;&lt;wsp:rsid wsp:val=&quot;29206EB8&quot;/&gt;&lt;wsp:rsid wsp:val=&quot;29595666&quot;/&gt;&lt;wsp:rsid wsp:val=&quot;296E51A9&quot;/&gt;&lt;wsp:rsid wsp:val=&quot;29874881&quot;/&gt;&lt;wsp:rsid wsp:val=&quot;299A0655&quot;/&gt;&lt;wsp:rsid wsp:val=&quot;299F1AF2&quot;/&gt;&lt;wsp:rsid wsp:val=&quot;29A82239&quot;/&gt;&lt;wsp:rsid wsp:val=&quot;29A96022&quot;/&gt;&lt;wsp:rsid wsp:val=&quot;29E325E0&quot;/&gt;&lt;wsp:rsid wsp:val=&quot;2A31015B&quot;/&gt;&lt;wsp:rsid wsp:val=&quot;2A36793E&quot;/&gt;&lt;wsp:rsid wsp:val=&quot;2A452503&quot;/&gt;&lt;wsp:rsid wsp:val=&quot;2A4F5977&quot;/&gt;&lt;wsp:rsid wsp:val=&quot;2A843EA5&quot;/&gt;&lt;wsp:rsid wsp:val=&quot;2A8C4129&quot;/&gt;&lt;wsp:rsid wsp:val=&quot;2A94692E&quot;/&gt;&lt;wsp:rsid wsp:val=&quot;2AB178D9&quot;/&gt;&lt;wsp:rsid wsp:val=&quot;2AD5516A&quot;/&gt;&lt;wsp:rsid wsp:val=&quot;2B074494&quot;/&gt;&lt;wsp:rsid wsp:val=&quot;2B1C68BF&quot;/&gt;&lt;wsp:rsid wsp:val=&quot;2B230554&quot;/&gt;&lt;wsp:rsid wsp:val=&quot;2B515B2E&quot;/&gt;&lt;wsp:rsid wsp:val=&quot;2B66126F&quot;/&gt;&lt;wsp:rsid wsp:val=&quot;2B666C99&quot;/&gt;&lt;wsp:rsid wsp:val=&quot;2B71568F&quot;/&gt;&lt;wsp:rsid wsp:val=&quot;2BA936A8&quot;/&gt;&lt;wsp:rsid wsp:val=&quot;2BAC61D6&quot;/&gt;&lt;wsp:rsid wsp:val=&quot;2BBC45CA&quot;/&gt;&lt;wsp:rsid wsp:val=&quot;2BFD0CF5&quot;/&gt;&lt;wsp:rsid wsp:val=&quot;2C18387F&quot;/&gt;&lt;wsp:rsid wsp:val=&quot;2C2345A6&quot;/&gt;&lt;wsp:rsid wsp:val=&quot;2C315A5A&quot;/&gt;&lt;wsp:rsid wsp:val=&quot;2C3234A5&quot;/&gt;&lt;wsp:rsid wsp:val=&quot;2C346697&quot;/&gt;&lt;wsp:rsid wsp:val=&quot;2C396033&quot;/&gt;&lt;wsp:rsid wsp:val=&quot;2C4B1C25&quot;/&gt;&lt;wsp:rsid wsp:val=&quot;2C6606F6&quot;/&gt;&lt;wsp:rsid wsp:val=&quot;2C6B7DB9&quot;/&gt;&lt;wsp:rsid wsp:val=&quot;2C6E4D4E&quot;/&gt;&lt;wsp:rsid wsp:val=&quot;2CDA0223&quot;/&gt;&lt;wsp:rsid wsp:val=&quot;2D2F0D30&quot;/&gt;&lt;wsp:rsid wsp:val=&quot;2D446F7E&quot;/&gt;&lt;wsp:rsid wsp:val=&quot;2D456BC8&quot;/&gt;&lt;wsp:rsid wsp:val=&quot;2D9E56F5&quot;/&gt;&lt;wsp:rsid wsp:val=&quot;2DA33FB7&quot;/&gt;&lt;wsp:rsid wsp:val=&quot;2DAB2E35&quot;/&gt;&lt;wsp:rsid wsp:val=&quot;2DC807D8&quot;/&gt;&lt;wsp:rsid wsp:val=&quot;2E2520F4&quot;/&gt;&lt;wsp:rsid wsp:val=&quot;2E652A8E&quot;/&gt;&lt;wsp:rsid wsp:val=&quot;2E667F96&quot;/&gt;&lt;wsp:rsid wsp:val=&quot;2E6823E2&quot;/&gt;&lt;wsp:rsid wsp:val=&quot;2E804D70&quot;/&gt;&lt;wsp:rsid wsp:val=&quot;2E8226AB&quot;/&gt;&lt;wsp:rsid wsp:val=&quot;2E895BCE&quot;/&gt;&lt;wsp:rsid wsp:val=&quot;2EAE7A6B&quot;/&gt;&lt;wsp:rsid wsp:val=&quot;2ECF39A8&quot;/&gt;&lt;wsp:rsid wsp:val=&quot;2ED175A0&quot;/&gt;&lt;wsp:rsid wsp:val=&quot;2F0D5A39&quot;/&gt;&lt;wsp:rsid wsp:val=&quot;2F393B22&quot;/&gt;&lt;wsp:rsid wsp:val=&quot;2FB55650&quot;/&gt;&lt;wsp:rsid wsp:val=&quot;2FB62947&quot;/&gt;&lt;wsp:rsid wsp:val=&quot;2FD065E6&quot;/&gt;&lt;wsp:rsid wsp:val=&quot;2FD828C9&quot;/&gt;&lt;wsp:rsid wsp:val=&quot;2FD96870&quot;/&gt;&lt;wsp:rsid wsp:val=&quot;30000983&quot;/&gt;&lt;wsp:rsid wsp:val=&quot;30286F2F&quot;/&gt;&lt;wsp:rsid wsp:val=&quot;303C7766&quot;/&gt;&lt;wsp:rsid wsp:val=&quot;30415662&quot;/&gt;&lt;wsp:rsid wsp:val=&quot;30580BC9&quot;/&gt;&lt;wsp:rsid wsp:val=&quot;30670621&quot;/&gt;&lt;wsp:rsid wsp:val=&quot;30716047&quot;/&gt;&lt;wsp:rsid wsp:val=&quot;30AC25DA&quot;/&gt;&lt;wsp:rsid wsp:val=&quot;30D7736B&quot;/&gt;&lt;wsp:rsid wsp:val=&quot;311E2ED7&quot;/&gt;&lt;wsp:rsid wsp:val=&quot;314962AA&quot;/&gt;&lt;wsp:rsid wsp:val=&quot;315619EE&quot;/&gt;&lt;wsp:rsid wsp:val=&quot;315A13D2&quot;/&gt;&lt;wsp:rsid wsp:val=&quot;315C449C&quot;/&gt;&lt;wsp:rsid wsp:val=&quot;31A829E0&quot;/&gt;&lt;wsp:rsid wsp:val=&quot;31A918BD&quot;/&gt;&lt;wsp:rsid wsp:val=&quot;31AA4BE6&quot;/&gt;&lt;wsp:rsid wsp:val=&quot;31B82709&quot;/&gt;&lt;wsp:rsid wsp:val=&quot;31D05482&quot;/&gt;&lt;wsp:rsid wsp:val=&quot;32177894&quot;/&gt;&lt;wsp:rsid wsp:val=&quot;32400B34&quot;/&gt;&lt;wsp:rsid wsp:val=&quot;32881751&quot;/&gt;&lt;wsp:rsid wsp:val=&quot;329E6876&quot;/&gt;&lt;wsp:rsid wsp:val=&quot;32C93988&quot;/&gt;&lt;wsp:rsid wsp:val=&quot;33015A0C&quot;/&gt;&lt;wsp:rsid wsp:val=&quot;332D034A&quot;/&gt;&lt;wsp:rsid wsp:val=&quot;333015F2&quot;/&gt;&lt;wsp:rsid wsp:val=&quot;33367A22&quot;/&gt;&lt;wsp:rsid wsp:val=&quot;334B6320&quot;/&gt;&lt;wsp:rsid wsp:val=&quot;33A569E9&quot;/&gt;&lt;wsp:rsid wsp:val=&quot;33D934D4&quot;/&gt;&lt;wsp:rsid wsp:val=&quot;33F31E82&quot;/&gt;&lt;wsp:rsid wsp:val=&quot;33FE2F6A&quot;/&gt;&lt;wsp:rsid wsp:val=&quot;340E07E5&quot;/&gt;&lt;wsp:rsid wsp:val=&quot;34196CC5&quot;/&gt;&lt;wsp:rsid wsp:val=&quot;341E03C3&quot;/&gt;&lt;wsp:rsid wsp:val=&quot;34235BF7&quot;/&gt;&lt;wsp:rsid wsp:val=&quot;34351A68&quot;/&gt;&lt;wsp:rsid wsp:val=&quot;344B1AFC&quot;/&gt;&lt;wsp:rsid wsp:val=&quot;345E742C&quot;/&gt;&lt;wsp:rsid wsp:val=&quot;34894BA8&quot;/&gt;&lt;wsp:rsid wsp:val=&quot;3491180A&quot;/&gt;&lt;wsp:rsid wsp:val=&quot;34963EC3&quot;/&gt;&lt;wsp:rsid wsp:val=&quot;34C569E6&quot;/&gt;&lt;wsp:rsid wsp:val=&quot;34DB7F3A&quot;/&gt;&lt;wsp:rsid wsp:val=&quot;34F054AA&quot;/&gt;&lt;wsp:rsid wsp:val=&quot;35377FEB&quot;/&gt;&lt;wsp:rsid wsp:val=&quot;354054DE&quot;/&gt;&lt;wsp:rsid wsp:val=&quot;356D6D5C&quot;/&gt;&lt;wsp:rsid wsp:val=&quot;357404AA&quot;/&gt;&lt;wsp:rsid wsp:val=&quot;35892B24&quot;/&gt;&lt;wsp:rsid wsp:val=&quot;358C5FA8&quot;/&gt;&lt;wsp:rsid wsp:val=&quot;35964628&quot;/&gt;&lt;wsp:rsid wsp:val=&quot;35C15DF1&quot;/&gt;&lt;wsp:rsid wsp:val=&quot;35FE7D7C&quot;/&gt;&lt;wsp:rsid wsp:val=&quot;36074A7F&quot;/&gt;&lt;wsp:rsid wsp:val=&quot;3618276E&quot;/&gt;&lt;wsp:rsid wsp:val=&quot;362016B5&quot;/&gt;&lt;wsp:rsid wsp:val=&quot;36237003&quot;/&gt;&lt;wsp:rsid wsp:val=&quot;362E0349&quot;/&gt;&lt;wsp:rsid wsp:val=&quot;367402BE&quot;/&gt;&lt;wsp:rsid wsp:val=&quot;36786178&quot;/&gt;&lt;wsp:rsid wsp:val=&quot;369150B1&quot;/&gt;&lt;wsp:rsid wsp:val=&quot;36923549&quot;/&gt;&lt;wsp:rsid wsp:val=&quot;36A41884&quot;/&gt;&lt;wsp:rsid wsp:val=&quot;36B75FBF&quot;/&gt;&lt;wsp:rsid wsp:val=&quot;36BD0C45&quot;/&gt;&lt;wsp:rsid wsp:val=&quot;36D51943&quot;/&gt;&lt;wsp:rsid wsp:val=&quot;36E23CAC&quot;/&gt;&lt;wsp:rsid wsp:val=&quot;36F07C6C&quot;/&gt;&lt;wsp:rsid wsp:val=&quot;374C7A84&quot;/&gt;&lt;wsp:rsid wsp:val=&quot;377D7653&quot;/&gt;&lt;wsp:rsid wsp:val=&quot;37C113A9&quot;/&gt;&lt;wsp:rsid wsp:val=&quot;37D651D1&quot;/&gt;&lt;wsp:rsid wsp:val=&quot;37E00298&quot;/&gt;&lt;wsp:rsid wsp:val=&quot;380C0A89&quot;/&gt;&lt;wsp:rsid wsp:val=&quot;380D1374&quot;/&gt;&lt;wsp:rsid wsp:val=&quot;381417B9&quot;/&gt;&lt;wsp:rsid wsp:val=&quot;384460C1&quot;/&gt;&lt;wsp:rsid wsp:val=&quot;38770D06&quot;/&gt;&lt;wsp:rsid wsp:val=&quot;388037CA&quot;/&gt;&lt;wsp:rsid wsp:val=&quot;38807A54&quot;/&gt;&lt;wsp:rsid wsp:val=&quot;38952E67&quot;/&gt;&lt;wsp:rsid wsp:val=&quot;38A81AF5&quot;/&gt;&lt;wsp:rsid wsp:val=&quot;38A9311C&quot;/&gt;&lt;wsp:rsid wsp:val=&quot;38AB5EE7&quot;/&gt;&lt;wsp:rsid wsp:val=&quot;38B0399C&quot;/&gt;&lt;wsp:rsid wsp:val=&quot;38B302F9&quot;/&gt;&lt;wsp:rsid wsp:val=&quot;38B836BC&quot;/&gt;&lt;wsp:rsid wsp:val=&quot;38F12CD3&quot;/&gt;&lt;wsp:rsid wsp:val=&quot;38F94775&quot;/&gt;&lt;wsp:rsid wsp:val=&quot;39016F6C&quot;/&gt;&lt;wsp:rsid wsp:val=&quot;39292932&quot;/&gt;&lt;wsp:rsid wsp:val=&quot;392971ED&quot;/&gt;&lt;wsp:rsid wsp:val=&quot;39325651&quot;/&gt;&lt;wsp:rsid wsp:val=&quot;39804AD4&quot;/&gt;&lt;wsp:rsid wsp:val=&quot;39AC71D3&quot;/&gt;&lt;wsp:rsid wsp:val=&quot;39E614CE&quot;/&gt;&lt;wsp:rsid wsp:val=&quot;3A234DD3&quot;/&gt;&lt;wsp:rsid wsp:val=&quot;3A6833C0&quot;/&gt;&lt;wsp:rsid wsp:val=&quot;3A795DF4&quot;/&gt;&lt;wsp:rsid wsp:val=&quot;3A817FDC&quot;/&gt;&lt;wsp:rsid wsp:val=&quot;3A872856&quot;/&gt;&lt;wsp:rsid wsp:val=&quot;3AB32F9A&quot;/&gt;&lt;wsp:rsid wsp:val=&quot;3AE17EA7&quot;/&gt;&lt;wsp:rsid wsp:val=&quot;3B0A0F88&quot;/&gt;&lt;wsp:rsid wsp:val=&quot;3B0C16E9&quot;/&gt;&lt;wsp:rsid wsp:val=&quot;3B2A42AB&quot;/&gt;&lt;wsp:rsid wsp:val=&quot;3B3763D1&quot;/&gt;&lt;wsp:rsid wsp:val=&quot;3B4E7F84&quot;/&gt;&lt;wsp:rsid wsp:val=&quot;3B641B85&quot;/&gt;&lt;wsp:rsid wsp:val=&quot;3C1F6370&quot;/&gt;&lt;wsp:rsid wsp:val=&quot;3C2F6E1E&quot;/&gt;&lt;wsp:rsid wsp:val=&quot;3C4F64BA&quot;/&gt;&lt;wsp:rsid wsp:val=&quot;3C680112&quot;/&gt;&lt;wsp:rsid wsp:val=&quot;3C6F1290&quot;/&gt;&lt;wsp:rsid wsp:val=&quot;3C992621&quot;/&gt;&lt;wsp:rsid wsp:val=&quot;3CB70B7D&quot;/&gt;&lt;wsp:rsid wsp:val=&quot;3CDA245A&quot;/&gt;&lt;wsp:rsid wsp:val=&quot;3CE816CD&quot;/&gt;&lt;wsp:rsid wsp:val=&quot;3D030DFD&quot;/&gt;&lt;wsp:rsid wsp:val=&quot;3D1E06B7&quot;/&gt;&lt;wsp:rsid wsp:val=&quot;3D5A14E9&quot;/&gt;&lt;wsp:rsid wsp:val=&quot;3D5B0162&quot;/&gt;&lt;wsp:rsid wsp:val=&quot;3D6C5689&quot;/&gt;&lt;wsp:rsid wsp:val=&quot;3E1778BD&quot;/&gt;&lt;wsp:rsid wsp:val=&quot;3E2576AD&quot;/&gt;&lt;wsp:rsid wsp:val=&quot;3E6E2B5B&quot;/&gt;&lt;wsp:rsid wsp:val=&quot;3E871ED3&quot;/&gt;&lt;wsp:rsid wsp:val=&quot;3E8A4C92&quot;/&gt;&lt;wsp:rsid wsp:val=&quot;3EB71D0C&quot;/&gt;&lt;wsp:rsid wsp:val=&quot;3EDA0523&quot;/&gt;&lt;wsp:rsid wsp:val=&quot;3EED6BB2&quot;/&gt;&lt;wsp:rsid wsp:val=&quot;3EF653CA&quot;/&gt;&lt;wsp:rsid wsp:val=&quot;3F463146&quot;/&gt;&lt;wsp:rsid wsp:val=&quot;3F610E54&quot;/&gt;&lt;wsp:rsid wsp:val=&quot;3F6963CD&quot;/&gt;&lt;wsp:rsid wsp:val=&quot;3F9F7211&quot;/&gt;&lt;wsp:rsid wsp:val=&quot;3FB65055&quot;/&gt;&lt;wsp:rsid wsp:val=&quot;3FC91ACD&quot;/&gt;&lt;wsp:rsid wsp:val=&quot;3FD72529&quot;/&gt;&lt;wsp:rsid wsp:val=&quot;3FDC5DE7&quot;/&gt;&lt;wsp:rsid wsp:val=&quot;3FF77315&quot;/&gt;&lt;wsp:rsid wsp:val=&quot;403326AF&quot;/&gt;&lt;wsp:rsid wsp:val=&quot;40474F1C&quot;/&gt;&lt;wsp:rsid wsp:val=&quot;4057181D&quot;/&gt;&lt;wsp:rsid wsp:val=&quot;406C7588&quot;/&gt;&lt;wsp:rsid wsp:val=&quot;40724FFD&quot;/&gt;&lt;wsp:rsid wsp:val=&quot;407A6407&quot;/&gt;&lt;wsp:rsid wsp:val=&quot;40844004&quot;/&gt;&lt;wsp:rsid wsp:val=&quot;40B3526A&quot;/&gt;&lt;wsp:rsid wsp:val=&quot;40D82DFB&quot;/&gt;&lt;wsp:rsid wsp:val=&quot;40E400AA&quot;/&gt;&lt;wsp:rsid wsp:val=&quot;410322FF&quot;/&gt;&lt;wsp:rsid wsp:val=&quot;41461244&quot;/&gt;&lt;wsp:rsid wsp:val=&quot;41DF62AC&quot;/&gt;&lt;wsp:rsid wsp:val=&quot;4200449D&quot;/&gt;&lt;wsp:rsid wsp:val=&quot;42216679&quot;/&gt;&lt;wsp:rsid wsp:val=&quot;42256686&quot;/&gt;&lt;wsp:rsid wsp:val=&quot;423A3BCC&quot;/&gt;&lt;wsp:rsid wsp:val=&quot;424E57D2&quot;/&gt;&lt;wsp:rsid wsp:val=&quot;42552A98&quot;/&gt;&lt;wsp:rsid wsp:val=&quot;42924A7B&quot;/&gt;&lt;wsp:rsid wsp:val=&quot;42AC4CCD&quot;/&gt;&lt;wsp:rsid wsp:val=&quot;42B26C49&quot;/&gt;&lt;wsp:rsid wsp:val=&quot;42C262F9&quot;/&gt;&lt;wsp:rsid wsp:val=&quot;42CB1615&quot;/&gt;&lt;wsp:rsid wsp:val=&quot;42F700F3&quot;/&gt;&lt;wsp:rsid wsp:val=&quot;43246925&quot;/&gt;&lt;wsp:rsid wsp:val=&quot;433A6FE6&quot;/&gt;&lt;wsp:rsid wsp:val=&quot;433F68C2&quot;/&gt;&lt;wsp:rsid wsp:val=&quot;43480868&quot;/&gt;&lt;wsp:rsid wsp:val=&quot;4350713C&quot;/&gt;&lt;wsp:rsid wsp:val=&quot;436653E0&quot;/&gt;&lt;wsp:rsid wsp:val=&quot;43C41769&quot;/&gt;&lt;wsp:rsid wsp:val=&quot;43C4431A&quot;/&gt;&lt;wsp:rsid wsp:val=&quot;43DE7689&quot;/&gt;&lt;wsp:rsid wsp:val=&quot;441843B1&quot;/&gt;&lt;wsp:rsid wsp:val=&quot;445D4484&quot;/&gt;&lt;wsp:rsid wsp:val=&quot;446052BB&quot;/&gt;&lt;wsp:rsid wsp:val=&quot;447944A8&quot;/&gt;&lt;wsp:rsid wsp:val=&quot;44A2233B&quot;/&gt;&lt;wsp:rsid wsp:val=&quot;44B951CC&quot;/&gt;&lt;wsp:rsid wsp:val=&quot;44C83831&quot;/&gt;&lt;wsp:rsid wsp:val=&quot;44CD14E0&quot;/&gt;&lt;wsp:rsid wsp:val=&quot;44D46AF1&quot;/&gt;&lt;wsp:rsid wsp:val=&quot;44ED5075&quot;/&gt;&lt;wsp:rsid wsp:val=&quot;44F20B0B&quot;/&gt;&lt;wsp:rsid wsp:val=&quot;450C0F8B&quot;/&gt;&lt;wsp:rsid wsp:val=&quot;452E5F4C&quot;/&gt;&lt;wsp:rsid wsp:val=&quot;45312019&quot;/&gt;&lt;wsp:rsid wsp:val=&quot;4542433A&quot;/&gt;&lt;wsp:rsid wsp:val=&quot;45612018&quot;/&gt;&lt;wsp:rsid wsp:val=&quot;45865177&quot;/&gt;&lt;wsp:rsid wsp:val=&quot;458946E9&quot;/&gt;&lt;wsp:rsid wsp:val=&quot;45A47C0E&quot;/&gt;&lt;wsp:rsid wsp:val=&quot;45B50DCF&quot;/&gt;&lt;wsp:rsid wsp:val=&quot;45BF1C37&quot;/&gt;&lt;wsp:rsid wsp:val=&quot;45D4285D&quot;/&gt;&lt;wsp:rsid wsp:val=&quot;45FE603B&quot;/&gt;&lt;wsp:rsid wsp:val=&quot;46420ADF&quot;/&gt;&lt;wsp:rsid wsp:val=&quot;4645515D&quot;/&gt;&lt;wsp:rsid wsp:val=&quot;46530F41&quot;/&gt;&lt;wsp:rsid wsp:val=&quot;46567C59&quot;/&gt;&lt;wsp:rsid wsp:val=&quot;46577FD6&quot;/&gt;&lt;wsp:rsid wsp:val=&quot;469356F0&quot;/&gt;&lt;wsp:rsid wsp:val=&quot;46A909CF&quot;/&gt;&lt;wsp:rsid wsp:val=&quot;46AE7C80&quot;/&gt;&lt;wsp:rsid wsp:val=&quot;46C5149B&quot;/&gt;&lt;wsp:rsid wsp:val=&quot;46CA1285&quot;/&gt;&lt;wsp:rsid wsp:val=&quot;46D6365B&quot;/&gt;&lt;wsp:rsid wsp:val=&quot;46D955A7&quot;/&gt;&lt;wsp:rsid wsp:val=&quot;47133957&quot;/&gt;&lt;wsp:rsid wsp:val=&quot;47190280&quot;/&gt;&lt;wsp:rsid wsp:val=&quot;47441D9C&quot;/&gt;&lt;wsp:rsid wsp:val=&quot;47590E68&quot;/&gt;&lt;wsp:rsid wsp:val=&quot;47746778&quot;/&gt;&lt;wsp:rsid wsp:val=&quot;47A07E0C&quot;/&gt;&lt;wsp:rsid wsp:val=&quot;47A3470D&quot;/&gt;&lt;wsp:rsid wsp:val=&quot;47BE31DC&quot;/&gt;&lt;wsp:rsid wsp:val=&quot;47DE1851&quot;/&gt;&lt;wsp:rsid wsp:val=&quot;47ED4DAE&quot;/&gt;&lt;wsp:rsid wsp:val=&quot;48375245&quot;/&gt;&lt;wsp:rsid wsp:val=&quot;48492097&quot;/&gt;&lt;wsp:rsid wsp:val=&quot;4870272E&quot;/&gt;&lt;wsp:rsid wsp:val=&quot;48BF7E6A&quot;/&gt;&lt;wsp:rsid wsp:val=&quot;48FD5F50&quot;/&gt;&lt;wsp:rsid wsp:val=&quot;491672C0&quot;/&gt;&lt;wsp:rsid wsp:val=&quot;4964207E&quot;/&gt;&lt;wsp:rsid wsp:val=&quot;49956317&quot;/&gt;&lt;wsp:rsid wsp:val=&quot;4998702C&quot;/&gt;&lt;wsp:rsid wsp:val=&quot;49B03482&quot;/&gt;&lt;wsp:rsid wsp:val=&quot;49C76C47&quot;/&gt;&lt;wsp:rsid wsp:val=&quot;49DC7715&quot;/&gt;&lt;wsp:rsid wsp:val=&quot;49EA48A9&quot;/&gt;&lt;wsp:rsid wsp:val=&quot;49FA2363&quot;/&gt;&lt;wsp:rsid wsp:val=&quot;4A023139&quot;/&gt;&lt;wsp:rsid wsp:val=&quot;4A575744&quot;/&gt;&lt;wsp:rsid wsp:val=&quot;4A6B35D8&quot;/&gt;&lt;wsp:rsid wsp:val=&quot;4A7B576F&quot;/&gt;&lt;wsp:rsid wsp:val=&quot;4AA22B3F&quot;/&gt;&lt;wsp:rsid wsp:val=&quot;4AAF3D92&quot;/&gt;&lt;wsp:rsid wsp:val=&quot;4ACD4DA3&quot;/&gt;&lt;wsp:rsid wsp:val=&quot;4AD37AEC&quot;/&gt;&lt;wsp:rsid wsp:val=&quot;4AD53535&quot;/&gt;&lt;wsp:rsid wsp:val=&quot;4ADA05A8&quot;/&gt;&lt;wsp:rsid wsp:val=&quot;4AF561A9&quot;/&gt;&lt;wsp:rsid wsp:val=&quot;4B3317B5&quot;/&gt;&lt;wsp:rsid wsp:val=&quot;4B825E47&quot;/&gt;&lt;wsp:rsid wsp:val=&quot;4B92328B&quot;/&gt;&lt;wsp:rsid wsp:val=&quot;4B9E690A&quot;/&gt;&lt;wsp:rsid wsp:val=&quot;4BA1474F&quot;/&gt;&lt;wsp:rsid wsp:val=&quot;4BD65BDD&quot;/&gt;&lt;wsp:rsid wsp:val=&quot;4C2751C1&quot;/&gt;&lt;wsp:rsid wsp:val=&quot;4C2A52AB&quot;/&gt;&lt;wsp:rsid wsp:val=&quot;4C38262B&quot;/&gt;&lt;wsp:rsid wsp:val=&quot;4C4A0649&quot;/&gt;&lt;wsp:rsid wsp:val=&quot;4C5C350E&quot;/&gt;&lt;wsp:rsid wsp:val=&quot;4C6677BD&quot;/&gt;&lt;wsp:rsid wsp:val=&quot;4C7E5ECA&quot;/&gt;&lt;wsp:rsid wsp:val=&quot;4C835502&quot;/&gt;&lt;wsp:rsid wsp:val=&quot;4C863BBC&quot;/&gt;&lt;wsp:rsid wsp:val=&quot;4C876AA5&quot;/&gt;&lt;wsp:rsid wsp:val=&quot;4C8C4593&quot;/&gt;&lt;wsp:rsid wsp:val=&quot;4C9343BD&quot;/&gt;&lt;wsp:rsid wsp:val=&quot;4CCA3E28&quot;/&gt;&lt;wsp:rsid wsp:val=&quot;4CE8053D&quot;/&gt;&lt;wsp:rsid wsp:val=&quot;4CFF1CCC&quot;/&gt;&lt;wsp:rsid wsp:val=&quot;4D0E00FB&quot;/&gt;&lt;wsp:rsid wsp:val=&quot;4D1464C2&quot;/&gt;&lt;wsp:rsid wsp:val=&quot;4D176606&quot;/&gt;&lt;wsp:rsid wsp:val=&quot;4D1E0754&quot;/&gt;&lt;wsp:rsid wsp:val=&quot;4D8C4CF0&quot;/&gt;&lt;wsp:rsid wsp:val=&quot;4DAA27CC&quot;/&gt;&lt;wsp:rsid wsp:val=&quot;4DDA22BC&quot;/&gt;&lt;wsp:rsid wsp:val=&quot;4DE42935&quot;/&gt;&lt;wsp:rsid wsp:val=&quot;4DE436CA&quot;/&gt;&lt;wsp:rsid wsp:val=&quot;4DEC4FB0&quot;/&gt;&lt;wsp:rsid wsp:val=&quot;4DF93D6B&quot;/&gt;&lt;wsp:rsid wsp:val=&quot;4DFC139B&quot;/&gt;&lt;wsp:rsid wsp:val=&quot;4E075D8A&quot;/&gt;&lt;wsp:rsid wsp:val=&quot;4E6B3FDE&quot;/&gt;&lt;wsp:rsid wsp:val=&quot;4E854252&quot;/&gt;&lt;wsp:rsid wsp:val=&quot;4EC00FAD&quot;/&gt;&lt;wsp:rsid wsp:val=&quot;4ED473AF&quot;/&gt;&lt;wsp:rsid wsp:val=&quot;4EF4649C&quot;/&gt;&lt;wsp:rsid wsp:val=&quot;4F383A50&quot;/&gt;&lt;wsp:rsid wsp:val=&quot;4F5A49E3&quot;/&gt;&lt;wsp:rsid wsp:val=&quot;4F5A5B9F&quot;/&gt;&lt;wsp:rsid wsp:val=&quot;4F7D1ABD&quot;/&gt;&lt;wsp:rsid wsp:val=&quot;4F7D7912&quot;/&gt;&lt;wsp:rsid wsp:val=&quot;4F9843DC&quot;/&gt;&lt;wsp:rsid wsp:val=&quot;4FAB3C5C&quot;/&gt;&lt;wsp:rsid wsp:val=&quot;4FC62A8C&quot;/&gt;&lt;wsp:rsid wsp:val=&quot;4FCB4E90&quot;/&gt;&lt;wsp:rsid wsp:val=&quot;4FD50463&quot;/&gt;&lt;wsp:rsid wsp:val=&quot;4FE20F0D&quot;/&gt;&lt;wsp:rsid wsp:val=&quot;4FE51552&quot;/&gt;&lt;wsp:rsid wsp:val=&quot;502B5144&quot;/&gt;&lt;wsp:rsid wsp:val=&quot;50396F9D&quot;/&gt;&lt;wsp:rsid wsp:val=&quot;50504C4B&quot;/&gt;&lt;wsp:rsid wsp:val=&quot;50506B47&quot;/&gt;&lt;wsp:rsid wsp:val=&quot;50571C6B&quot;/&gt;&lt;wsp:rsid wsp:val=&quot;506043DF&quot;/&gt;&lt;wsp:rsid wsp:val=&quot;50720014&quot;/&gt;&lt;wsp:rsid wsp:val=&quot;507278F3&quot;/&gt;&lt;wsp:rsid wsp:val=&quot;509C6E7C&quot;/&gt;&lt;wsp:rsid wsp:val=&quot;50BE5FC4&quot;/&gt;&lt;wsp:rsid wsp:val=&quot;50C578A1&quot;/&gt;&lt;wsp:rsid wsp:val=&quot;50D843A7&quot;/&gt;&lt;wsp:rsid wsp:val=&quot;511E491B&quot;/&gt;&lt;wsp:rsid wsp:val=&quot;513503CB&quot;/&gt;&lt;wsp:rsid wsp:val=&quot;51377CA4&quot;/&gt;&lt;wsp:rsid wsp:val=&quot;515735C5&quot;/&gt;&lt;wsp:rsid wsp:val=&quot;5162104E&quot;/&gt;&lt;wsp:rsid wsp:val=&quot;517F63A5&quot;/&gt;&lt;wsp:rsid wsp:val=&quot;518A72F6&quot;/&gt;&lt;wsp:rsid wsp:val=&quot;51BB71BA&quot;/&gt;&lt;wsp:rsid wsp:val=&quot;51C302F9&quot;/&gt;&lt;wsp:rsid wsp:val=&quot;51D955B1&quot;/&gt;&lt;wsp:rsid wsp:val=&quot;520D05D8&quot;/&gt;&lt;wsp:rsid wsp:val=&quot;52644433&quot;/&gt;&lt;wsp:rsid wsp:val=&quot;52742E3B&quot;/&gt;&lt;wsp:rsid wsp:val=&quot;528554A3&quot;/&gt;&lt;wsp:rsid wsp:val=&quot;52BA4671&quot;/&gt;&lt;wsp:rsid wsp:val=&quot;52D67FBF&quot;/&gt;&lt;wsp:rsid wsp:val=&quot;52DF3D59&quot;/&gt;&lt;wsp:rsid wsp:val=&quot;52EB0123&quot;/&gt;&lt;wsp:rsid wsp:val=&quot;52F33151&quot;/&gt;&lt;wsp:rsid wsp:val=&quot;531360E3&quot;/&gt;&lt;wsp:rsid wsp:val=&quot;53431963&quot;/&gt;&lt;wsp:rsid wsp:val=&quot;535A21E2&quot;/&gt;&lt;wsp:rsid wsp:val=&quot;535F247A&quot;/&gt;&lt;wsp:rsid wsp:val=&quot;53650B13&quot;/&gt;&lt;wsp:rsid wsp:val=&quot;537D5355&quot;/&gt;&lt;wsp:rsid wsp:val=&quot;53A039CC&quot;/&gt;&lt;wsp:rsid wsp:val=&quot;53A1505A&quot;/&gt;&lt;wsp:rsid wsp:val=&quot;53AE2E6D&quot;/&gt;&lt;wsp:rsid wsp:val=&quot;53BC0DA3&quot;/&gt;&lt;wsp:rsid wsp:val=&quot;53DC19E2&quot;/&gt;&lt;wsp:rsid wsp:val=&quot;54063E08&quot;/&gt;&lt;wsp:rsid wsp:val=&quot;542B49D5&quot;/&gt;&lt;wsp:rsid wsp:val=&quot;542D56AA&quot;/&gt;&lt;wsp:rsid wsp:val=&quot;543437E8&quot;/&gt;&lt;wsp:rsid wsp:val=&quot;544378D0&quot;/&gt;&lt;wsp:rsid wsp:val=&quot;544E7D4B&quot;/&gt;&lt;wsp:rsid wsp:val=&quot;548129B1&quot;/&gt;&lt;wsp:rsid wsp:val=&quot;549C24E3&quot;/&gt;&lt;wsp:rsid wsp:val=&quot;54A60641&quot;/&gt;&lt;wsp:rsid wsp:val=&quot;54F73313&quot;/&gt;&lt;wsp:rsid wsp:val=&quot;54F80955&quot;/&gt;&lt;wsp:rsid wsp:val=&quot;54FF336C&quot;/&gt;&lt;wsp:rsid wsp:val=&quot;552A5B5D&quot;/&gt;&lt;wsp:rsid wsp:val=&quot;555170A7&quot;/&gt;&lt;wsp:rsid wsp:val=&quot;557260F9&quot;/&gt;&lt;wsp:rsid wsp:val=&quot;5587536D&quot;/&gt;&lt;wsp:rsid wsp:val=&quot;55925D73&quot;/&gt;&lt;wsp:rsid wsp:val=&quot;559308F0&quot;/&gt;&lt;wsp:rsid wsp:val=&quot;559B174B&quot;/&gt;&lt;wsp:rsid wsp:val=&quot;55BA25B9&quot;/&gt;&lt;wsp:rsid wsp:val=&quot;55C220B3&quot;/&gt;&lt;wsp:rsid wsp:val=&quot;55CE0CF4&quot;/&gt;&lt;wsp:rsid wsp:val=&quot;55DE4BC5&quot;/&gt;&lt;wsp:rsid wsp:val=&quot;56225429&quot;/&gt;&lt;wsp:rsid wsp:val=&quot;564B23A9&quot;/&gt;&lt;wsp:rsid wsp:val=&quot;56527843&quot;/&gt;&lt;wsp:rsid wsp:val=&quot;56575382&quot;/&gt;&lt;wsp:rsid wsp:val=&quot;56A33B63&quot;/&gt;&lt;wsp:rsid wsp:val=&quot;56B22A9C&quot;/&gt;&lt;wsp:rsid wsp:val=&quot;56CA6906&quot;/&gt;&lt;wsp:rsid wsp:val=&quot;56EC1880&quot;/&gt;&lt;wsp:rsid wsp:val=&quot;574B77C5&quot;/&gt;&lt;wsp:rsid wsp:val=&quot;57541EDD&quot;/&gt;&lt;wsp:rsid wsp:val=&quot;57756AF8&quot;/&gt;&lt;wsp:rsid wsp:val=&quot;577C7C9E&quot;/&gt;&lt;wsp:rsid wsp:val=&quot;57AC118F&quot;/&gt;&lt;wsp:rsid wsp:val=&quot;57B72A76&quot;/&gt;&lt;wsp:rsid wsp:val=&quot;57BE21D9&quot;/&gt;&lt;wsp:rsid wsp:val=&quot;57C3426C&quot;/&gt;&lt;wsp:rsid wsp:val=&quot;57CE1F93&quot;/&gt;&lt;wsp:rsid wsp:val=&quot;57FA52F9&quot;/&gt;&lt;wsp:rsid wsp:val=&quot;58356912&quot;/&gt;&lt;wsp:rsid wsp:val=&quot;584F05EC&quot;/&gt;&lt;wsp:rsid wsp:val=&quot;58546F4F&quot;/&gt;&lt;wsp:rsid wsp:val=&quot;58566A1B&quot;/&gt;&lt;wsp:rsid wsp:val=&quot;588743D1&quot;/&gt;&lt;wsp:rsid wsp:val=&quot;5887701A&quot;/&gt;&lt;wsp:rsid wsp:val=&quot;58A70673&quot;/&gt;&lt;wsp:rsid wsp:val=&quot;58D12203&quot;/&gt;&lt;wsp:rsid wsp:val=&quot;592D2BCC&quot;/&gt;&lt;wsp:rsid wsp:val=&quot;59904C69&quot;/&gt;&lt;wsp:rsid wsp:val=&quot;59A4450F&quot;/&gt;&lt;wsp:rsid wsp:val=&quot;59A965CE&quot;/&gt;&lt;wsp:rsid wsp:val=&quot;59B04227&quot;/&gt;&lt;wsp:rsid wsp:val=&quot;59C0439F&quot;/&gt;&lt;wsp:rsid wsp:val=&quot;59DE6165&quot;/&gt;&lt;wsp:rsid wsp:val=&quot;59E902BB&quot;/&gt;&lt;wsp:rsid wsp:val=&quot;5A021FF8&quot;/&gt;&lt;wsp:rsid wsp:val=&quot;5A0672E3&quot;/&gt;&lt;wsp:rsid wsp:val=&quot;5A6F512A&quot;/&gt;&lt;wsp:rsid wsp:val=&quot;5AB339E1&quot;/&gt;&lt;wsp:rsid wsp:val=&quot;5ABE2233&quot;/&gt;&lt;wsp:rsid wsp:val=&quot;5AC411DC&quot;/&gt;&lt;wsp:rsid wsp:val=&quot;5AD17EF9&quot;/&gt;&lt;wsp:rsid wsp:val=&quot;5ADF1397&quot;/&gt;&lt;wsp:rsid wsp:val=&quot;5B193AC5&quot;/&gt;&lt;wsp:rsid wsp:val=&quot;5B1B4211&quot;/&gt;&lt;wsp:rsid wsp:val=&quot;5B3C194A&quot;/&gt;&lt;wsp:rsid wsp:val=&quot;5B5756A5&quot;/&gt;&lt;wsp:rsid wsp:val=&quot;5B5F4BB1&quot;/&gt;&lt;wsp:rsid wsp:val=&quot;5B631000&quot;/&gt;&lt;wsp:rsid wsp:val=&quot;5B6E46C9&quot;/&gt;&lt;wsp:rsid wsp:val=&quot;5B8709CC&quot;/&gt;&lt;wsp:rsid wsp:val=&quot;5B9F7767&quot;/&gt;&lt;wsp:rsid wsp:val=&quot;5BB12E16&quot;/&gt;&lt;wsp:rsid wsp:val=&quot;5BD76B7F&quot;/&gt;&lt;wsp:rsid wsp:val=&quot;5BDB0425&quot;/&gt;&lt;wsp:rsid wsp:val=&quot;5BDF5D95&quot;/&gt;&lt;wsp:rsid wsp:val=&quot;5BF342C6&quot;/&gt;&lt;wsp:rsid wsp:val=&quot;5BFE7528&quot;/&gt;&lt;wsp:rsid wsp:val=&quot;5C3839C7&quot;/&gt;&lt;wsp:rsid wsp:val=&quot;5C8D61B2&quot;/&gt;&lt;wsp:rsid wsp:val=&quot;5C8D796A&quot;/&gt;&lt;wsp:rsid wsp:val=&quot;5C9726A9&quot;/&gt;&lt;wsp:rsid wsp:val=&quot;5C9756A8&quot;/&gt;&lt;wsp:rsid wsp:val=&quot;5C9D45C0&quot;/&gt;&lt;wsp:rsid wsp:val=&quot;5CB3647B&quot;/&gt;&lt;wsp:rsid wsp:val=&quot;5CC80F35&quot;/&gt;&lt;wsp:rsid wsp:val=&quot;5CC82ECB&quot;/&gt;&lt;wsp:rsid wsp:val=&quot;5CC94001&quot;/&gt;&lt;wsp:rsid wsp:val=&quot;5CEE3690&quot;/&gt;&lt;wsp:rsid wsp:val=&quot;5D211E8A&quot;/&gt;&lt;wsp:rsid wsp:val=&quot;5D4316C1&quot;/&gt;&lt;wsp:rsid wsp:val=&quot;5D831E8E&quot;/&gt;&lt;wsp:rsid wsp:val=&quot;5D8E2377&quot;/&gt;&lt;wsp:rsid wsp:val=&quot;5DAC4BE2&quot;/&gt;&lt;wsp:rsid wsp:val=&quot;5DD46C25&quot;/&gt;&lt;wsp:rsid wsp:val=&quot;5DE87F6C&quot;/&gt;&lt;wsp:rsid wsp:val=&quot;5DE963A9&quot;/&gt;&lt;wsp:rsid wsp:val=&quot;5DEC0101&quot;/&gt;&lt;wsp:rsid wsp:val=&quot;5E0F4BB3&quot;/&gt;&lt;wsp:rsid wsp:val=&quot;5E0F513A&quot;/&gt;&lt;wsp:rsid wsp:val=&quot;5E1C31DE&quot;/&gt;&lt;wsp:rsid wsp:val=&quot;5E2467F1&quot;/&gt;&lt;wsp:rsid wsp:val=&quot;5E51638D&quot;/&gt;&lt;wsp:rsid wsp:val=&quot;5E5365DF&quot;/&gt;&lt;wsp:rsid wsp:val=&quot;5E745C12&quot;/&gt;&lt;wsp:rsid wsp:val=&quot;5EA23996&quot;/&gt;&lt;wsp:rsid wsp:val=&quot;5EA509E8&quot;/&gt;&lt;wsp:rsid wsp:val=&quot;5EFF2886&quot;/&gt;&lt;wsp:rsid wsp:val=&quot;5F0E185F&quot;/&gt;&lt;wsp:rsid wsp:val=&quot;5F17535D&quot;/&gt;&lt;wsp:rsid wsp:val=&quot;5F1A2B43&quot;/&gt;&lt;wsp:rsid wsp:val=&quot;5F470F5D&quot;/&gt;&lt;wsp:rsid wsp:val=&quot;5F4B6660&quot;/&gt;&lt;wsp:rsid wsp:val=&quot;5F8C18A8&quot;/&gt;&lt;wsp:rsid wsp:val=&quot;5F8D3AEB&quot;/&gt;&lt;wsp:rsid wsp:val=&quot;5FB837BB&quot;/&gt;&lt;wsp:rsid wsp:val=&quot;5FC60E15&quot;/&gt;&lt;wsp:rsid wsp:val=&quot;5FCC18F1&quot;/&gt;&lt;wsp:rsid wsp:val=&quot;5FE97D4A&quot;/&gt;&lt;wsp:rsid wsp:val=&quot;5FF208F1&quot;/&gt;&lt;wsp:rsid wsp:val=&quot;5FF805BE&quot;/&gt;&lt;wsp:rsid wsp:val=&quot;602D0366&quot;/&gt;&lt;wsp:rsid wsp:val=&quot;60353FC3&quot;/&gt;&lt;wsp:rsid wsp:val=&quot;60473E79&quot;/&gt;&lt;wsp:rsid wsp:val=&quot;60530796&quot;/&gt;&lt;wsp:rsid wsp:val=&quot;60560206&quot;/&gt;&lt;wsp:rsid wsp:val=&quot;606A1D50&quot;/&gt;&lt;wsp:rsid wsp:val=&quot;608A0236&quot;/&gt;&lt;wsp:rsid wsp:val=&quot;609B59DA&quot;/&gt;&lt;wsp:rsid wsp:val=&quot;60A21C1A&quot;/&gt;&lt;wsp:rsid wsp:val=&quot;60A26C67&quot;/&gt;&lt;wsp:rsid wsp:val=&quot;60AC5AE7&quot;/&gt;&lt;wsp:rsid wsp:val=&quot;60B10A09&quot;/&gt;&lt;wsp:rsid wsp:val=&quot;60CC405A&quot;/&gt;&lt;wsp:rsid wsp:val=&quot;60D96E31&quot;/&gt;&lt;wsp:rsid wsp:val=&quot;610F624D&quot;/&gt;&lt;wsp:rsid wsp:val=&quot;61414481&quot;/&gt;&lt;wsp:rsid wsp:val=&quot;615614C0&quot;/&gt;&lt;wsp:rsid wsp:val=&quot;61965BB0&quot;/&gt;&lt;wsp:rsid wsp:val=&quot;61A5574C&quot;/&gt;&lt;wsp:rsid wsp:val=&quot;61E215D8&quot;/&gt;&lt;wsp:rsid wsp:val=&quot;61EC00DF&quot;/&gt;&lt;wsp:rsid wsp:val=&quot;621B3775&quot;/&gt;&lt;wsp:rsid wsp:val=&quot;62364782&quot;/&gt;&lt;wsp:rsid wsp:val=&quot;62366BA2&quot;/&gt;&lt;wsp:rsid wsp:val=&quot;624176DA&quot;/&gt;&lt;wsp:rsid wsp:val=&quot;62685BF6&quot;/&gt;&lt;wsp:rsid wsp:val=&quot;62BB185C&quot;/&gt;&lt;wsp:rsid wsp:val=&quot;62C641F8&quot;/&gt;&lt;wsp:rsid wsp:val=&quot;62C71315&quot;/&gt;&lt;wsp:rsid wsp:val=&quot;63017EF8&quot;/&gt;&lt;wsp:rsid wsp:val=&quot;63180F5D&quot;/&gt;&lt;wsp:rsid wsp:val=&quot;631B5933&quot;/&gt;&lt;wsp:rsid wsp:val=&quot;634F0BD2&quot;/&gt;&lt;wsp:rsid wsp:val=&quot;6394356A&quot;/&gt;&lt;wsp:rsid wsp:val=&quot;63A156ED&quot;/&gt;&lt;wsp:rsid wsp:val=&quot;63C61B2C&quot;/&gt;&lt;wsp:rsid wsp:val=&quot;63D40BE9&quot;/&gt;&lt;wsp:rsid wsp:val=&quot;63F73B2E&quot;/&gt;&lt;wsp:rsid wsp:val=&quot;640F5161&quot;/&gt;&lt;wsp:rsid wsp:val=&quot;64102431&quot;/&gt;&lt;wsp:rsid wsp:val=&quot;64227B0E&quot;/&gt;&lt;wsp:rsid wsp:val=&quot;64246AC7&quot;/&gt;&lt;wsp:rsid wsp:val=&quot;64484336&quot;/&gt;&lt;wsp:rsid wsp:val=&quot;644A1536&quot;/&gt;&lt;wsp:rsid wsp:val=&quot;64524FC6&quot;/&gt;&lt;wsp:rsid wsp:val=&quot;64A5243A&quot;/&gt;&lt;wsp:rsid wsp:val=&quot;64A85387&quot;/&gt;&lt;wsp:rsid wsp:val=&quot;64F17E22&quot;/&gt;&lt;wsp:rsid wsp:val=&quot;64F531DE&quot;/&gt;&lt;wsp:rsid wsp:val=&quot;65014A5A&quot;/&gt;&lt;wsp:rsid wsp:val=&quot;65373578&quot;/&gt;&lt;wsp:rsid wsp:val=&quot;657D3ADE&quot;/&gt;&lt;wsp:rsid wsp:val=&quot;658743EB&quot;/&gt;&lt;wsp:rsid wsp:val=&quot;65D27F9F&quot;/&gt;&lt;wsp:rsid wsp:val=&quot;65D846D8&quot;/&gt;&lt;wsp:rsid wsp:val=&quot;65EE5014&quot;/&gt;&lt;wsp:rsid wsp:val=&quot;66530A01&quot;/&gt;&lt;wsp:rsid wsp:val=&quot;668F7929&quot;/&gt;&lt;wsp:rsid wsp:val=&quot;6693207A&quot;/&gt;&lt;wsp:rsid wsp:val=&quot;66F022E2&quot;/&gt;&lt;wsp:rsid wsp:val=&quot;670453D3&quot;/&gt;&lt;wsp:rsid wsp:val=&quot;671F124A&quot;/&gt;&lt;wsp:rsid wsp:val=&quot;674F6EA5&quot;/&gt;&lt;wsp:rsid wsp:val=&quot;67566A3D&quot;/&gt;&lt;wsp:rsid wsp:val=&quot;677A33C6&quot;/&gt;&lt;wsp:rsid wsp:val=&quot;679C01D1&quot;/&gt;&lt;wsp:rsid wsp:val=&quot;67C502E8&quot;/&gt;&lt;wsp:rsid wsp:val=&quot;67E56070&quot;/&gt;&lt;wsp:rsid wsp:val=&quot;681E3EAB&quot;/&gt;&lt;wsp:rsid wsp:val=&quot;681F6961&quot;/&gt;&lt;wsp:rsid wsp:val=&quot;6820044D&quot;/&gt;&lt;wsp:rsid wsp:val=&quot;68610A2F&quot;/&gt;&lt;wsp:rsid wsp:val=&quot;68696A3F&quot;/&gt;&lt;wsp:rsid wsp:val=&quot;68747C01&quot;/&gt;&lt;wsp:rsid wsp:val=&quot;68805514&quot;/&gt;&lt;wsp:rsid wsp:val=&quot;688614DF&quot;/&gt;&lt;wsp:rsid wsp:val=&quot;69316E2F&quot;/&gt;&lt;wsp:rsid wsp:val=&quot;694B18A4&quot;/&gt;&lt;wsp:rsid wsp:val=&quot;694C74CE&quot;/&gt;&lt;wsp:rsid wsp:val=&quot;694E2071&quot;/&gt;&lt;wsp:rsid wsp:val=&quot;69766163&quot;/&gt;&lt;wsp:rsid wsp:val=&quot;697A3B33&quot;/&gt;&lt;wsp:rsid wsp:val=&quot;69D44760&quot;/&gt;&lt;wsp:rsid wsp:val=&quot;6A1B6189&quot;/&gt;&lt;wsp:rsid wsp:val=&quot;6A2975E2&quot;/&gt;&lt;wsp:rsid wsp:val=&quot;6A3171E4&quot;/&gt;&lt;wsp:rsid wsp:val=&quot;6A520EC7&quot;/&gt;&lt;wsp:rsid wsp:val=&quot;6A56334F&quot;/&gt;&lt;wsp:rsid wsp:val=&quot;6A82313E&quot;/&gt;&lt;wsp:rsid wsp:val=&quot;6A8D303F&quot;/&gt;&lt;wsp:rsid wsp:val=&quot;6A99447C&quot;/&gt;&lt;wsp:rsid wsp:val=&quot;6AA93443&quot;/&gt;&lt;wsp:rsid wsp:val=&quot;6AC01CDE&quot;/&gt;&lt;wsp:rsid wsp:val=&quot;6AC3619D&quot;/&gt;&lt;wsp:rsid wsp:val=&quot;6AF87E20&quot;/&gt;&lt;wsp:rsid wsp:val=&quot;6B101A50&quot;/&gt;&lt;wsp:rsid wsp:val=&quot;6B146BE1&quot;/&gt;&lt;wsp:rsid wsp:val=&quot;6B2F33D4&quot;/&gt;&lt;wsp:rsid wsp:val=&quot;6B322639&quot;/&gt;&lt;wsp:rsid wsp:val=&quot;6B603C68&quot;/&gt;&lt;wsp:rsid wsp:val=&quot;6B6E4076&quot;/&gt;&lt;wsp:rsid wsp:val=&quot;6B71220E&quot;/&gt;&lt;wsp:rsid wsp:val=&quot;6BC526EB&quot;/&gt;&lt;wsp:rsid wsp:val=&quot;6BF21F10&quot;/&gt;&lt;wsp:rsid wsp:val=&quot;6C1175B2&quot;/&gt;&lt;wsp:rsid wsp:val=&quot;6C290053&quot;/&gt;&lt;wsp:rsid wsp:val=&quot;6C5A056D&quot;/&gt;&lt;wsp:rsid wsp:val=&quot;6C5D31E8&quot;/&gt;&lt;wsp:rsid wsp:val=&quot;6C636C38&quot;/&gt;&lt;wsp:rsid wsp:val=&quot;6C6A4767&quot;/&gt;&lt;wsp:rsid wsp:val=&quot;6C8E0259&quot;/&gt;&lt;wsp:rsid wsp:val=&quot;6CD71E7C&quot;/&gt;&lt;wsp:rsid wsp:val=&quot;6CFC6EC9&quot;/&gt;&lt;wsp:rsid wsp:val=&quot;6D095787&quot;/&gt;&lt;wsp:rsid wsp:val=&quot;6D184E0F&quot;/&gt;&lt;wsp:rsid wsp:val=&quot;6D3A13F1&quot;/&gt;&lt;wsp:rsid wsp:val=&quot;6D3C5590&quot;/&gt;&lt;wsp:rsid wsp:val=&quot;6DAD4C96&quot;/&gt;&lt;wsp:rsid wsp:val=&quot;6DB34098&quot;/&gt;&lt;wsp:rsid wsp:val=&quot;6DB545B6&quot;/&gt;&lt;wsp:rsid wsp:val=&quot;6DE02FB4&quot;/&gt;&lt;wsp:rsid wsp:val=&quot;6DF4532F&quot;/&gt;&lt;wsp:rsid wsp:val=&quot;6E514CED&quot;/&gt;&lt;wsp:rsid wsp:val=&quot;6E9C6EE9&quot;/&gt;&lt;wsp:rsid wsp:val=&quot;6EB563D5&quot;/&gt;&lt;wsp:rsid wsp:val=&quot;6EBF1B71&quot;/&gt;&lt;wsp:rsid wsp:val=&quot;6EC9126E&quot;/&gt;&lt;wsp:rsid wsp:val=&quot;6ED8494E&quot;/&gt;&lt;wsp:rsid wsp:val=&quot;6ED92677&quot;/&gt;&lt;wsp:rsid wsp:val=&quot;6EE51818&quot;/&gt;&lt;wsp:rsid wsp:val=&quot;6F225983&quot;/&gt;&lt;wsp:rsid wsp:val=&quot;6F52451C&quot;/&gt;&lt;wsp:rsid wsp:val=&quot;6F825382&quot;/&gt;&lt;wsp:rsid wsp:val=&quot;6F9C1520&quot;/&gt;&lt;wsp:rsid wsp:val=&quot;6FC27343&quot;/&gt;&lt;wsp:rsid wsp:val=&quot;6FFC5590&quot;/&gt;&lt;wsp:rsid wsp:val=&quot;7000135F&quot;/&gt;&lt;wsp:rsid wsp:val=&quot;70113419&quot;/&gt;&lt;wsp:rsid wsp:val=&quot;701B6D4C&quot;/&gt;&lt;wsp:rsid wsp:val=&quot;706D1DD0&quot;/&gt;&lt;wsp:rsid wsp:val=&quot;70856B87&quot;/&gt;&lt;wsp:rsid wsp:val=&quot;709324E2&quot;/&gt;&lt;wsp:rsid wsp:val=&quot;70D527EE&quot;/&gt;&lt;wsp:rsid wsp:val=&quot;70F61AB1&quot;/&gt;&lt;wsp:rsid wsp:val=&quot;70FC4AF5&quot;/&gt;&lt;wsp:rsid wsp:val=&quot;711A29CE&quot;/&gt;&lt;wsp:rsid wsp:val=&quot;714F21DF&quot;/&gt;&lt;wsp:rsid wsp:val=&quot;715542B0&quot;/&gt;&lt;wsp:rsid wsp:val=&quot;7158373C&quot;/&gt;&lt;wsp:rsid wsp:val=&quot;715B5300&quot;/&gt;&lt;wsp:rsid wsp:val=&quot;71723179&quot;/&gt;&lt;wsp:rsid wsp:val=&quot;71776B23&quot;/&gt;&lt;wsp:rsid wsp:val=&quot;71C87CC1&quot;/&gt;&lt;wsp:rsid wsp:val=&quot;71D06E15&quot;/&gt;&lt;wsp:rsid wsp:val=&quot;71D27F8A&quot;/&gt;&lt;wsp:rsid wsp:val=&quot;71E02CD2&quot;/&gt;&lt;wsp:rsid wsp:val=&quot;71E05D29&quot;/&gt;&lt;wsp:rsid wsp:val=&quot;721869DD&quot;/&gt;&lt;wsp:rsid wsp:val=&quot;722E5181&quot;/&gt;&lt;wsp:rsid wsp:val=&quot;723C33B7&quot;/&gt;&lt;wsp:rsid wsp:val=&quot;72553024&quot;/&gt;&lt;wsp:rsid wsp:val=&quot;726D0064&quot;/&gt;&lt;wsp:rsid wsp:val=&quot;727066A6&quot;/&gt;&lt;wsp:rsid wsp:val=&quot;72935E30&quot;/&gt;&lt;wsp:rsid wsp:val=&quot;72A30432&quot;/&gt;&lt;wsp:rsid wsp:val=&quot;72D5610B&quot;/&gt;&lt;wsp:rsid wsp:val=&quot;72EB1633&quot;/&gt;&lt;wsp:rsid wsp:val=&quot;72FB35B3&quot;/&gt;&lt;wsp:rsid wsp:val=&quot;73122968&quot;/&gt;&lt;wsp:rsid wsp:val=&quot;731F5D5E&quot;/&gt;&lt;wsp:rsid wsp:val=&quot;734E533F&quot;/&gt;&lt;wsp:rsid wsp:val=&quot;734F5974&quot;/&gt;&lt;wsp:rsid wsp:val=&quot;737E53C6&quot;/&gt;&lt;wsp:rsid wsp:val=&quot;737F74D1&quot;/&gt;&lt;wsp:rsid wsp:val=&quot;73C46AED&quot;/&gt;&lt;wsp:rsid wsp:val=&quot;73C51AD5&quot;/&gt;&lt;wsp:rsid wsp:val=&quot;73E734E4&quot;/&gt;&lt;wsp:rsid wsp:val=&quot;74110246&quot;/&gt;&lt;wsp:rsid wsp:val=&quot;741B0872&quot;/&gt;&lt;wsp:rsid wsp:val=&quot;741E793C&quot;/&gt;&lt;wsp:rsid wsp:val=&quot;745E3944&quot;/&gt;&lt;wsp:rsid wsp:val=&quot;749575E0&quot;/&gt;&lt;wsp:rsid wsp:val=&quot;74A83064&quot;/&gt;&lt;wsp:rsid wsp:val=&quot;74B648EA&quot;/&gt;&lt;wsp:rsid wsp:val=&quot;74CA1C00&quot;/&gt;&lt;wsp:rsid wsp:val=&quot;752D3222&quot;/&gt;&lt;wsp:rsid wsp:val=&quot;75355B19&quot;/&gt;&lt;wsp:rsid wsp:val=&quot;754D4C43&quot;/&gt;&lt;wsp:rsid wsp:val=&quot;75565028&quot;/&gt;&lt;wsp:rsid wsp:val=&quot;755F1493&quot;/&gt;&lt;wsp:rsid wsp:val=&quot;75D73A51&quot;/&gt;&lt;wsp:rsid wsp:val=&quot;7635099D&quot;/&gt;&lt;wsp:rsid wsp:val=&quot;76380FC0&quot;/&gt;&lt;wsp:rsid wsp:val=&quot;767A2A48&quot;/&gt;&lt;wsp:rsid wsp:val=&quot;76817C8A&quot;/&gt;&lt;wsp:rsid wsp:val=&quot;769F08F1&quot;/&gt;&lt;wsp:rsid wsp:val=&quot;76F7336F&quot;/&gt;&lt;wsp:rsid wsp:val=&quot;770463D2&quot;/&gt;&lt;wsp:rsid wsp:val=&quot;77374635&quot;/&gt;&lt;wsp:rsid wsp:val=&quot;7747776A&quot;/&gt;&lt;wsp:rsid wsp:val=&quot;77607A96&quot;/&gt;&lt;wsp:rsid wsp:val=&quot;77615540&quot;/&gt;&lt;wsp:rsid wsp:val=&quot;77762421&quot;/&gt;&lt;wsp:rsid wsp:val=&quot;777A5F64&quot;/&gt;&lt;wsp:rsid wsp:val=&quot;778B7BC0&quot;/&gt;&lt;wsp:rsid wsp:val=&quot;77B56B1F&quot;/&gt;&lt;wsp:rsid wsp:val=&quot;77B928C7&quot;/&gt;&lt;wsp:rsid wsp:val=&quot;780F09F4&quot;/&gt;&lt;wsp:rsid wsp:val=&quot;784E6805&quot;/&gt;&lt;wsp:rsid wsp:val=&quot;78507D81&quot;/&gt;&lt;wsp:rsid wsp:val=&quot;78A90480&quot;/&gt;&lt;wsp:rsid wsp:val=&quot;78AF67C2&quot;/&gt;&lt;wsp:rsid wsp:val=&quot;78B60207&quot;/&gt;&lt;wsp:rsid wsp:val=&quot;78FA2438&quot;/&gt;&lt;wsp:rsid wsp:val=&quot;7955034B&quot;/&gt;&lt;wsp:rsid wsp:val=&quot;796C12CC&quot;/&gt;&lt;wsp:rsid wsp:val=&quot;796D7B23&quot;/&gt;&lt;wsp:rsid wsp:val=&quot;798F7D2B&quot;/&gt;&lt;wsp:rsid wsp:val=&quot;79C146B8&quot;/&gt;&lt;wsp:rsid wsp:val=&quot;79CD3F3A&quot;/&gt;&lt;wsp:rsid wsp:val=&quot;79F0148E&quot;/&gt;&lt;wsp:rsid wsp:val=&quot;7A203EE3&quot;/&gt;&lt;wsp:rsid wsp:val=&quot;7A364017&quot;/&gt;&lt;wsp:rsid wsp:val=&quot;7A680398&quot;/&gt;&lt;wsp:rsid wsp:val=&quot;7A7C4199&quot;/&gt;&lt;wsp:rsid wsp:val=&quot;7A8165EB&quot;/&gt;&lt;wsp:rsid wsp:val=&quot;7A8265E1&quot;/&gt;&lt;wsp:rsid wsp:val=&quot;7A952B19&quot;/&gt;&lt;wsp:rsid wsp:val=&quot;7A9F579C&quot;/&gt;&lt;wsp:rsid wsp:val=&quot;7AEB5B8D&quot;/&gt;&lt;wsp:rsid wsp:val=&quot;7B48332C&quot;/&gt;&lt;wsp:rsid wsp:val=&quot;7B4917AC&quot;/&gt;&lt;wsp:rsid wsp:val=&quot;7B686D42&quot;/&gt;&lt;wsp:rsid wsp:val=&quot;7B841746&quot;/&gt;&lt;wsp:rsid wsp:val=&quot;7BC10335&quot;/&gt;&lt;wsp:rsid wsp:val=&quot;7C067289&quot;/&gt;&lt;wsp:rsid wsp:val=&quot;7C485F7E&quot;/&gt;&lt;wsp:rsid wsp:val=&quot;7C4D227B&quot;/&gt;&lt;wsp:rsid wsp:val=&quot;7C6C5AC7&quot;/&gt;&lt;wsp:rsid wsp:val=&quot;7C9B7160&quot;/&gt;&lt;wsp:rsid wsp:val=&quot;7CC2140F&quot;/&gt;&lt;wsp:rsid wsp:val=&quot;7CC6544B&quot;/&gt;&lt;wsp:rsid wsp:val=&quot;7CCC4769&quot;/&gt;&lt;wsp:rsid wsp:val=&quot;7D0239FF&quot;/&gt;&lt;wsp:rsid wsp:val=&quot;7D2C6362&quot;/&gt;&lt;wsp:rsid wsp:val=&quot;7D5E40CD&quot;/&gt;&lt;wsp:rsid wsp:val=&quot;7D615773&quot;/&gt;&lt;wsp:rsid wsp:val=&quot;7D8F1448&quot;/&gt;&lt;wsp:rsid wsp:val=&quot;7DC55CA1&quot;/&gt;&lt;wsp:rsid wsp:val=&quot;7DCD56F2&quot;/&gt;&lt;wsp:rsid wsp:val=&quot;7DE40A7A&quot;/&gt;&lt;wsp:rsid wsp:val=&quot;7E52238B&quot;/&gt;&lt;wsp:rsid wsp:val=&quot;7E5E60A6&quot;/&gt;&lt;wsp:rsid wsp:val=&quot;7EC40525&quot;/&gt;&lt;wsp:rsid wsp:val=&quot;7ECC0A8C&quot;/&gt;&lt;wsp:rsid wsp:val=&quot;7ECE4D51&quot;/&gt;&lt;wsp:rsid wsp:val=&quot;7EE24A9D&quot;/&gt;&lt;wsp:rsid wsp:val=&quot;7EF30024&quot;/&gt;&lt;wsp:rsid wsp:val=&quot;7EF76645&quot;/&gt;&lt;wsp:rsid wsp:val=&quot;7F001CE7&quot;/&gt;&lt;wsp:rsid wsp:val=&quot;7F1823D8&quot;/&gt;&lt;wsp:rsid wsp:val=&quot;7F1B083F&quot;/&gt;&lt;wsp:rsid wsp:val=&quot;7F300F8B&quot;/&gt;&lt;wsp:rsid wsp:val=&quot;7F326325&quot;/&gt;&lt;wsp:rsid wsp:val=&quot;7F5568A2&quot;/&gt;&lt;wsp:rsid wsp:val=&quot;7F6D6C1F&quot;/&gt;&lt;wsp:rsid wsp:val=&quot;7FB252A6&quot;/&gt;&lt;wsp:rsid wsp:val=&quot;7FE47E50&quot;/&gt;&lt;/wsp:rsids&gt;&lt;/w:docPr&gt;&lt;w:body&gt;&lt;wx:sect&gt;&lt;w:p wsp:rsidR=&quot;00000000&quot; wsp:rsidRDefault=&quot;00152F69&quot; wsp:rsidP=&quot;00152F69&quot;&gt;&lt;m:oMathPara&gt;&lt;m:oMath&gt;&lt;m:sSub&gt;&lt;m:sSubPr&gt;&lt;m:ctrlPr&gt;&lt;w:rPr&gt;&lt;w:rFonts w:ascii=&quot;Cambria Math&quot; w:h-ansi=&quot;Cambria Math&quot;/&gt;&lt;wx:font wx:val=&quot;Cambria Math&quot;/&gt;&lt;w:i/&gt;&lt;w:sz w:val=&quot;32&quot;/&gt;&lt;w:sz-cs w:val=&quot;32&quot;/&gt;&lt;/w:rPr&gt;&lt;/m:ctrlPr&gt;&lt;/m:sSubPr&gt;&lt;m:e&gt;&lt;m:r&gt;&lt;w:rPr&gt;&lt;w:rFonts w:ascii=&quot;Cambria Math&quot; w:h-ansi=&quot;Cambria Math&quot;/&gt;&lt;wx:font wx:val=&quot;Cambria Math&quot;/&gt;&lt;w:i/&gt;&lt;w:sz w:val=&quot;32&quot;/&gt;&lt;w:sz-cs w:val=&quot;32&quot;/&gt;&lt;/w:rPr&gt;&lt;m:t&gt;P&lt;/m:t&gt;&lt;/m:r&gt;&lt;/m:e&gt;&lt;m:sub&gt;&lt;m:r&gt;&lt;w:rPr&gt;&lt;w:rFonts w:ascii=&quot;Cambria Math&quot; w:h-ansi=&quot;Cambria Math&quot;/&gt;&lt;wx:font wx:val=&quot;Cambria Math&quot;/&gt;&lt;w:i/&gt;&lt;w:sz w:val=&quot;32&quot;/&gt;&lt;w:sz-cs w:val=&quot;32&quot;/&gt;&lt;/w:rPr&gt;&lt;m:t&gt;pH&lt;/m:t&gt;&lt;/m:r&gt;&lt;/m:sub&gt;&lt;/m:sSub&gt;&lt;m:r&gt;&lt;w:rPr&gt;&lt;w:rFonts w:ascii=&quot;Cambria Math&quot; w:h-ansi=&quot;Cambria Math&quot;/&gt;&lt;wx:font wx:val=&quot;Cambria Math&quot;/&gt;&lt;w:i/&gt;&lt;w:sz w:val=&quot;32&quot;/&gt;&lt;w:sz-cs w:val=&quot;32&quot;/&gt;&lt;/w:rPr&gt;&lt;m:t&gt;=&lt;/m:t&gt;&lt;/m:r&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pH-7.0&lt;/m:t&gt;&lt;/m:r&gt;&lt;/m:num&gt;&lt;m:den&gt;&lt;m:sSub&gt;&lt;m:sSubPr&gt;&lt;m:ctrlPr&gt;&lt;w:rPr&gt;&lt;w:rFonts w:ascii=&quot;Cambria Math&quot; w:h-ansi=&quot;Cambria Math&quot;/&gt;&lt;wx:font wx:val=&quot;Cambria Math&quot;/&gt;&lt;w:i/&gt;&lt;w:sz w:val=&quot;32&quot;/&gt;&lt;w:sz-cs w:val=&quot;32&quot;/&gt;&lt;/w:rPr&gt;&lt;/m:ctrlPr&gt;&lt;/m:sSubPr&gt;&lt;m:e&gt;&lt;m:r&gt;&lt;w:rPr&gt;&lt;w:rFonts w:ascii=&quot;Cambria Math&quot; w:h-ansi=&quot;Cambria Math&quot;/&gt;&lt;wx:font wx:val=&quot;Cambria Math&quot;/&gt;&lt;w:i/&gt;&lt;w:sz w:val=&quot;32&quot;/&gt;&lt;w:sz-cs w:val=&quot;32&quot;/&gt;&lt;/w:rPr&gt;&lt;m:t&gt;pH&lt;/m:t&gt;&lt;/m:r&gt;&lt;/m:e&gt;&lt;m:sub&gt;&lt;m:r&gt;&lt;w:rPr&gt;&lt;w:rFonts w:ascii=&quot;Cambria Math&quot; w:h-ansi=&quot;Cambria Math&quot;/&gt;&lt;wx:font wx:val=&quot;Cambria Math&quot;/&gt;&lt;w:i/&gt;&lt;w:sz w:val=&quot;32&quot;/&gt;&lt;w:sz-cs w:val=&quot;32&quot;/&gt;&lt;/w:rPr&gt;&lt;m:t&gt;up&lt;/m:t&gt;&lt;/m:r&gt;&lt;/m:sub&gt;&lt;/m:sSub&gt;&lt;m:r&gt;&lt;w:rPr&gt;&lt;w:rFonts w:ascii=&quot;Cambria Math&quot; w:h-ansi=&quot;Cambria Math&quot;/&gt;&lt;wx:font wx:val=&quot;Cambria Math&quot;/&gt;&lt;w:i/&gt;&lt;w:sz w:val=&quot;32&quot;/&gt;&lt;w:sz-cs w:val=&quot;32&quot;/&gt;&lt;/w:rPr&gt;&lt;m:t&gt;-7.0&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9" chromakey="#FFFFFF" o:title=""/>
                  <o:lock v:ext="edit" aspectratio="t"/>
                  <w10:wrap type="none"/>
                  <w10:anchorlock/>
                </v:shape>
              </w:pict>
            </w:r>
            <w:r>
              <w:rPr>
                <w:color w:val="auto"/>
                <w:sz w:val="24"/>
                <w:highlight w:val="none"/>
              </w:rPr>
              <w:instrText xml:space="preserve"> </w:instrText>
            </w:r>
            <w:r>
              <w:rPr>
                <w:color w:val="auto"/>
                <w:sz w:val="24"/>
                <w:highlight w:val="none"/>
              </w:rPr>
              <w:fldChar w:fldCharType="separate"/>
            </w:r>
            <w:r>
              <w:rPr>
                <w:color w:val="auto"/>
                <w:position w:val="-26"/>
                <w:highlight w:val="none"/>
              </w:rPr>
              <w:pict>
                <v:shape id="_x0000_i1028" o:spt="75" type="#_x0000_t75" style="height:31.5pt;width:99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00&quot;/&gt;&lt;w:doNotEmbedSystemFonts/&gt;&lt;w:hideSpellingErrors/&gt;&lt;w:stylePaneFormatFilter w:val=&quot;3F01&quot;/&gt;&lt;w:documentProtection w:edit=&quot;tracked-changes&quot; w:enforcement=&quot;off&quot;/&gt;&lt;w:defaultTabStop w:val=&quot;420&quot;/&gt;&lt;w:doNotHyphenateCaps/&gt;&lt;w:drawingGridVerticalSpacing w:val=&quot;156&quot;/&gt;&lt;w:characterSpacingControl w:val=&quot;CompressPunctuation&quot;/&gt;&lt;w:webPageEncoding w:val=&quot;x-cp20936&quot;/&gt;&lt;w:optimizeForBrowser/&gt;&lt;w:allowPNG/&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adjustLineHeightInTable/&gt;&lt;w:breakWrappedTables/&gt;&lt;w:snapToGridInCell/&gt;&lt;w:dontGrowAutofit/&gt;&lt;w:useFELayout/&gt;&lt;/w:compat&gt;&lt;w:docVars&gt;&lt;w:docVar w:name=&quot;commondata&quot; w:val=&quot;eyJoZGlkIjoiMDQ3NTBlZWEyYWI1MDNkNWQ3NWI2Yjc1MzAyZWU1MGQifQ==&quot;/&gt;&lt;/w:docVars&gt;&lt;wsp:rsids&gt;&lt;wsp:rsidRoot wsp:val=&quot;00172A27&quot;/&gt;&lt;wsp:rsid wsp:val=&quot;000001D5&quot;/&gt;&lt;wsp:rsid wsp:val=&quot;000015AB&quot;/&gt;&lt;wsp:rsid wsp:val=&quot;000060B3&quot;/&gt;&lt;wsp:rsid wsp:val=&quot;000133A0&quot;/&gt;&lt;wsp:rsid wsp:val=&quot;000135C3&quot;/&gt;&lt;wsp:rsid wsp:val=&quot;00014F88&quot;/&gt;&lt;wsp:rsid wsp:val=&quot;00021008&quot;/&gt;&lt;wsp:rsid wsp:val=&quot;0003757B&quot;/&gt;&lt;wsp:rsid wsp:val=&quot;000402C4&quot;/&gt;&lt;wsp:rsid wsp:val=&quot;0004364B&quot;/&gt;&lt;wsp:rsid wsp:val=&quot;00045C58&quot;/&gt;&lt;wsp:rsid wsp:val=&quot;000516C8&quot;/&gt;&lt;wsp:rsid wsp:val=&quot;00051C6E&quot;/&gt;&lt;wsp:rsid wsp:val=&quot;000566B9&quot;/&gt;&lt;wsp:rsid wsp:val=&quot;000608EF&quot;/&gt;&lt;wsp:rsid wsp:val=&quot;00061B1F&quot;/&gt;&lt;wsp:rsid wsp:val=&quot;00065CB1&quot;/&gt;&lt;wsp:rsid wsp:val=&quot;00065DDB&quot;/&gt;&lt;wsp:rsid wsp:val=&quot;000721D3&quot;/&gt;&lt;wsp:rsid wsp:val=&quot;000733C4&quot;/&gt;&lt;wsp:rsid wsp:val=&quot;00074783&quot;/&gt;&lt;wsp:rsid wsp:val=&quot;00077490&quot;/&gt;&lt;wsp:rsid wsp:val=&quot;00080166&quot;/&gt;&lt;wsp:rsid wsp:val=&quot;00080297&quot;/&gt;&lt;wsp:rsid wsp:val=&quot;0008070B&quot;/&gt;&lt;wsp:rsid wsp:val=&quot;00080755&quot;/&gt;&lt;wsp:rsid wsp:val=&quot;000810AC&quot;/&gt;&lt;wsp:rsid wsp:val=&quot;000817FE&quot;/&gt;&lt;wsp:rsid wsp:val=&quot;00081A02&quot;/&gt;&lt;wsp:rsid wsp:val=&quot;00082231&quot;/&gt;&lt;wsp:rsid wsp:val=&quot;0008392B&quot;/&gt;&lt;wsp:rsid wsp:val=&quot;000841F8&quot;/&gt;&lt;wsp:rsid wsp:val=&quot;00086A47&quot;/&gt;&lt;wsp:rsid wsp:val=&quot;00092D38&quot;/&gt;&lt;wsp:rsid wsp:val=&quot;0009377B&quot;/&gt;&lt;wsp:rsid wsp:val=&quot;00094BE1&quot;/&gt;&lt;wsp:rsid wsp:val=&quot;000A20C9&quot;/&gt;&lt;wsp:rsid wsp:val=&quot;000A7F18&quot;/&gt;&lt;wsp:rsid wsp:val=&quot;000B058F&quot;/&gt;&lt;wsp:rsid wsp:val=&quot;000B1BDD&quot;/&gt;&lt;wsp:rsid wsp:val=&quot;000B4467&quot;/&gt;&lt;wsp:rsid wsp:val=&quot;000B4DB9&quot;/&gt;&lt;wsp:rsid wsp:val=&quot;000C09AC&quot;/&gt;&lt;wsp:rsid wsp:val=&quot;000C2F13&quot;/&gt;&lt;wsp:rsid wsp:val=&quot;000C68AA&quot;/&gt;&lt;wsp:rsid wsp:val=&quot;000C7060&quot;/&gt;&lt;wsp:rsid wsp:val=&quot;000C767F&quot;/&gt;&lt;wsp:rsid wsp:val=&quot;000D2FC9&quot;/&gt;&lt;wsp:rsid wsp:val=&quot;000D5A44&quot;/&gt;&lt;wsp:rsid wsp:val=&quot;000E06B5&quot;/&gt;&lt;wsp:rsid wsp:val=&quot;000E3ED2&quot;/&gt;&lt;wsp:rsid wsp:val=&quot;000E542D&quot;/&gt;&lt;wsp:rsid wsp:val=&quot;000E752C&quot;/&gt;&lt;wsp:rsid wsp:val=&quot;000F4DF7&quot;/&gt;&lt;wsp:rsid wsp:val=&quot;00100322&quot;/&gt;&lt;wsp:rsid wsp:val=&quot;001013DF&quot;/&gt;&lt;wsp:rsid wsp:val=&quot;001043BC&quot;/&gt;&lt;wsp:rsid wsp:val=&quot;0010496F&quot;/&gt;&lt;wsp:rsid wsp:val=&quot;00105887&quot;/&gt;&lt;wsp:rsid wsp:val=&quot;00112010&quot;/&gt;&lt;wsp:rsid wsp:val=&quot;00112376&quot;/&gt;&lt;wsp:rsid wsp:val=&quot;00126AD1&quot;/&gt;&lt;wsp:rsid wsp:val=&quot;00127B40&quot;/&gt;&lt;wsp:rsid wsp:val=&quot;00131F42&quot;/&gt;&lt;wsp:rsid wsp:val=&quot;001357F1&quot;/&gt;&lt;wsp:rsid wsp:val=&quot;00140FA8&quot;/&gt;&lt;wsp:rsid wsp:val=&quot;00142FEB&quot;/&gt;&lt;wsp:rsid wsp:val=&quot;00143A2D&quot;/&gt;&lt;wsp:rsid wsp:val=&quot;00145A41&quot;/&gt;&lt;wsp:rsid wsp:val=&quot;00147A3A&quot;/&gt;&lt;wsp:rsid wsp:val=&quot;00151675&quot;/&gt;&lt;wsp:rsid wsp:val=&quot;001517DA&quot;/&gt;&lt;wsp:rsid wsp:val=&quot;00152F69&quot;/&gt;&lt;wsp:rsid wsp:val=&quot;0015498B&quot;/&gt;&lt;wsp:rsid wsp:val=&quot;00157435&quot;/&gt;&lt;wsp:rsid wsp:val=&quot;00162383&quot;/&gt;&lt;wsp:rsid wsp:val=&quot;001641A6&quot;/&gt;&lt;wsp:rsid wsp:val=&quot;00164BD5&quot;/&gt;&lt;wsp:rsid wsp:val=&quot;0016759A&quot;/&gt;&lt;wsp:rsid wsp:val=&quot;001745F0&quot;/&gt;&lt;wsp:rsid wsp:val=&quot;0017504D&quot;/&gt;&lt;wsp:rsid wsp:val=&quot;0017671A&quot;/&gt;&lt;wsp:rsid wsp:val=&quot;00177422&quot;/&gt;&lt;wsp:rsid wsp:val=&quot;001827D4&quot;/&gt;&lt;wsp:rsid wsp:val=&quot;00182F0E&quot;/&gt;&lt;wsp:rsid wsp:val=&quot;00184590&quot;/&gt;&lt;wsp:rsid wsp:val=&quot;001870D1&quot;/&gt;&lt;wsp:rsid wsp:val=&quot;0018781E&quot;/&gt;&lt;wsp:rsid wsp:val=&quot;00187DBE&quot;/&gt;&lt;wsp:rsid wsp:val=&quot;00187DFF&quot;/&gt;&lt;wsp:rsid wsp:val=&quot;00190985&quot;/&gt;&lt;wsp:rsid wsp:val=&quot;0019226E&quot;/&gt;&lt;wsp:rsid wsp:val=&quot;0019262D&quot;/&gt;&lt;wsp:rsid wsp:val=&quot;00194E72&quot;/&gt;&lt;wsp:rsid wsp:val=&quot;00195DD0&quot;/&gt;&lt;wsp:rsid wsp:val=&quot;001967CB&quot;/&gt;&lt;wsp:rsid wsp:val=&quot;001A1B35&quot;/&gt;&lt;wsp:rsid wsp:val=&quot;001A301A&quot;/&gt;&lt;wsp:rsid wsp:val=&quot;001A48A2&quot;/&gt;&lt;wsp:rsid wsp:val=&quot;001A61B6&quot;/&gt;&lt;wsp:rsid wsp:val=&quot;001A6D63&quot;/&gt;&lt;wsp:rsid wsp:val=&quot;001A6F61&quot;/&gt;&lt;wsp:rsid wsp:val=&quot;001A763A&quot;/&gt;&lt;wsp:rsid wsp:val=&quot;001A78E1&quot;/&gt;&lt;wsp:rsid wsp:val=&quot;001B373B&quot;/&gt;&lt;wsp:rsid wsp:val=&quot;001B72B8&quot;/&gt;&lt;wsp:rsid wsp:val=&quot;001C0BB6&quot;/&gt;&lt;wsp:rsid wsp:val=&quot;001C69B3&quot;/&gt;&lt;wsp:rsid wsp:val=&quot;001D1B9A&quot;/&gt;&lt;wsp:rsid wsp:val=&quot;001D5595&quot;/&gt;&lt;wsp:rsid wsp:val=&quot;001D7874&quot;/&gt;&lt;wsp:rsid wsp:val=&quot;001D7F22&quot;/&gt;&lt;wsp:rsid wsp:val=&quot;001E03ED&quot;/&gt;&lt;wsp:rsid wsp:val=&quot;001E0E25&quot;/&gt;&lt;wsp:rsid wsp:val=&quot;001E4AEA&quot;/&gt;&lt;wsp:rsid wsp:val=&quot;001F0F17&quot;/&gt;&lt;wsp:rsid wsp:val=&quot;001F3347&quot;/&gt;&lt;wsp:rsid wsp:val=&quot;001F348D&quot;/&gt;&lt;wsp:rsid wsp:val=&quot;001F69E4&quot;/&gt;&lt;wsp:rsid wsp:val=&quot;002003EF&quot;/&gt;&lt;wsp:rsid wsp:val=&quot;0020350B&quot;/&gt;&lt;wsp:rsid wsp:val=&quot;00203F88&quot;/&gt;&lt;wsp:rsid wsp:val=&quot;002104D9&quot;/&gt;&lt;wsp:rsid wsp:val=&quot;002111E2&quot;/&gt;&lt;wsp:rsid wsp:val=&quot;00211868&quot;/&gt;&lt;wsp:rsid wsp:val=&quot;002125B4&quot;/&gt;&lt;wsp:rsid wsp:val=&quot;002155B8&quot;/&gt;&lt;wsp:rsid wsp:val=&quot;00220461&quot;/&gt;&lt;wsp:rsid wsp:val=&quot;00221FF4&quot;/&gt;&lt;wsp:rsid wsp:val=&quot;00224839&quot;/&gt;&lt;wsp:rsid wsp:val=&quot;002249B2&quot;/&gt;&lt;wsp:rsid wsp:val=&quot;00226574&quot;/&gt;&lt;wsp:rsid wsp:val=&quot;002278EC&quot;/&gt;&lt;wsp:rsid wsp:val=&quot;00231CAC&quot;/&gt;&lt;wsp:rsid wsp:val=&quot;002321C3&quot;/&gt;&lt;wsp:rsid wsp:val=&quot;0023280E&quot;/&gt;&lt;wsp:rsid wsp:val=&quot;002334B7&quot;/&gt;&lt;wsp:rsid wsp:val=&quot;002356E6&quot;/&gt;&lt;wsp:rsid wsp:val=&quot;00236D4C&quot;/&gt;&lt;wsp:rsid wsp:val=&quot;002377D1&quot;/&gt;&lt;wsp:rsid wsp:val=&quot;0024212D&quot;/&gt;&lt;wsp:rsid wsp:val=&quot;00243A38&quot;/&gt;&lt;wsp:rsid wsp:val=&quot;00244405&quot;/&gt;&lt;wsp:rsid wsp:val=&quot;00244B3D&quot;/&gt;&lt;wsp:rsid wsp:val=&quot;002506BC&quot;/&gt;&lt;wsp:rsid wsp:val=&quot;00254345&quot;/&gt;&lt;wsp:rsid wsp:val=&quot;002556DA&quot;/&gt;&lt;wsp:rsid wsp:val=&quot;00264557&quot;/&gt;&lt;wsp:rsid wsp:val=&quot;00264C8F&quot;/&gt;&lt;wsp:rsid wsp:val=&quot;0027763D&quot;/&gt;&lt;wsp:rsid wsp:val=&quot;00277DAE&quot;/&gt;&lt;wsp:rsid wsp:val=&quot;002805AB&quot;/&gt;&lt;wsp:rsid wsp:val=&quot;0028312F&quot;/&gt;&lt;wsp:rsid wsp:val=&quot;00284204&quot;/&gt;&lt;wsp:rsid wsp:val=&quot;00285B6F&quot;/&gt;&lt;wsp:rsid wsp:val=&quot;00291773&quot;/&gt;&lt;wsp:rsid wsp:val=&quot;00292628&quot;/&gt;&lt;wsp:rsid wsp:val=&quot;00292A68&quot;/&gt;&lt;wsp:rsid wsp:val=&quot;00295235&quot;/&gt;&lt;wsp:rsid wsp:val=&quot;0029597C&quot;/&gt;&lt;wsp:rsid wsp:val=&quot;002A168C&quot;/&gt;&lt;wsp:rsid wsp:val=&quot;002A3DC7&quot;/&gt;&lt;wsp:rsid wsp:val=&quot;002B0847&quot;/&gt;&lt;wsp:rsid wsp:val=&quot;002B49E2&quot;/&gt;&lt;wsp:rsid wsp:val=&quot;002B7B00&quot;/&gt;&lt;wsp:rsid wsp:val=&quot;002B7C44&quot;/&gt;&lt;wsp:rsid wsp:val=&quot;002C2B17&quot;/&gt;&lt;wsp:rsid wsp:val=&quot;002C36C5&quot;/&gt;&lt;wsp:rsid wsp:val=&quot;002D30F8&quot;/&gt;&lt;wsp:rsid wsp:val=&quot;002D3DD0&quot;/&gt;&lt;wsp:rsid wsp:val=&quot;002D6CC9&quot;/&gt;&lt;wsp:rsid wsp:val=&quot;002D793B&quot;/&gt;&lt;wsp:rsid wsp:val=&quot;002E0C39&quot;/&gt;&lt;wsp:rsid wsp:val=&quot;002E1F3A&quot;/&gt;&lt;wsp:rsid wsp:val=&quot;002E298A&quot;/&gt;&lt;wsp:rsid wsp:val=&quot;002E376B&quot;/&gt;&lt;wsp:rsid wsp:val=&quot;002E5A02&quot;/&gt;&lt;wsp:rsid wsp:val=&quot;002E625A&quot;/&gt;&lt;wsp:rsid wsp:val=&quot;002E757B&quot;/&gt;&lt;wsp:rsid wsp:val=&quot;002E7ACF&quot;/&gt;&lt;wsp:rsid wsp:val=&quot;002F189B&quot;/&gt;&lt;wsp:rsid wsp:val=&quot;002F5F9E&quot;/&gt;&lt;wsp:rsid wsp:val=&quot;002F6D23&quot;/&gt;&lt;wsp:rsid wsp:val=&quot;00301978&quot;/&gt;&lt;wsp:rsid wsp:val=&quot;0030332C&quot;/&gt;&lt;wsp:rsid wsp:val=&quot;003045A6&quot;/&gt;&lt;wsp:rsid wsp:val=&quot;003051C2&quot;/&gt;&lt;wsp:rsid wsp:val=&quot;00306812&quot;/&gt;&lt;wsp:rsid wsp:val=&quot;00306896&quot;/&gt;&lt;wsp:rsid wsp:val=&quot;00312296&quot;/&gt;&lt;wsp:rsid wsp:val=&quot;00314F0E&quot;/&gt;&lt;wsp:rsid wsp:val=&quot;00321D8E&quot;/&gt;&lt;wsp:rsid wsp:val=&quot;00325928&quot;/&gt;&lt;wsp:rsid wsp:val=&quot;003274EF&quot;/&gt;&lt;wsp:rsid wsp:val=&quot;00332863&quot;/&gt;&lt;wsp:rsid wsp:val=&quot;003361F8&quot;/&gt;&lt;wsp:rsid wsp:val=&quot;0033684D&quot;/&gt;&lt;wsp:rsid wsp:val=&quot;00337B42&quot;/&gt;&lt;wsp:rsid wsp:val=&quot;00341B42&quot;/&gt;&lt;wsp:rsid wsp:val=&quot;0034348F&quot;/&gt;&lt;wsp:rsid wsp:val=&quot;003439AE&quot;/&gt;&lt;wsp:rsid wsp:val=&quot;00344120&quot;/&gt;&lt;wsp:rsid wsp:val=&quot;0034470B&quot;/&gt;&lt;wsp:rsid wsp:val=&quot;00353207&quot;/&gt;&lt;wsp:rsid wsp:val=&quot;003548C5&quot;/&gt;&lt;wsp:rsid wsp:val=&quot;00355C09&quot;/&gt;&lt;wsp:rsid wsp:val=&quot;00356653&quot;/&gt;&lt;wsp:rsid wsp:val=&quot;0035743F&quot;/&gt;&lt;wsp:rsid wsp:val=&quot;00357BE2&quot;/&gt;&lt;wsp:rsid wsp:val=&quot;003604A6&quot;/&gt;&lt;wsp:rsid wsp:val=&quot;0036170C&quot;/&gt;&lt;wsp:rsid wsp:val=&quot;00366E0F&quot;/&gt;&lt;wsp:rsid wsp:val=&quot;00372937&quot;/&gt;&lt;wsp:rsid wsp:val=&quot;00373BA1&quot;/&gt;&lt;wsp:rsid wsp:val=&quot;00374954&quot;/&gt;&lt;wsp:rsid wsp:val=&quot;003775ED&quot;/&gt;&lt;wsp:rsid wsp:val=&quot;00381A72&quot;/&gt;&lt;wsp:rsid wsp:val=&quot;0038275A&quot;/&gt;&lt;wsp:rsid wsp:val=&quot;00382E44&quot;/&gt;&lt;wsp:rsid wsp:val=&quot;00384676&quot;/&gt;&lt;wsp:rsid wsp:val=&quot;0038684E&quot;/&gt;&lt;wsp:rsid wsp:val=&quot;00390857&quot;/&gt;&lt;wsp:rsid wsp:val=&quot;00393E29&quot;/&gt;&lt;wsp:rsid wsp:val=&quot;003A21F2&quot;/&gt;&lt;wsp:rsid wsp:val=&quot;003A4BF3&quot;/&gt;&lt;wsp:rsid wsp:val=&quot;003A5F58&quot;/&gt;&lt;wsp:rsid wsp:val=&quot;003B420D&quot;/&gt;&lt;wsp:rsid wsp:val=&quot;003B7389&quot;/&gt;&lt;wsp:rsid wsp:val=&quot;003C4CE2&quot;/&gt;&lt;wsp:rsid wsp:val=&quot;003C6047&quot;/&gt;&lt;wsp:rsid wsp:val=&quot;003C6C16&quot;/&gt;&lt;wsp:rsid wsp:val=&quot;003D4305&quot;/&gt;&lt;wsp:rsid wsp:val=&quot;003D794D&quot;/&gt;&lt;wsp:rsid wsp:val=&quot;003E2F1B&quot;/&gt;&lt;wsp:rsid wsp:val=&quot;003E3058&quot;/&gt;&lt;wsp:rsid wsp:val=&quot;003E4C0B&quot;/&gt;&lt;wsp:rsid wsp:val=&quot;003E76A9&quot;/&gt;&lt;wsp:rsid wsp:val=&quot;003F0809&quot;/&gt;&lt;wsp:rsid wsp:val=&quot;003F10AC&quot;/&gt;&lt;wsp:rsid wsp:val=&quot;003F6A8C&quot;/&gt;&lt;wsp:rsid wsp:val=&quot;003F755C&quot;/&gt;&lt;wsp:rsid wsp:val=&quot;003F7993&quot;/&gt;&lt;wsp:rsid wsp:val=&quot;004020F0&quot;/&gt;&lt;wsp:rsid wsp:val=&quot;004022B3&quot;/&gt;&lt;wsp:rsid wsp:val=&quot;00403B54&quot;/&gt;&lt;wsp:rsid wsp:val=&quot;00406F01&quot;/&gt;&lt;wsp:rsid wsp:val=&quot;00406F27&quot;/&gt;&lt;wsp:rsid wsp:val=&quot;004079DC&quot;/&gt;&lt;wsp:rsid wsp:val=&quot;00416652&quot;/&gt;&lt;wsp:rsid wsp:val=&quot;00416D50&quot;/&gt;&lt;wsp:rsid wsp:val=&quot;00416FD5&quot;/&gt;&lt;wsp:rsid wsp:val=&quot;00417772&quot;/&gt;&lt;wsp:rsid wsp:val=&quot;00420E6A&quot;/&gt;&lt;wsp:rsid wsp:val=&quot;00422656&quot;/&gt;&lt;wsp:rsid wsp:val=&quot;00425A9E&quot;/&gt;&lt;wsp:rsid wsp:val=&quot;00426D6B&quot;/&gt;&lt;wsp:rsid wsp:val=&quot;00427E16&quot;/&gt;&lt;wsp:rsid wsp:val=&quot;00430215&quot;/&gt;&lt;wsp:rsid wsp:val=&quot;00431E6C&quot;/&gt;&lt;wsp:rsid wsp:val=&quot;00433CE7&quot;/&gt;&lt;wsp:rsid wsp:val=&quot;00437DCD&quot;/&gt;&lt;wsp:rsid wsp:val=&quot;0044199C&quot;/&gt;&lt;wsp:rsid wsp:val=&quot;00442FF6&quot;/&gt;&lt;wsp:rsid wsp:val=&quot;0044477A&quot;/&gt;&lt;wsp:rsid wsp:val=&quot;00452738&quot;/&gt;&lt;wsp:rsid wsp:val=&quot;00452B6F&quot;/&gt;&lt;wsp:rsid wsp:val=&quot;00452F6A&quot;/&gt;&lt;wsp:rsid wsp:val=&quot;00456091&quot;/&gt;&lt;wsp:rsid wsp:val=&quot;00466321&quot;/&gt;&lt;wsp:rsid wsp:val=&quot;0047402B&quot;/&gt;&lt;wsp:rsid wsp:val=&quot;0047420F&quot;/&gt;&lt;wsp:rsid wsp:val=&quot;00482463&quot;/&gt;&lt;wsp:rsid wsp:val=&quot;0048258B&quot;/&gt;&lt;wsp:rsid wsp:val=&quot;00484B9B&quot;/&gt;&lt;wsp:rsid wsp:val=&quot;004855F6&quot;/&gt;&lt;wsp:rsid wsp:val=&quot;0048661E&quot;/&gt;&lt;wsp:rsid wsp:val=&quot;004941DB&quot;/&gt;&lt;wsp:rsid wsp:val=&quot;00494492&quot;/&gt;&lt;wsp:rsid wsp:val=&quot;00494670&quot;/&gt;&lt;wsp:rsid wsp:val=&quot;004A12FC&quot;/&gt;&lt;wsp:rsid wsp:val=&quot;004A1C11&quot;/&gt;&lt;wsp:rsid wsp:val=&quot;004A3823&quot;/&gt;&lt;wsp:rsid wsp:val=&quot;004A664B&quot;/&gt;&lt;wsp:rsid wsp:val=&quot;004B0712&quot;/&gt;&lt;wsp:rsid wsp:val=&quot;004B2AED&quot;/&gt;&lt;wsp:rsid wsp:val=&quot;004B39FE&quot;/&gt;&lt;wsp:rsid wsp:val=&quot;004B3EB7&quot;/&gt;&lt;wsp:rsid wsp:val=&quot;004B60EB&quot;/&gt;&lt;wsp:rsid wsp:val=&quot;004C1246&quot;/&gt;&lt;wsp:rsid wsp:val=&quot;004E00DF&quot;/&gt;&lt;wsp:rsid wsp:val=&quot;004E2407&quot;/&gt;&lt;wsp:rsid wsp:val=&quot;004E6946&quot;/&gt;&lt;wsp:rsid wsp:val=&quot;004F1AD8&quot;/&gt;&lt;wsp:rsid wsp:val=&quot;004F26C4&quot;/&gt;&lt;wsp:rsid wsp:val=&quot;004F3BEC&quot;/&gt;&lt;wsp:rsid wsp:val=&quot;004F5E1E&quot;/&gt;&lt;wsp:rsid wsp:val=&quot;00500177&quot;/&gt;&lt;wsp:rsid wsp:val=&quot;005010F2&quot;/&gt;&lt;wsp:rsid wsp:val=&quot;005039CB&quot;/&gt;&lt;wsp:rsid wsp:val=&quot;0050558F&quot;/&gt;&lt;wsp:rsid wsp:val=&quot;00506286&quot;/&gt;&lt;wsp:rsid wsp:val=&quot;00510813&quot;/&gt;&lt;wsp:rsid wsp:val=&quot;00511990&quot;/&gt;&lt;wsp:rsid wsp:val=&quot;00511DE0&quot;/&gt;&lt;wsp:rsid wsp:val=&quot;00513A67&quot;/&gt;&lt;wsp:rsid wsp:val=&quot;00514870&quot;/&gt;&lt;wsp:rsid wsp:val=&quot;00514B9B&quot;/&gt;&lt;wsp:rsid wsp:val=&quot;00517F02&quot;/&gt;&lt;wsp:rsid wsp:val=&quot;00524303&quot;/&gt;&lt;wsp:rsid wsp:val=&quot;005258A2&quot;/&gt;&lt;wsp:rsid wsp:val=&quot;00527756&quot;/&gt;&lt;wsp:rsid wsp:val=&quot;00531884&quot;/&gt;&lt;wsp:rsid wsp:val=&quot;00534C05&quot;/&gt;&lt;wsp:rsid wsp:val=&quot;005401AE&quot;/&gt;&lt;wsp:rsid wsp:val=&quot;00542D74&quot;/&gt;&lt;wsp:rsid wsp:val=&quot;00542E07&quot;/&gt;&lt;wsp:rsid wsp:val=&quot;00543846&quot;/&gt;&lt;wsp:rsid wsp:val=&quot;00545424&quot;/&gt;&lt;wsp:rsid wsp:val=&quot;00545B8F&quot;/&gt;&lt;wsp:rsid wsp:val=&quot;00552415&quot;/&gt;&lt;wsp:rsid wsp:val=&quot;00554279&quot;/&gt;&lt;wsp:rsid wsp:val=&quot;00554A7B&quot;/&gt;&lt;wsp:rsid wsp:val=&quot;0055572C&quot;/&gt;&lt;wsp:rsid wsp:val=&quot;00556A5B&quot;/&gt;&lt;wsp:rsid wsp:val=&quot;0056106A&quot;/&gt;&lt;wsp:rsid wsp:val=&quot;00563A27&quot;/&gt;&lt;wsp:rsid wsp:val=&quot;005720AE&quot;/&gt;&lt;wsp:rsid wsp:val=&quot;0057751D&quot;/&gt;&lt;wsp:rsid wsp:val=&quot;00580624&quot;/&gt;&lt;wsp:rsid wsp:val=&quot;0058385C&quot;/&gt;&lt;wsp:rsid wsp:val=&quot;00583B0F&quot;/&gt;&lt;wsp:rsid wsp:val=&quot;00586059&quot;/&gt;&lt;wsp:rsid wsp:val=&quot;00587644&quot;/&gt;&lt;wsp:rsid wsp:val=&quot;005914C5&quot;/&gt;&lt;wsp:rsid wsp:val=&quot;00593F2F&quot;/&gt;&lt;wsp:rsid wsp:val=&quot;00594D77&quot;/&gt;&lt;wsp:rsid wsp:val=&quot;00595BD9&quot;/&gt;&lt;wsp:rsid wsp:val=&quot;005969E4&quot;/&gt;&lt;wsp:rsid wsp:val=&quot;00596CDB&quot;/&gt;&lt;wsp:rsid wsp:val=&quot;005A06B7&quot;/&gt;&lt;wsp:rsid wsp:val=&quot;005A1759&quot;/&gt;&lt;wsp:rsid wsp:val=&quot;005A1972&quot;/&gt;&lt;wsp:rsid wsp:val=&quot;005A4C27&quot;/&gt;&lt;wsp:rsid wsp:val=&quot;005A68A7&quot;/&gt;&lt;wsp:rsid wsp:val=&quot;005A79FF&quot;/&gt;&lt;wsp:rsid wsp:val=&quot;005B290B&quot;/&gt;&lt;wsp:rsid wsp:val=&quot;005B39C2&quot;/&gt;&lt;wsp:rsid wsp:val=&quot;005B46E8&quot;/&gt;&lt;wsp:rsid wsp:val=&quot;005B6911&quot;/&gt;&lt;wsp:rsid wsp:val=&quot;005D36AB&quot;/&gt;&lt;wsp:rsid wsp:val=&quot;00600A69&quot;/&gt;&lt;wsp:rsid wsp:val=&quot;006018C8&quot;/&gt;&lt;wsp:rsid wsp:val=&quot;00606BB5&quot;/&gt;&lt;wsp:rsid wsp:val=&quot;00611884&quot;/&gt;&lt;wsp:rsid wsp:val=&quot;00612BFD&quot;/&gt;&lt;wsp:rsid wsp:val=&quot;00617CC3&quot;/&gt;&lt;wsp:rsid wsp:val=&quot;00621597&quot;/&gt;&lt;wsp:rsid wsp:val=&quot;00622128&quot;/&gt;&lt;wsp:rsid wsp:val=&quot;0062450D&quot;/&gt;&lt;wsp:rsid wsp:val=&quot;0062682F&quot;/&gt;&lt;wsp:rsid wsp:val=&quot;00634282&quot;/&gt;&lt;wsp:rsid wsp:val=&quot;006377A6&quot;/&gt;&lt;wsp:rsid wsp:val=&quot;00637A3D&quot;/&gt;&lt;wsp:rsid wsp:val=&quot;006411EF&quot;/&gt;&lt;wsp:rsid wsp:val=&quot;00646953&quot;/&gt;&lt;wsp:rsid wsp:val=&quot;0065088D&quot;/&gt;&lt;wsp:rsid wsp:val=&quot;00650BC4&quot;/&gt;&lt;wsp:rsid wsp:val=&quot;00652B81&quot;/&gt;&lt;wsp:rsid wsp:val=&quot;0065412B&quot;/&gt;&lt;wsp:rsid wsp:val=&quot;006549A1&quot;/&gt;&lt;wsp:rsid wsp:val=&quot;00657575&quot;/&gt;&lt;wsp:rsid wsp:val=&quot;00663759&quot;/&gt;&lt;wsp:rsid wsp:val=&quot;00663DC3&quot;/&gt;&lt;wsp:rsid wsp:val=&quot;00664684&quot;/&gt;&lt;wsp:rsid wsp:val=&quot;00664D05&quot;/&gt;&lt;wsp:rsid wsp:val=&quot;0066686A&quot;/&gt;&lt;wsp:rsid wsp:val=&quot;006713F4&quot;/&gt;&lt;wsp:rsid wsp:val=&quot;006748B8&quot;/&gt;&lt;wsp:rsid wsp:val=&quot;00675989&quot;/&gt;&lt;wsp:rsid wsp:val=&quot;006775C3&quot;/&gt;&lt;wsp:rsid wsp:val=&quot;00683D2D&quot;/&gt;&lt;wsp:rsid wsp:val=&quot;0069002B&quot;/&gt;&lt;wsp:rsid wsp:val=&quot;0069290A&quot;/&gt;&lt;wsp:rsid wsp:val=&quot;0069569A&quot;/&gt;&lt;wsp:rsid wsp:val=&quot;00695A77&quot;/&gt;&lt;wsp:rsid wsp:val=&quot;0069775A&quot;/&gt;&lt;wsp:rsid wsp:val=&quot;00697813&quot;/&gt;&lt;wsp:rsid wsp:val=&quot;006A1794&quot;/&gt;&lt;wsp:rsid wsp:val=&quot;006A2C57&quot;/&gt;&lt;wsp:rsid wsp:val=&quot;006A3EE8&quot;/&gt;&lt;wsp:rsid wsp:val=&quot;006A6B4D&quot;/&gt;&lt;wsp:rsid wsp:val=&quot;006A72BF&quot;/&gt;&lt;wsp:rsid wsp:val=&quot;006A7E6E&quot;/&gt;&lt;wsp:rsid wsp:val=&quot;006B03F2&quot;/&gt;&lt;wsp:rsid wsp:val=&quot;006B072B&quot;/&gt;&lt;wsp:rsid wsp:val=&quot;006B37DC&quot;/&gt;&lt;wsp:rsid wsp:val=&quot;006B4C93&quot;/&gt;&lt;wsp:rsid wsp:val=&quot;006B4F68&quot;/&gt;&lt;wsp:rsid wsp:val=&quot;006C0364&quot;/&gt;&lt;wsp:rsid wsp:val=&quot;006C0592&quot;/&gt;&lt;wsp:rsid wsp:val=&quot;006C0C01&quot;/&gt;&lt;wsp:rsid wsp:val=&quot;006C272E&quot;/&gt;&lt;wsp:rsid wsp:val=&quot;006C4A44&quot;/&gt;&lt;wsp:rsid wsp:val=&quot;006C5479&quot;/&gt;&lt;wsp:rsid wsp:val=&quot;006C6CFC&quot;/&gt;&lt;wsp:rsid wsp:val=&quot;006D13B5&quot;/&gt;&lt;wsp:rsid wsp:val=&quot;006D652B&quot;/&gt;&lt;wsp:rsid wsp:val=&quot;006D7065&quot;/&gt;&lt;wsp:rsid wsp:val=&quot;006E12FF&quot;/&gt;&lt;wsp:rsid wsp:val=&quot;006E607E&quot;/&gt;&lt;wsp:rsid wsp:val=&quot;006E7CFB&quot;/&gt;&lt;wsp:rsid wsp:val=&quot;006F13BC&quot;/&gt;&lt;wsp:rsid wsp:val=&quot;006F696B&quot;/&gt;&lt;wsp:rsid wsp:val=&quot;006F6A6D&quot;/&gt;&lt;wsp:rsid wsp:val=&quot;00706C5D&quot;/&gt;&lt;wsp:rsid wsp:val=&quot;00712FD8&quot;/&gt;&lt;wsp:rsid wsp:val=&quot;007170D9&quot;/&gt;&lt;wsp:rsid wsp:val=&quot;00724B98&quot;/&gt;&lt;wsp:rsid wsp:val=&quot;00732922&quot;/&gt;&lt;wsp:rsid wsp:val=&quot;007366B4&quot;/&gt;&lt;wsp:rsid wsp:val=&quot;007377E8&quot;/&gt;&lt;wsp:rsid wsp:val=&quot;00741262&quot;/&gt;&lt;wsp:rsid wsp:val=&quot;00745276&quot;/&gt;&lt;wsp:rsid wsp:val=&quot;007477E4&quot;/&gt;&lt;wsp:rsid wsp:val=&quot;0075162E&quot;/&gt;&lt;wsp:rsid wsp:val=&quot;00754034&quot;/&gt;&lt;wsp:rsid wsp:val=&quot;00755BFE&quot;/&gt;&lt;wsp:rsid wsp:val=&quot;00756556&quot;/&gt;&lt;wsp:rsid wsp:val=&quot;0076046E&quot;/&gt;&lt;wsp:rsid wsp:val=&quot;007606B0&quot;/&gt;&lt;wsp:rsid wsp:val=&quot;007618C4&quot;/&gt;&lt;wsp:rsid wsp:val=&quot;00766218&quot;/&gt;&lt;wsp:rsid wsp:val=&quot;00767980&quot;/&gt;&lt;wsp:rsid wsp:val=&quot;00770330&quot;/&gt;&lt;wsp:rsid wsp:val=&quot;00770B19&quot;/&gt;&lt;wsp:rsid wsp:val=&quot;0077463F&quot;/&gt;&lt;wsp:rsid wsp:val=&quot;007752A8&quot;/&gt;&lt;wsp:rsid wsp:val=&quot;00782319&quot;/&gt;&lt;wsp:rsid wsp:val=&quot;0078302B&quot;/&gt;&lt;wsp:rsid wsp:val=&quot;007836EA&quot;/&gt;&lt;wsp:rsid wsp:val=&quot;00784CDA&quot;/&gt;&lt;wsp:rsid wsp:val=&quot;007906C4&quot;/&gt;&lt;wsp:rsid wsp:val=&quot;00791070&quot;/&gt;&lt;wsp:rsid wsp:val=&quot;00791A03&quot;/&gt;&lt;wsp:rsid wsp:val=&quot;00792084&quot;/&gt;&lt;wsp:rsid wsp:val=&quot;00793C9E&quot;/&gt;&lt;wsp:rsid wsp:val=&quot;007940EA&quot;/&gt;&lt;wsp:rsid wsp:val=&quot;00795A79&quot;/&gt;&lt;wsp:rsid wsp:val=&quot;007967E8&quot;/&gt;&lt;wsp:rsid wsp:val=&quot;0079760B&quot;/&gt;&lt;wsp:rsid wsp:val=&quot;007A1888&quot;/&gt;&lt;wsp:rsid wsp:val=&quot;007A2170&quot;/&gt;&lt;wsp:rsid wsp:val=&quot;007A22BF&quot;/&gt;&lt;wsp:rsid wsp:val=&quot;007A3323&quot;/&gt;&lt;wsp:rsid wsp:val=&quot;007B3B45&quot;/&gt;&lt;wsp:rsid wsp:val=&quot;007B5F7F&quot;/&gt;&lt;wsp:rsid wsp:val=&quot;007B72B8&quot;/&gt;&lt;wsp:rsid wsp:val=&quot;007B7A58&quot;/&gt;&lt;wsp:rsid wsp:val=&quot;007C21B5&quot;/&gt;&lt;wsp:rsid wsp:val=&quot;007C330C&quot;/&gt;&lt;wsp:rsid wsp:val=&quot;007C3D00&quot;/&gt;&lt;wsp:rsid wsp:val=&quot;007C7B40&quot;/&gt;&lt;wsp:rsid wsp:val=&quot;007E1F10&quot;/&gt;&lt;wsp:rsid wsp:val=&quot;007E4BD2&quot;/&gt;&lt;wsp:rsid wsp:val=&quot;007F0605&quot;/&gt;&lt;wsp:rsid wsp:val=&quot;007F6FED&quot;/&gt;&lt;wsp:rsid wsp:val=&quot;008005D2&quot;/&gt;&lt;wsp:rsid wsp:val=&quot;00801393&quot;/&gt;&lt;wsp:rsid wsp:val=&quot;00802738&quot;/&gt;&lt;wsp:rsid wsp:val=&quot;00802F88&quot;/&gt;&lt;wsp:rsid wsp:val=&quot;0080469E&quot;/&gt;&lt;wsp:rsid wsp:val=&quot;00807C1B&quot;/&gt;&lt;wsp:rsid wsp:val=&quot;0081293E&quot;/&gt;&lt;wsp:rsid wsp:val=&quot;00815465&quot;/&gt;&lt;wsp:rsid wsp:val=&quot;00817E9A&quot;/&gt;&lt;wsp:rsid wsp:val=&quot;00825E48&quot;/&gt;&lt;wsp:rsid wsp:val=&quot;0082602E&quot;/&gt;&lt;wsp:rsid wsp:val=&quot;0082624F&quot;/&gt;&lt;wsp:rsid wsp:val=&quot;00827546&quot;/&gt;&lt;wsp:rsid wsp:val=&quot;0082794A&quot;/&gt;&lt;wsp:rsid wsp:val=&quot;008279E5&quot;/&gt;&lt;wsp:rsid wsp:val=&quot;008306BD&quot;/&gt;&lt;wsp:rsid wsp:val=&quot;00831A80&quot;/&gt;&lt;wsp:rsid wsp:val=&quot;00833743&quot;/&gt;&lt;wsp:rsid wsp:val=&quot;00833B02&quot;/&gt;&lt;wsp:rsid wsp:val=&quot;008340A4&quot;/&gt;&lt;wsp:rsid wsp:val=&quot;00834CAA&quot;/&gt;&lt;wsp:rsid wsp:val=&quot;00835160&quot;/&gt;&lt;wsp:rsid wsp:val=&quot;008424AA&quot;/&gt;&lt;wsp:rsid wsp:val=&quot;008428E7&quot;/&gt;&lt;wsp:rsid wsp:val=&quot;008477FE&quot;/&gt;&lt;wsp:rsid wsp:val=&quot;00861538&quot;/&gt;&lt;wsp:rsid wsp:val=&quot;008617D8&quot;/&gt;&lt;wsp:rsid wsp:val=&quot;0086367C&quot;/&gt;&lt;wsp:rsid wsp:val=&quot;008650BC&quot;/&gt;&lt;wsp:rsid wsp:val=&quot;0087135F&quot;/&gt;&lt;wsp:rsid wsp:val=&quot;00872D94&quot;/&gt;&lt;wsp:rsid wsp:val=&quot;00877885&quot;/&gt;&lt;wsp:rsid wsp:val=&quot;00877AA2&quot;/&gt;&lt;wsp:rsid wsp:val=&quot;00880364&quot;/&gt;&lt;wsp:rsid wsp:val=&quot;00881B29&quot;/&gt;&lt;wsp:rsid wsp:val=&quot;00883181&quot;/&gt;&lt;wsp:rsid wsp:val=&quot;00883862&quot;/&gt;&lt;wsp:rsid wsp:val=&quot;00891592&quot;/&gt;&lt;wsp:rsid wsp:val=&quot;00891E9E&quot;/&gt;&lt;wsp:rsid wsp:val=&quot;00892A1F&quot;/&gt;&lt;wsp:rsid wsp:val=&quot;008A2F68&quot;/&gt;&lt;wsp:rsid wsp:val=&quot;008A7E1D&quot;/&gt;&lt;wsp:rsid wsp:val=&quot;008B4FA6&quot;/&gt;&lt;wsp:rsid wsp:val=&quot;008B5282&quot;/&gt;&lt;wsp:rsid wsp:val=&quot;008B7C17&quot;/&gt;&lt;wsp:rsid wsp:val=&quot;008C2D01&quot;/&gt;&lt;wsp:rsid wsp:val=&quot;008C40E6&quot;/&gt;&lt;wsp:rsid wsp:val=&quot;008C517B&quot;/&gt;&lt;wsp:rsid wsp:val=&quot;008D0F7A&quot;/&gt;&lt;wsp:rsid wsp:val=&quot;008D68E4&quot;/&gt;&lt;wsp:rsid wsp:val=&quot;008E0506&quot;/&gt;&lt;wsp:rsid wsp:val=&quot;008E0CFF&quot;/&gt;&lt;wsp:rsid wsp:val=&quot;008E2B1E&quot;/&gt;&lt;wsp:rsid wsp:val=&quot;008E3BC0&quot;/&gt;&lt;wsp:rsid wsp:val=&quot;008E5D6B&quot;/&gt;&lt;wsp:rsid wsp:val=&quot;008E76F0&quot;/&gt;&lt;wsp:rsid wsp:val=&quot;008F10BB&quot;/&gt;&lt;wsp:rsid wsp:val=&quot;008F12B0&quot;/&gt;&lt;wsp:rsid wsp:val=&quot;008F15FE&quot;/&gt;&lt;wsp:rsid wsp:val=&quot;008F2022&quot;/&gt;&lt;wsp:rsid wsp:val=&quot;008F2D29&quot;/&gt;&lt;wsp:rsid wsp:val=&quot;008F5187&quot;/&gt;&lt;wsp:rsid wsp:val=&quot;008F60D8&quot;/&gt;&lt;wsp:rsid wsp:val=&quot;00902727&quot;/&gt;&lt;wsp:rsid wsp:val=&quot;0090312B&quot;/&gt;&lt;wsp:rsid wsp:val=&quot;0090465E&quot;/&gt;&lt;wsp:rsid wsp:val=&quot;00905151&quot;/&gt;&lt;wsp:rsid wsp:val=&quot;00906144&quot;/&gt;&lt;wsp:rsid wsp:val=&quot;009074C0&quot;/&gt;&lt;wsp:rsid wsp:val=&quot;00907561&quot;/&gt;&lt;wsp:rsid wsp:val=&quot;00911FE8&quot;/&gt;&lt;wsp:rsid wsp:val=&quot;0091736D&quot;/&gt;&lt;wsp:rsid wsp:val=&quot;00923E09&quot;/&gt;&lt;wsp:rsid wsp:val=&quot;0093037A&quot;/&gt;&lt;wsp:rsid wsp:val=&quot;009310A3&quot;/&gt;&lt;wsp:rsid wsp:val=&quot;00931D2D&quot;/&gt;&lt;wsp:rsid wsp:val=&quot;00933BF2&quot;/&gt;&lt;wsp:rsid wsp:val=&quot;009346EB&quot;/&gt;&lt;wsp:rsid wsp:val=&quot;0093510D&quot;/&gt;&lt;wsp:rsid wsp:val=&quot;00940470&quot;/&gt;&lt;wsp:rsid wsp:val=&quot;0094154D&quot;/&gt;&lt;wsp:rsid wsp:val=&quot;00941815&quot;/&gt;&lt;wsp:rsid wsp:val=&quot;00942E72&quot;/&gt;&lt;wsp:rsid wsp:val=&quot;00946AEA&quot;/&gt;&lt;wsp:rsid wsp:val=&quot;0095155F&quot;/&gt;&lt;wsp:rsid wsp:val=&quot;00951B1C&quot;/&gt;&lt;wsp:rsid wsp:val=&quot;00954429&quot;/&gt;&lt;wsp:rsid wsp:val=&quot;00955B75&quot;/&gt;&lt;wsp:rsid wsp:val=&quot;009563CE&quot;/&gt;&lt;wsp:rsid wsp:val=&quot;00957118&quot;/&gt;&lt;wsp:rsid wsp:val=&quot;00957895&quot;/&gt;&lt;wsp:rsid wsp:val=&quot;00962DDD&quot;/&gt;&lt;wsp:rsid wsp:val=&quot;00976328&quot;/&gt;&lt;wsp:rsid wsp:val=&quot;0097680D&quot;/&gt;&lt;wsp:rsid wsp:val=&quot;00982438&quot;/&gt;&lt;wsp:rsid wsp:val=&quot;00982A9B&quot;/&gt;&lt;wsp:rsid wsp:val=&quot;0098404C&quot;/&gt;&lt;wsp:rsid wsp:val=&quot;00985283&quot;/&gt;&lt;wsp:rsid wsp:val=&quot;00987A66&quot;/&gt;&lt;wsp:rsid wsp:val=&quot;00995992&quot;/&gt;&lt;wsp:rsid wsp:val=&quot;009A03E5&quot;/&gt;&lt;wsp:rsid wsp:val=&quot;009A0F3B&quot;/&gt;&lt;wsp:rsid wsp:val=&quot;009A1BB4&quot;/&gt;&lt;wsp:rsid wsp:val=&quot;009A2628&quot;/&gt;&lt;wsp:rsid wsp:val=&quot;009A3200&quot;/&gt;&lt;wsp:rsid wsp:val=&quot;009A78A6&quot;/&gt;&lt;wsp:rsid wsp:val=&quot;009B046D&quot;/&gt;&lt;wsp:rsid wsp:val=&quot;009B0792&quot;/&gt;&lt;wsp:rsid wsp:val=&quot;009B0897&quot;/&gt;&lt;wsp:rsid wsp:val=&quot;009B379E&quot;/&gt;&lt;wsp:rsid wsp:val=&quot;009B66B6&quot;/&gt;&lt;wsp:rsid wsp:val=&quot;009B6A62&quot;/&gt;&lt;wsp:rsid wsp:val=&quot;009B7BD9&quot;/&gt;&lt;wsp:rsid wsp:val=&quot;009C0563&quot;/&gt;&lt;wsp:rsid wsp:val=&quot;009C425C&quot;/&gt;&lt;wsp:rsid wsp:val=&quot;009C6D2D&quot;/&gt;&lt;wsp:rsid wsp:val=&quot;009C7DD5&quot;/&gt;&lt;wsp:rsid wsp:val=&quot;009D2B98&quot;/&gt;&lt;wsp:rsid wsp:val=&quot;009D7A4D&quot;/&gt;&lt;wsp:rsid wsp:val=&quot;009E227D&quot;/&gt;&lt;wsp:rsid wsp:val=&quot;009E3774&quot;/&gt;&lt;wsp:rsid wsp:val=&quot;009E5019&quot;/&gt;&lt;wsp:rsid wsp:val=&quot;009E56D8&quot;/&gt;&lt;wsp:rsid wsp:val=&quot;009F103F&quot;/&gt;&lt;wsp:rsid wsp:val=&quot;009F54C0&quot;/&gt;&lt;wsp:rsid wsp:val=&quot;009F7B25&quot;/&gt;&lt;wsp:rsid wsp:val=&quot;00A04F1B&quot;/&gt;&lt;wsp:rsid wsp:val=&quot;00A0501B&quot;/&gt;&lt;wsp:rsid wsp:val=&quot;00A1053C&quot;/&gt;&lt;wsp:rsid wsp:val=&quot;00A14947&quot;/&gt;&lt;wsp:rsid wsp:val=&quot;00A22D5E&quot;/&gt;&lt;wsp:rsid wsp:val=&quot;00A32A83&quot;/&gt;&lt;wsp:rsid wsp:val=&quot;00A34813&quot;/&gt;&lt;wsp:rsid wsp:val=&quot;00A359FC&quot;/&gt;&lt;wsp:rsid wsp:val=&quot;00A368DB&quot;/&gt;&lt;wsp:rsid wsp:val=&quot;00A3720B&quot;/&gt;&lt;wsp:rsid wsp:val=&quot;00A40483&quot;/&gt;&lt;wsp:rsid wsp:val=&quot;00A41B44&quot;/&gt;&lt;wsp:rsid wsp:val=&quot;00A423AA&quot;/&gt;&lt;wsp:rsid wsp:val=&quot;00A46AF4&quot;/&gt;&lt;wsp:rsid wsp:val=&quot;00A50E5C&quot;/&gt;&lt;wsp:rsid wsp:val=&quot;00A53EC6&quot;/&gt;&lt;wsp:rsid wsp:val=&quot;00A543A3&quot;/&gt;&lt;wsp:rsid wsp:val=&quot;00A55C0F&quot;/&gt;&lt;wsp:rsid wsp:val=&quot;00A62E43&quot;/&gt;&lt;wsp:rsid wsp:val=&quot;00A6477E&quot;/&gt;&lt;wsp:rsid wsp:val=&quot;00A651F9&quot;/&gt;&lt;wsp:rsid wsp:val=&quot;00A707D1&quot;/&gt;&lt;wsp:rsid wsp:val=&quot;00A75926&quot;/&gt;&lt;wsp:rsid wsp:val=&quot;00A760B1&quot;/&gt;&lt;wsp:rsid wsp:val=&quot;00A80B36&quot;/&gt;&lt;wsp:rsid wsp:val=&quot;00A80E94&quot;/&gt;&lt;wsp:rsid wsp:val=&quot;00A8713F&quot;/&gt;&lt;wsp:rsid wsp:val=&quot;00A90BA1&quot;/&gt;&lt;wsp:rsid wsp:val=&quot;00A9337D&quot;/&gt;&lt;wsp:rsid wsp:val=&quot;00A96027&quot;/&gt;&lt;wsp:rsid wsp:val=&quot;00A9666F&quot;/&gt;&lt;wsp:rsid wsp:val=&quot;00A97A9A&quot;/&gt;&lt;wsp:rsid wsp:val=&quot;00AA0671&quot;/&gt;&lt;wsp:rsid wsp:val=&quot;00AA2531&quot;/&gt;&lt;wsp:rsid wsp:val=&quot;00AA4704&quot;/&gt;&lt;wsp:rsid wsp:val=&quot;00AA66C3&quot;/&gt;&lt;wsp:rsid wsp:val=&quot;00AB1E09&quot;/&gt;&lt;wsp:rsid wsp:val=&quot;00AB5330&quot;/&gt;&lt;wsp:rsid wsp:val=&quot;00AB7747&quot;/&gt;&lt;wsp:rsid wsp:val=&quot;00AC14CE&quot;/&gt;&lt;wsp:rsid wsp:val=&quot;00AC1E58&quot;/&gt;&lt;wsp:rsid wsp:val=&quot;00AC2A56&quot;/&gt;&lt;wsp:rsid wsp:val=&quot;00AC344E&quot;/&gt;&lt;wsp:rsid wsp:val=&quot;00AC7081&quot;/&gt;&lt;wsp:rsid wsp:val=&quot;00AD055E&quot;/&gt;&lt;wsp:rsid wsp:val=&quot;00AD2872&quot;/&gt;&lt;wsp:rsid wsp:val=&quot;00AD47A7&quot;/&gt;&lt;wsp:rsid wsp:val=&quot;00AD625A&quot;/&gt;&lt;wsp:rsid wsp:val=&quot;00AE2FBF&quot;/&gt;&lt;wsp:rsid wsp:val=&quot;00AE32A7&quot;/&gt;&lt;wsp:rsid wsp:val=&quot;00AE64DE&quot;/&gt;&lt;wsp:rsid wsp:val=&quot;00AE7606&quot;/&gt;&lt;wsp:rsid wsp:val=&quot;00AF0CBF&quot;/&gt;&lt;wsp:rsid wsp:val=&quot;00AF257F&quot;/&gt;&lt;wsp:rsid wsp:val=&quot;00AF33CF&quot;/&gt;&lt;wsp:rsid wsp:val=&quot;00AF4D50&quot;/&gt;&lt;wsp:rsid wsp:val=&quot;00AF6179&quot;/&gt;&lt;wsp:rsid wsp:val=&quot;00B1295A&quot;/&gt;&lt;wsp:rsid wsp:val=&quot;00B13C49&quot;/&gt;&lt;wsp:rsid wsp:val=&quot;00B13DE3&quot;/&gt;&lt;wsp:rsid wsp:val=&quot;00B20A45&quot;/&gt;&lt;wsp:rsid wsp:val=&quot;00B22736&quot;/&gt;&lt;wsp:rsid wsp:val=&quot;00B22C5C&quot;/&gt;&lt;wsp:rsid wsp:val=&quot;00B24F30&quot;/&gt;&lt;wsp:rsid wsp:val=&quot;00B272A8&quot;/&gt;&lt;wsp:rsid wsp:val=&quot;00B27E7F&quot;/&gt;&lt;wsp:rsid wsp:val=&quot;00B31037&quot;/&gt;&lt;wsp:rsid wsp:val=&quot;00B31ABF&quot;/&gt;&lt;wsp:rsid wsp:val=&quot;00B31C2A&quot;/&gt;&lt;wsp:rsid wsp:val=&quot;00B33BE3&quot;/&gt;&lt;wsp:rsid wsp:val=&quot;00B36E64&quot;/&gt;&lt;wsp:rsid wsp:val=&quot;00B4215F&quot;/&gt;&lt;wsp:rsid wsp:val=&quot;00B43435&quot;/&gt;&lt;wsp:rsid wsp:val=&quot;00B511ED&quot;/&gt;&lt;wsp:rsid wsp:val=&quot;00B51F4B&quot;/&gt;&lt;wsp:rsid wsp:val=&quot;00B52694&quot;/&gt;&lt;wsp:rsid wsp:val=&quot;00B53B5D&quot;/&gt;&lt;wsp:rsid wsp:val=&quot;00B56775&quot;/&gt;&lt;wsp:rsid wsp:val=&quot;00B57FE2&quot;/&gt;&lt;wsp:rsid wsp:val=&quot;00B6055E&quot;/&gt;&lt;wsp:rsid wsp:val=&quot;00B6317D&quot;/&gt;&lt;wsp:rsid wsp:val=&quot;00B63669&quot;/&gt;&lt;wsp:rsid wsp:val=&quot;00B64424&quot;/&gt;&lt;wsp:rsid wsp:val=&quot;00B67990&quot;/&gt;&lt;wsp:rsid wsp:val=&quot;00B7723F&quot;/&gt;&lt;wsp:rsid wsp:val=&quot;00B80534&quot;/&gt;&lt;wsp:rsid wsp:val=&quot;00B80546&quot;/&gt;&lt;wsp:rsid wsp:val=&quot;00B8433C&quot;/&gt;&lt;wsp:rsid wsp:val=&quot;00B87491&quot;/&gt;&lt;wsp:rsid wsp:val=&quot;00B918F9&quot;/&gt;&lt;wsp:rsid wsp:val=&quot;00B92EA1&quot;/&gt;&lt;wsp:rsid wsp:val=&quot;00B94296&quot;/&gt;&lt;wsp:rsid wsp:val=&quot;00BA273A&quot;/&gt;&lt;wsp:rsid wsp:val=&quot;00BA29E9&quot;/&gt;&lt;wsp:rsid wsp:val=&quot;00BA7142&quot;/&gt;&lt;wsp:rsid wsp:val=&quot;00BB237C&quot;/&gt;&lt;wsp:rsid wsp:val=&quot;00BB41A3&quot;/&gt;&lt;wsp:rsid wsp:val=&quot;00BB44F2&quot;/&gt;&lt;wsp:rsid wsp:val=&quot;00BC0A0A&quot;/&gt;&lt;wsp:rsid wsp:val=&quot;00BC0E92&quot;/&gt;&lt;wsp:rsid wsp:val=&quot;00BC32DC&quot;/&gt;&lt;wsp:rsid wsp:val=&quot;00BC35B6&quot;/&gt;&lt;wsp:rsid wsp:val=&quot;00BD1B51&quot;/&gt;&lt;wsp:rsid wsp:val=&quot;00BD4596&quot;/&gt;&lt;wsp:rsid wsp:val=&quot;00BE1405&quot;/&gt;&lt;wsp:rsid wsp:val=&quot;00BE23DE&quot;/&gt;&lt;wsp:rsid wsp:val=&quot;00BE312D&quot;/&gt;&lt;wsp:rsid wsp:val=&quot;00BE7AFE&quot;/&gt;&lt;wsp:rsid wsp:val=&quot;00BE7E1B&quot;/&gt;&lt;wsp:rsid wsp:val=&quot;00BF097C&quot;/&gt;&lt;wsp:rsid wsp:val=&quot;00BF1C20&quot;/&gt;&lt;wsp:rsid wsp:val=&quot;00BF21F7&quot;/&gt;&lt;wsp:rsid wsp:val=&quot;00BF2D2C&quot;/&gt;&lt;wsp:rsid wsp:val=&quot;00C10578&quot;/&gt;&lt;wsp:rsid wsp:val=&quot;00C1061A&quot;/&gt;&lt;wsp:rsid wsp:val=&quot;00C135BC&quot;/&gt;&lt;wsp:rsid wsp:val=&quot;00C15C95&quot;/&gt;&lt;wsp:rsid wsp:val=&quot;00C175E7&quot;/&gt;&lt;wsp:rsid wsp:val=&quot;00C22BEE&quot;/&gt;&lt;wsp:rsid wsp:val=&quot;00C234CE&quot;/&gt;&lt;wsp:rsid wsp:val=&quot;00C2596A&quot;/&gt;&lt;wsp:rsid wsp:val=&quot;00C26866&quot;/&gt;&lt;wsp:rsid wsp:val=&quot;00C27537&quot;/&gt;&lt;wsp:rsid wsp:val=&quot;00C31C31&quot;/&gt;&lt;wsp:rsid wsp:val=&quot;00C32398&quot;/&gt;&lt;wsp:rsid wsp:val=&quot;00C328FE&quot;/&gt;&lt;wsp:rsid wsp:val=&quot;00C33507&quot;/&gt;&lt;wsp:rsid wsp:val=&quot;00C408C1&quot;/&gt;&lt;wsp:rsid wsp:val=&quot;00C41D3D&quot;/&gt;&lt;wsp:rsid wsp:val=&quot;00C4409D&quot;/&gt;&lt;wsp:rsid wsp:val=&quot;00C44E72&quot;/&gt;&lt;wsp:rsid wsp:val=&quot;00C45A06&quot;/&gt;&lt;wsp:rsid wsp:val=&quot;00C47E5B&quot;/&gt;&lt;wsp:rsid wsp:val=&quot;00C61E4B&quot;/&gt;&lt;wsp:rsid wsp:val=&quot;00C639CA&quot;/&gt;&lt;wsp:rsid wsp:val=&quot;00C63B46&quot;/&gt;&lt;wsp:rsid wsp:val=&quot;00C64BFF&quot;/&gt;&lt;wsp:rsid wsp:val=&quot;00C6506C&quot;/&gt;&lt;wsp:rsid wsp:val=&quot;00C65333&quot;/&gt;&lt;wsp:rsid wsp:val=&quot;00C70448&quot;/&gt;&lt;wsp:rsid wsp:val=&quot;00C704E9&quot;/&gt;&lt;wsp:rsid wsp:val=&quot;00C74F21&quot;/&gt;&lt;wsp:rsid wsp:val=&quot;00C754D4&quot;/&gt;&lt;wsp:rsid wsp:val=&quot;00C763C9&quot;/&gt;&lt;wsp:rsid wsp:val=&quot;00C769E6&quot;/&gt;&lt;wsp:rsid wsp:val=&quot;00C80057&quot;/&gt;&lt;wsp:rsid wsp:val=&quot;00C82232&quot;/&gt;&lt;wsp:rsid wsp:val=&quot;00C82913&quot;/&gt;&lt;wsp:rsid wsp:val=&quot;00C86203&quot;/&gt;&lt;wsp:rsid wsp:val=&quot;00C86713&quot;/&gt;&lt;wsp:rsid wsp:val=&quot;00C925C0&quot;/&gt;&lt;wsp:rsid wsp:val=&quot;00C934E1&quot;/&gt;&lt;wsp:rsid wsp:val=&quot;00C972B1&quot;/&gt;&lt;wsp:rsid wsp:val=&quot;00CA29B0&quot;/&gt;&lt;wsp:rsid wsp:val=&quot;00CA2CCE&quot;/&gt;&lt;wsp:rsid wsp:val=&quot;00CA43FD&quot;/&gt;&lt;wsp:rsid wsp:val=&quot;00CA7DDE&quot;/&gt;&lt;wsp:rsid wsp:val=&quot;00CA7EF8&quot;/&gt;&lt;wsp:rsid wsp:val=&quot;00CB03E2&quot;/&gt;&lt;wsp:rsid wsp:val=&quot;00CC489B&quot;/&gt;&lt;wsp:rsid wsp:val=&quot;00CC66AE&quot;/&gt;&lt;wsp:rsid wsp:val=&quot;00CD2BCD&quot;/&gt;&lt;wsp:rsid wsp:val=&quot;00CD3A4C&quot;/&gt;&lt;wsp:rsid wsp:val=&quot;00CD4045&quot;/&gt;&lt;wsp:rsid wsp:val=&quot;00CD4D87&quot;/&gt;&lt;wsp:rsid wsp:val=&quot;00CE10E9&quot;/&gt;&lt;wsp:rsid wsp:val=&quot;00CE2910&quot;/&gt;&lt;wsp:rsid wsp:val=&quot;00CE2AC6&quot;/&gt;&lt;wsp:rsid wsp:val=&quot;00CE3BB1&quot;/&gt;&lt;wsp:rsid wsp:val=&quot;00CE3EA2&quot;/&gt;&lt;wsp:rsid wsp:val=&quot;00CE5393&quot;/&gt;&lt;wsp:rsid wsp:val=&quot;00CE7D84&quot;/&gt;&lt;wsp:rsid wsp:val=&quot;00CF040C&quot;/&gt;&lt;wsp:rsid wsp:val=&quot;00CF2EF3&quot;/&gt;&lt;wsp:rsid wsp:val=&quot;00CF314B&quot;/&gt;&lt;wsp:rsid wsp:val=&quot;00CF36BE&quot;/&gt;&lt;wsp:rsid wsp:val=&quot;00CF3709&quot;/&gt;&lt;wsp:rsid wsp:val=&quot;00CF5E3D&quot;/&gt;&lt;wsp:rsid wsp:val=&quot;00CF6000&quot;/&gt;&lt;wsp:rsid wsp:val=&quot;00D003F3&quot;/&gt;&lt;wsp:rsid wsp:val=&quot;00D0364F&quot;/&gt;&lt;wsp:rsid wsp:val=&quot;00D03CF0&quot;/&gt;&lt;wsp:rsid wsp:val=&quot;00D0588C&quot;/&gt;&lt;wsp:rsid wsp:val=&quot;00D06834&quot;/&gt;&lt;wsp:rsid wsp:val=&quot;00D07B3E&quot;/&gt;&lt;wsp:rsid wsp:val=&quot;00D12094&quot;/&gt;&lt;wsp:rsid wsp:val=&quot;00D15CD3&quot;/&gt;&lt;wsp:rsid wsp:val=&quot;00D258BD&quot;/&gt;&lt;wsp:rsid wsp:val=&quot;00D308ED&quot;/&gt;&lt;wsp:rsid wsp:val=&quot;00D328E0&quot;/&gt;&lt;wsp:rsid wsp:val=&quot;00D36D86&quot;/&gt;&lt;wsp:rsid wsp:val=&quot;00D428AA&quot;/&gt;&lt;wsp:rsid wsp:val=&quot;00D438FB&quot;/&gt;&lt;wsp:rsid wsp:val=&quot;00D43A8C&quot;/&gt;&lt;wsp:rsid wsp:val=&quot;00D4506F&quot;/&gt;&lt;wsp:rsid wsp:val=&quot;00D47829&quot;/&gt;&lt;wsp:rsid wsp:val=&quot;00D50A34&quot;/&gt;&lt;wsp:rsid wsp:val=&quot;00D52015&quot;/&gt;&lt;wsp:rsid wsp:val=&quot;00D53EFA&quot;/&gt;&lt;wsp:rsid wsp:val=&quot;00D54DC0&quot;/&gt;&lt;wsp:rsid wsp:val=&quot;00D57C39&quot;/&gt;&lt;wsp:rsid wsp:val=&quot;00D623D9&quot;/&gt;&lt;wsp:rsid wsp:val=&quot;00D67E3E&quot;/&gt;&lt;wsp:rsid wsp:val=&quot;00D77609&quot;/&gt;&lt;wsp:rsid wsp:val=&quot;00D8116E&quot;/&gt;&lt;wsp:rsid wsp:val=&quot;00D84E5D&quot;/&gt;&lt;wsp:rsid wsp:val=&quot;00D94046&quot;/&gt;&lt;wsp:rsid wsp:val=&quot;00D94A7C&quot;/&gt;&lt;wsp:rsid wsp:val=&quot;00D95896&quot;/&gt;&lt;wsp:rsid wsp:val=&quot;00D9630A&quot;/&gt;&lt;wsp:rsid wsp:val=&quot;00DA0D62&quot;/&gt;&lt;wsp:rsid wsp:val=&quot;00DA28F5&quot;/&gt;&lt;wsp:rsid wsp:val=&quot;00DB28D3&quot;/&gt;&lt;wsp:rsid wsp:val=&quot;00DB2983&quot;/&gt;&lt;wsp:rsid wsp:val=&quot;00DB489D&quot;/&gt;&lt;wsp:rsid wsp:val=&quot;00DC06CE&quot;/&gt;&lt;wsp:rsid wsp:val=&quot;00DC1257&quot;/&gt;&lt;wsp:rsid wsp:val=&quot;00DC2D8B&quot;/&gt;&lt;wsp:rsid wsp:val=&quot;00DC367F&quot;/&gt;&lt;wsp:rsid wsp:val=&quot;00DC3DC0&quot;/&gt;&lt;wsp:rsid wsp:val=&quot;00DC4661&quot;/&gt;&lt;wsp:rsid wsp:val=&quot;00DC5B2B&quot;/&gt;&lt;wsp:rsid wsp:val=&quot;00DC5FAC&quot;/&gt;&lt;wsp:rsid wsp:val=&quot;00DD163A&quot;/&gt;&lt;wsp:rsid wsp:val=&quot;00DD1F2A&quot;/&gt;&lt;wsp:rsid wsp:val=&quot;00DD318D&quot;/&gt;&lt;wsp:rsid wsp:val=&quot;00DD6C43&quot;/&gt;&lt;wsp:rsid wsp:val=&quot;00DE1BE8&quot;/&gt;&lt;wsp:rsid wsp:val=&quot;00DE3458&quot;/&gt;&lt;wsp:rsid wsp:val=&quot;00DE4BBF&quot;/&gt;&lt;wsp:rsid wsp:val=&quot;00DE7604&quot;/&gt;&lt;wsp:rsid wsp:val=&quot;00DF2C09&quot;/&gt;&lt;wsp:rsid wsp:val=&quot;00DF2E12&quot;/&gt;&lt;wsp:rsid wsp:val=&quot;00DF514A&quot;/&gt;&lt;wsp:rsid wsp:val=&quot;00DF6690&quot;/&gt;&lt;wsp:rsid wsp:val=&quot;00DF6804&quot;/&gt;&lt;wsp:rsid wsp:val=&quot;00E02B88&quot;/&gt;&lt;wsp:rsid wsp:val=&quot;00E0358D&quot;/&gt;&lt;wsp:rsid wsp:val=&quot;00E04323&quot;/&gt;&lt;wsp:rsid wsp:val=&quot;00E070A2&quot;/&gt;&lt;wsp:rsid wsp:val=&quot;00E1068E&quot;/&gt;&lt;wsp:rsid wsp:val=&quot;00E23C39&quot;/&gt;&lt;wsp:rsid wsp:val=&quot;00E2441C&quot;/&gt;&lt;wsp:rsid wsp:val=&quot;00E24AD8&quot;/&gt;&lt;wsp:rsid wsp:val=&quot;00E2656A&quot;/&gt;&lt;wsp:rsid wsp:val=&quot;00E34FE3&quot;/&gt;&lt;wsp:rsid wsp:val=&quot;00E412D0&quot;/&gt;&lt;wsp:rsid wsp:val=&quot;00E4174A&quot;/&gt;&lt;wsp:rsid wsp:val=&quot;00E43310&quot;/&gt;&lt;wsp:rsid wsp:val=&quot;00E43B81&quot;/&gt;&lt;wsp:rsid wsp:val=&quot;00E44883&quot;/&gt;&lt;wsp:rsid wsp:val=&quot;00E52032&quot;/&gt;&lt;wsp:rsid wsp:val=&quot;00E56322&quot;/&gt;&lt;wsp:rsid wsp:val=&quot;00E56328&quot;/&gt;&lt;wsp:rsid wsp:val=&quot;00E60982&quot;/&gt;&lt;wsp:rsid wsp:val=&quot;00E62C62&quot;/&gt;&lt;wsp:rsid wsp:val=&quot;00E62F8D&quot;/&gt;&lt;wsp:rsid wsp:val=&quot;00E64141&quot;/&gt;&lt;wsp:rsid wsp:val=&quot;00E654C1&quot;/&gt;&lt;wsp:rsid wsp:val=&quot;00E65D97&quot;/&gt;&lt;wsp:rsid wsp:val=&quot;00E708AC&quot;/&gt;&lt;wsp:rsid wsp:val=&quot;00E72A5A&quot;/&gt;&lt;wsp:rsid wsp:val=&quot;00E72F5F&quot;/&gt;&lt;wsp:rsid wsp:val=&quot;00E73354&quot;/&gt;&lt;wsp:rsid wsp:val=&quot;00E829AF&quot;/&gt;&lt;wsp:rsid wsp:val=&quot;00E9242D&quot;/&gt;&lt;wsp:rsid wsp:val=&quot;00EB1450&quot;/&gt;&lt;wsp:rsid wsp:val=&quot;00EB3A77&quot;/&gt;&lt;wsp:rsid wsp:val=&quot;00EB5255&quot;/&gt;&lt;wsp:rsid wsp:val=&quot;00EB5C47&quot;/&gt;&lt;wsp:rsid wsp:val=&quot;00EC5675&quot;/&gt;&lt;wsp:rsid wsp:val=&quot;00EC5D42&quot;/&gt;&lt;wsp:rsid wsp:val=&quot;00ED0639&quot;/&gt;&lt;wsp:rsid wsp:val=&quot;00ED1959&quot;/&gt;&lt;wsp:rsid wsp:val=&quot;00EE34BF&quot;/&gt;&lt;wsp:rsid wsp:val=&quot;00EE55C7&quot;/&gt;&lt;wsp:rsid wsp:val=&quot;00EF0145&quot;/&gt;&lt;wsp:rsid wsp:val=&quot;00EF0281&quot;/&gt;&lt;wsp:rsid wsp:val=&quot;00EF2394&quot;/&gt;&lt;wsp:rsid wsp:val=&quot;00EF2586&quot;/&gt;&lt;wsp:rsid wsp:val=&quot;00EF436D&quot;/&gt;&lt;wsp:rsid wsp:val=&quot;00EF4755&quot;/&gt;&lt;wsp:rsid wsp:val=&quot;00EF7135&quot;/&gt;&lt;wsp:rsid wsp:val=&quot;00F027DB&quot;/&gt;&lt;wsp:rsid wsp:val=&quot;00F077FA&quot;/&gt;&lt;wsp:rsid wsp:val=&quot;00F105C4&quot;/&gt;&lt;wsp:rsid wsp:val=&quot;00F14A7A&quot;/&gt;&lt;wsp:rsid wsp:val=&quot;00F22985&quot;/&gt;&lt;wsp:rsid wsp:val=&quot;00F26CF8&quot;/&gt;&lt;wsp:rsid wsp:val=&quot;00F313F6&quot;/&gt;&lt;wsp:rsid wsp:val=&quot;00F3383E&quot;/&gt;&lt;wsp:rsid wsp:val=&quot;00F43EAC&quot;/&gt;&lt;wsp:rsid wsp:val=&quot;00F465A7&quot;/&gt;&lt;wsp:rsid wsp:val=&quot;00F50B7C&quot;/&gt;&lt;wsp:rsid wsp:val=&quot;00F53C06&quot;/&gt;&lt;wsp:rsid wsp:val=&quot;00F53EF2&quot;/&gt;&lt;wsp:rsid wsp:val=&quot;00F5409D&quot;/&gt;&lt;wsp:rsid wsp:val=&quot;00F54ED7&quot;/&gt;&lt;wsp:rsid wsp:val=&quot;00F550E6&quot;/&gt;&lt;wsp:rsid wsp:val=&quot;00F57E83&quot;/&gt;&lt;wsp:rsid wsp:val=&quot;00F622CB&quot;/&gt;&lt;wsp:rsid wsp:val=&quot;00F679B4&quot;/&gt;&lt;wsp:rsid wsp:val=&quot;00F74345&quot;/&gt;&lt;wsp:rsid wsp:val=&quot;00F8014E&quot;/&gt;&lt;wsp:rsid wsp:val=&quot;00F80A0A&quot;/&gt;&lt;wsp:rsid wsp:val=&quot;00F82B19&quot;/&gt;&lt;wsp:rsid wsp:val=&quot;00F84754&quot;/&gt;&lt;wsp:rsid wsp:val=&quot;00F9212D&quot;/&gt;&lt;wsp:rsid wsp:val=&quot;00F965DA&quot;/&gt;&lt;wsp:rsid wsp:val=&quot;00FA406A&quot;/&gt;&lt;wsp:rsid wsp:val=&quot;00FB503A&quot;/&gt;&lt;wsp:rsid wsp:val=&quot;00FB516C&quot;/&gt;&lt;wsp:rsid wsp:val=&quot;00FC4A11&quot;/&gt;&lt;wsp:rsid wsp:val=&quot;00FC53BD&quot;/&gt;&lt;wsp:rsid wsp:val=&quot;00FD0236&quot;/&gt;&lt;wsp:rsid wsp:val=&quot;00FD116B&quot;/&gt;&lt;wsp:rsid wsp:val=&quot;00FD18F4&quot;/&gt;&lt;wsp:rsid wsp:val=&quot;00FD322F&quot;/&gt;&lt;wsp:rsid wsp:val=&quot;00FD54DB&quot;/&gt;&lt;wsp:rsid wsp:val=&quot;00FD5790&quot;/&gt;&lt;wsp:rsid wsp:val=&quot;00FD619F&quot;/&gt;&lt;wsp:rsid wsp:val=&quot;00FE43B9&quot;/&gt;&lt;wsp:rsid wsp:val=&quot;00FF495D&quot;/&gt;&lt;wsp:rsid wsp:val=&quot;00FF7B0B&quot;/&gt;&lt;wsp:rsid wsp:val=&quot;011454F9&quot;/&gt;&lt;wsp:rsid wsp:val=&quot;0122177B&quot;/&gt;&lt;wsp:rsid wsp:val=&quot;01290F7E&quot;/&gt;&lt;wsp:rsid wsp:val=&quot;012D5AD8&quot;/&gt;&lt;wsp:rsid wsp:val=&quot;015D1E09&quot;/&gt;&lt;wsp:rsid wsp:val=&quot;016C4C19&quot;/&gt;&lt;wsp:rsid wsp:val=&quot;01D512FE&quot;/&gt;&lt;wsp:rsid wsp:val=&quot;021C461D&quot;/&gt;&lt;wsp:rsid wsp:val=&quot;02316736&quot;/&gt;&lt;wsp:rsid wsp:val=&quot;02697903&quot;/&gt;&lt;wsp:rsid wsp:val=&quot;02743AD7&quot;/&gt;&lt;wsp:rsid wsp:val=&quot;02774E21&quot;/&gt;&lt;wsp:rsid wsp:val=&quot;02C73A9D&quot;/&gt;&lt;wsp:rsid wsp:val=&quot;02DF3F93&quot;/&gt;&lt;wsp:rsid wsp:val=&quot;02EF0302&quot;/&gt;&lt;wsp:rsid wsp:val=&quot;02F42AF6&quot;/&gt;&lt;wsp:rsid wsp:val=&quot;02F96569&quot;/&gt;&lt;wsp:rsid wsp:val=&quot;032A4004&quot;/&gt;&lt;wsp:rsid wsp:val=&quot;03343439&quot;/&gt;&lt;wsp:rsid wsp:val=&quot;03917223&quot;/&gt;&lt;wsp:rsid wsp:val=&quot;03924037&quot;/&gt;&lt;wsp:rsid wsp:val=&quot;03E4090F&quot;/&gt;&lt;wsp:rsid wsp:val=&quot;03EA7B21&quot;/&gt;&lt;wsp:rsid wsp:val=&quot;041B75AD&quot;/&gt;&lt;wsp:rsid wsp:val=&quot;041D3E29&quot;/&gt;&lt;wsp:rsid wsp:val=&quot;04AE7167&quot;/&gt;&lt;wsp:rsid wsp:val=&quot;04B35764&quot;/&gt;&lt;wsp:rsid wsp:val=&quot;04BE5847&quot;/&gt;&lt;wsp:rsid wsp:val=&quot;04C06A59&quot;/&gt;&lt;wsp:rsid wsp:val=&quot;04C7345C&quot;/&gt;&lt;wsp:rsid wsp:val=&quot;050425F9&quot;/&gt;&lt;wsp:rsid wsp:val=&quot;05065C62&quot;/&gt;&lt;wsp:rsid wsp:val=&quot;05086887&quot;/&gt;&lt;wsp:rsid wsp:val=&quot;052A6349&quot;/&gt;&lt;wsp:rsid wsp:val=&quot;052D4FD8&quot;/&gt;&lt;wsp:rsid wsp:val=&quot;053C0EA0&quot;/&gt;&lt;wsp:rsid wsp:val=&quot;05585C3D&quot;/&gt;&lt;wsp:rsid wsp:val=&quot;05692BD6&quot;/&gt;&lt;wsp:rsid wsp:val=&quot;05A57C50&quot;/&gt;&lt;wsp:rsid wsp:val=&quot;05DC2619&quot;/&gt;&lt;wsp:rsid wsp:val=&quot;05EB3AE6&quot;/&gt;&lt;wsp:rsid wsp:val=&quot;05F83EAE&quot;/&gt;&lt;wsp:rsid wsp:val=&quot;060D1384&quot;/&gt;&lt;wsp:rsid wsp:val=&quot;063B1344&quot;/&gt;&lt;wsp:rsid wsp:val=&quot;063E7D85&quot;/&gt;&lt;wsp:rsid wsp:val=&quot;06B45BE4&quot;/&gt;&lt;wsp:rsid wsp:val=&quot;06C04DE4&quot;/&gt;&lt;wsp:rsid wsp:val=&quot;06CE49C9&quot;/&gt;&lt;wsp:rsid wsp:val=&quot;07293586&quot;/&gt;&lt;wsp:rsid wsp:val=&quot;07295285&quot;/&gt;&lt;wsp:rsid wsp:val=&quot;07366D47&quot;/&gt;&lt;wsp:rsid wsp:val=&quot;07457CCE&quot;/&gt;&lt;wsp:rsid wsp:val=&quot;07636392&quot;/&gt;&lt;wsp:rsid wsp:val=&quot;07770C56&quot;/&gt;&lt;wsp:rsid wsp:val=&quot;077A6DC4&quot;/&gt;&lt;wsp:rsid wsp:val=&quot;07CD6198&quot;/&gt;&lt;wsp:rsid wsp:val=&quot;07F34BE0&quot;/&gt;&lt;wsp:rsid wsp:val=&quot;081125CE&quot;/&gt;&lt;wsp:rsid wsp:val=&quot;081D1500&quot;/&gt;&lt;wsp:rsid wsp:val=&quot;08246246&quot;/&gt;&lt;wsp:rsid wsp:val=&quot;083F1958&quot;/&gt;&lt;wsp:rsid wsp:val=&quot;08820311&quot;/&gt;&lt;wsp:rsid wsp:val=&quot;08940749&quot;/&gt;&lt;wsp:rsid wsp:val=&quot;08EB5F01&quot;/&gt;&lt;wsp:rsid wsp:val=&quot;08F22476&quot;/&gt;&lt;wsp:rsid wsp:val=&quot;08F22726&quot;/&gt;&lt;wsp:rsid wsp:val=&quot;092217DD&quot;/&gt;&lt;wsp:rsid wsp:val=&quot;093A7294&quot;/&gt;&lt;wsp:rsid wsp:val=&quot;0942299C&quot;/&gt;&lt;wsp:rsid wsp:val=&quot;09C53BBD&quot;/&gt;&lt;wsp:rsid wsp:val=&quot;09CD1774&quot;/&gt;&lt;wsp:rsid wsp:val=&quot;0A15216D&quot;/&gt;&lt;wsp:rsid wsp:val=&quot;0A263993&quot;/&gt;&lt;wsp:rsid wsp:val=&quot;0A2D3AC2&quot;/&gt;&lt;wsp:rsid wsp:val=&quot;0A3470C9&quot;/&gt;&lt;wsp:rsid wsp:val=&quot;0A4B711F&quot;/&gt;&lt;wsp:rsid wsp:val=&quot;0A556D5C&quot;/&gt;&lt;wsp:rsid wsp:val=&quot;0A5A582A&quot;/&gt;&lt;wsp:rsid wsp:val=&quot;0A723C9C&quot;/&gt;&lt;wsp:rsid wsp:val=&quot;0AA755DF&quot;/&gt;&lt;wsp:rsid wsp:val=&quot;0AAF064A&quot;/&gt;&lt;wsp:rsid wsp:val=&quot;0ACF06BA&quot;/&gt;&lt;wsp:rsid wsp:val=&quot;0AEC69F3&quot;/&gt;&lt;wsp:rsid wsp:val=&quot;0B022F0D&quot;/&gt;&lt;wsp:rsid wsp:val=&quot;0B120D44&quot;/&gt;&lt;wsp:rsid wsp:val=&quot;0B146C26&quot;/&gt;&lt;wsp:rsid wsp:val=&quot;0B264B2A&quot;/&gt;&lt;wsp:rsid wsp:val=&quot;0B586211&quot;/&gt;&lt;wsp:rsid wsp:val=&quot;0BB60AD4&quot;/&gt;&lt;wsp:rsid wsp:val=&quot;0BC02EB0&quot;/&gt;&lt;wsp:rsid wsp:val=&quot;0BD27BF6&quot;/&gt;&lt;wsp:rsid wsp:val=&quot;0BDA5200&quot;/&gt;&lt;wsp:rsid wsp:val=&quot;0C3B3C7D&quot;/&gt;&lt;wsp:rsid wsp:val=&quot;0C6246E6&quot;/&gt;&lt;wsp:rsid wsp:val=&quot;0C6422CB&quot;/&gt;&lt;wsp:rsid wsp:val=&quot;0C790683&quot;/&gt;&lt;wsp:rsid wsp:val=&quot;0CA8688B&quot;/&gt;&lt;wsp:rsid wsp:val=&quot;0CAA2036&quot;/&gt;&lt;wsp:rsid wsp:val=&quot;0CAB2EAE&quot;/&gt;&lt;wsp:rsid wsp:val=&quot;0CCB061E&quot;/&gt;&lt;wsp:rsid wsp:val=&quot;0CD6602D&quot;/&gt;&lt;wsp:rsid wsp:val=&quot;0CEF6424&quot;/&gt;&lt;wsp:rsid wsp:val=&quot;0D2565E2&quot;/&gt;&lt;wsp:rsid wsp:val=&quot;0D547385&quot;/&gt;&lt;wsp:rsid wsp:val=&quot;0D621C7D&quot;/&gt;&lt;wsp:rsid wsp:val=&quot;0DB564F7&quot;/&gt;&lt;wsp:rsid wsp:val=&quot;0DFD4B76&quot;/&gt;&lt;wsp:rsid wsp:val=&quot;0E075839&quot;/&gt;&lt;wsp:rsid wsp:val=&quot;0E0F477D&quot;/&gt;&lt;wsp:rsid wsp:val=&quot;0E561104&quot;/&gt;&lt;wsp:rsid wsp:val=&quot;0E73034D&quot;/&gt;&lt;wsp:rsid wsp:val=&quot;0EA67B00&quot;/&gt;&lt;wsp:rsid wsp:val=&quot;0EBD2634&quot;/&gt;&lt;wsp:rsid wsp:val=&quot;0EC8676A&quot;/&gt;&lt;wsp:rsid wsp:val=&quot;0F103591&quot;/&gt;&lt;wsp:rsid wsp:val=&quot;0F13775A&quot;/&gt;&lt;wsp:rsid wsp:val=&quot;0F332577&quot;/&gt;&lt;wsp:rsid wsp:val=&quot;0F3364D0&quot;/&gt;&lt;wsp:rsid wsp:val=&quot;0F362CB2&quot;/&gt;&lt;wsp:rsid wsp:val=&quot;0F5F45FE&quot;/&gt;&lt;wsp:rsid wsp:val=&quot;0F600F7E&quot;/&gt;&lt;wsp:rsid wsp:val=&quot;0F803C12&quot;/&gt;&lt;wsp:rsid wsp:val=&quot;0F8451AF&quot;/&gt;&lt;wsp:rsid wsp:val=&quot;0F9A112B&quot;/&gt;&lt;wsp:rsid wsp:val=&quot;0FA13A21&quot;/&gt;&lt;wsp:rsid wsp:val=&quot;0FA4036D&quot;/&gt;&lt;wsp:rsid wsp:val=&quot;0FAC682D&quot;/&gt;&lt;wsp:rsid wsp:val=&quot;0FF74BED&quot;/&gt;&lt;wsp:rsid wsp:val=&quot;10166590&quot;/&gt;&lt;wsp:rsid wsp:val=&quot;10166E2D&quot;/&gt;&lt;wsp:rsid wsp:val=&quot;103A155A&quot;/&gt;&lt;wsp:rsid wsp:val=&quot;10534B8C&quot;/&gt;&lt;wsp:rsid wsp:val=&quot;106D2F64&quot;/&gt;&lt;wsp:rsid wsp:val=&quot;108400D5&quot;/&gt;&lt;wsp:rsid wsp:val=&quot;10854A12&quot;/&gt;&lt;wsp:rsid wsp:val=&quot;10892FC3&quot;/&gt;&lt;wsp:rsid wsp:val=&quot;108931C0&quot;/&gt;&lt;wsp:rsid wsp:val=&quot;10913E2E&quot;/&gt;&lt;wsp:rsid wsp:val=&quot;10B63710&quot;/&gt;&lt;wsp:rsid wsp:val=&quot;10B7799D&quot;/&gt;&lt;wsp:rsid wsp:val=&quot;10BA3969&quot;/&gt;&lt;wsp:rsid wsp:val=&quot;10D06513&quot;/&gt;&lt;wsp:rsid wsp:val=&quot;10D41A87&quot;/&gt;&lt;wsp:rsid wsp:val=&quot;10DB5B8E&quot;/&gt;&lt;wsp:rsid wsp:val=&quot;10EE637E&quot;/&gt;&lt;wsp:rsid wsp:val=&quot;10F10820&quot;/&gt;&lt;wsp:rsid wsp:val=&quot;111239FE&quot;/&gt;&lt;wsp:rsid wsp:val=&quot;111C2F7A&quot;/&gt;&lt;wsp:rsid wsp:val=&quot;113742F5&quot;/&gt;&lt;wsp:rsid wsp:val=&quot;115033DA&quot;/&gt;&lt;wsp:rsid wsp:val=&quot;11587961&quot;/&gt;&lt;wsp:rsid wsp:val=&quot;11665CA1&quot;/&gt;&lt;wsp:rsid wsp:val=&quot;11860CB9&quot;/&gt;&lt;wsp:rsid wsp:val=&quot;1186606E&quot;/&gt;&lt;wsp:rsid wsp:val=&quot;1198426E&quot;/&gt;&lt;wsp:rsid wsp:val=&quot;11AC4230&quot;/&gt;&lt;wsp:rsid wsp:val=&quot;11AD6F74&quot;/&gt;&lt;wsp:rsid wsp:val=&quot;11BE0CED&quot;/&gt;&lt;wsp:rsid wsp:val=&quot;11C23998&quot;/&gt;&lt;wsp:rsid wsp:val=&quot;11DA1AEB&quot;/&gt;&lt;wsp:rsid wsp:val=&quot;11EC7D9E&quot;/&gt;&lt;wsp:rsid wsp:val=&quot;1224317D&quot;/&gt;&lt;wsp:rsid wsp:val=&quot;12392222&quot;/&gt;&lt;wsp:rsid wsp:val=&quot;123F2702&quot;/&gt;&lt;wsp:rsid wsp:val=&quot;12444F86&quot;/&gt;&lt;wsp:rsid wsp:val=&quot;1286119F&quot;/&gt;&lt;wsp:rsid wsp:val=&quot;129338CC&quot;/&gt;&lt;wsp:rsid wsp:val=&quot;129E0A7C&quot;/&gt;&lt;wsp:rsid wsp:val=&quot;12A23F42&quot;/&gt;&lt;wsp:rsid wsp:val=&quot;12B94687&quot;/&gt;&lt;wsp:rsid wsp:val=&quot;12E144DA&quot;/&gt;&lt;wsp:rsid wsp:val=&quot;13787D05&quot;/&gt;&lt;wsp:rsid wsp:val=&quot;13951726&quot;/&gt;&lt;wsp:rsid wsp:val=&quot;13A059FF&quot;/&gt;&lt;wsp:rsid wsp:val=&quot;13FF3510&quot;/&gt;&lt;wsp:rsid wsp:val=&quot;141A646D&quot;/&gt;&lt;wsp:rsid wsp:val=&quot;142F0B3A&quot;/&gt;&lt;wsp:rsid wsp:val=&quot;1436303E&quot;/&gt;&lt;wsp:rsid wsp:val=&quot;14396509&quot;/&gt;&lt;wsp:rsid wsp:val=&quot;144C19A0&quot;/&gt;&lt;wsp:rsid wsp:val=&quot;146E0E9E&quot;/&gt;&lt;wsp:rsid wsp:val=&quot;14C3594F&quot;/&gt;&lt;wsp:rsid wsp:val=&quot;14DD2C3C&quot;/&gt;&lt;wsp:rsid wsp:val=&quot;14F344C7&quot;/&gt;&lt;wsp:rsid wsp:val=&quot;150C77BF&quot;/&gt;&lt;wsp:rsid wsp:val=&quot;150F34DF&quot;/&gt;&lt;wsp:rsid wsp:val=&quot;15200AF7&quot;/&gt;&lt;wsp:rsid wsp:val=&quot;15810F82&quot;/&gt;&lt;wsp:rsid wsp:val=&quot;158B6093&quot;/&gt;&lt;wsp:rsid wsp:val=&quot;159B2FD2&quot;/&gt;&lt;wsp:rsid wsp:val=&quot;15C51650&quot;/&gt;&lt;wsp:rsid wsp:val=&quot;15C91C45&quot;/&gt;&lt;wsp:rsid wsp:val=&quot;16087E1D&quot;/&gt;&lt;wsp:rsid wsp:val=&quot;161673DF&quot;/&gt;&lt;wsp:rsid wsp:val=&quot;162360E5&quot;/&gt;&lt;wsp:rsid wsp:val=&quot;1637336C&quot;/&gt;&lt;wsp:rsid wsp:val=&quot;164A03CA&quot;/&gt;&lt;wsp:rsid wsp:val=&quot;164D4109&quot;/&gt;&lt;wsp:rsid wsp:val=&quot;169B49F3&quot;/&gt;&lt;wsp:rsid wsp:val=&quot;16BB0F29&quot;/&gt;&lt;wsp:rsid wsp:val=&quot;16BE3E40&quot;/&gt;&lt;wsp:rsid wsp:val=&quot;16CD64BD&quot;/&gt;&lt;wsp:rsid wsp:val=&quot;16DB368E&quot;/&gt;&lt;wsp:rsid wsp:val=&quot;16DB631A&quot;/&gt;&lt;wsp:rsid wsp:val=&quot;16DC78BC&quot;/&gt;&lt;wsp:rsid wsp:val=&quot;1736338A&quot;/&gt;&lt;wsp:rsid wsp:val=&quot;17463338&quot;/&gt;&lt;wsp:rsid wsp:val=&quot;17701D14&quot;/&gt;&lt;wsp:rsid wsp:val=&quot;17735226&quot;/&gt;&lt;wsp:rsid wsp:val=&quot;178F0015&quot;/&gt;&lt;wsp:rsid wsp:val=&quot;178F21FF&quot;/&gt;&lt;wsp:rsid wsp:val=&quot;17E41D2C&quot;/&gt;&lt;wsp:rsid wsp:val=&quot;17E54A2F&quot;/&gt;&lt;wsp:rsid wsp:val=&quot;181F2BD6&quot;/&gt;&lt;wsp:rsid wsp:val=&quot;186355BB&quot;/&gt;&lt;wsp:rsid wsp:val=&quot;189F624C&quot;/&gt;&lt;wsp:rsid wsp:val=&quot;18AB41E7&quot;/&gt;&lt;wsp:rsid wsp:val=&quot;18AC19C5&quot;/&gt;&lt;wsp:rsid wsp:val=&quot;18F76176&quot;/&gt;&lt;wsp:rsid wsp:val=&quot;192C5483&quot;/&gt;&lt;wsp:rsid wsp:val=&quot;19573E06&quot;/&gt;&lt;wsp:rsid wsp:val=&quot;196460D6&quot;/&gt;&lt;wsp:rsid wsp:val=&quot;19651AD8&quot;/&gt;&lt;wsp:rsid wsp:val=&quot;1968538D&quot;/&gt;&lt;wsp:rsid wsp:val=&quot;198620D6&quot;/&gt;&lt;wsp:rsid wsp:val=&quot;19B17E87&quot;/&gt;&lt;wsp:rsid wsp:val=&quot;19C226EB&quot;/&gt;&lt;wsp:rsid wsp:val=&quot;19D7417A&quot;/&gt;&lt;wsp:rsid wsp:val=&quot;1A1C66C0&quot;/&gt;&lt;wsp:rsid wsp:val=&quot;1A42393B&quot;/&gt;&lt;wsp:rsid wsp:val=&quot;1A466C59&quot;/&gt;&lt;wsp:rsid wsp:val=&quot;1A507A77&quot;/&gt;&lt;wsp:rsid wsp:val=&quot;1A5910F0&quot;/&gt;&lt;wsp:rsid wsp:val=&quot;1AAD45DE&quot;/&gt;&lt;wsp:rsid wsp:val=&quot;1ACE6341&quot;/&gt;&lt;wsp:rsid wsp:val=&quot;1AE14E8A&quot;/&gt;&lt;wsp:rsid wsp:val=&quot;1AE43477&quot;/&gt;&lt;wsp:rsid wsp:val=&quot;1B044BEA&quot;/&gt;&lt;wsp:rsid wsp:val=&quot;1B046F80&quot;/&gt;&lt;wsp:rsid wsp:val=&quot;1B3267B5&quot;/&gt;&lt;wsp:rsid wsp:val=&quot;1B352BF3&quot;/&gt;&lt;wsp:rsid wsp:val=&quot;1B40161D&quot;/&gt;&lt;wsp:rsid wsp:val=&quot;1B441859&quot;/&gt;&lt;wsp:rsid wsp:val=&quot;1B454EAD&quot;/&gt;&lt;wsp:rsid wsp:val=&quot;1B474F18&quot;/&gt;&lt;wsp:rsid wsp:val=&quot;1B644B29&quot;/&gt;&lt;wsp:rsid wsp:val=&quot;1B6606B1&quot;/&gt;&lt;wsp:rsid wsp:val=&quot;1B674700&quot;/&gt;&lt;wsp:rsid wsp:val=&quot;1B8F6DD1&quot;/&gt;&lt;wsp:rsid wsp:val=&quot;1B9978FB&quot;/&gt;&lt;wsp:rsid wsp:val=&quot;1B9B581B&quot;/&gt;&lt;wsp:rsid wsp:val=&quot;1BAE628C&quot;/&gt;&lt;wsp:rsid wsp:val=&quot;1BDD16FA&quot;/&gt;&lt;wsp:rsid wsp:val=&quot;1C054A99&quot;/&gt;&lt;wsp:rsid wsp:val=&quot;1C057B80&quot;/&gt;&lt;wsp:rsid wsp:val=&quot;1C2B5B3D&quot;/&gt;&lt;wsp:rsid wsp:val=&quot;1C475FFF&quot;/&gt;&lt;wsp:rsid wsp:val=&quot;1C5E7925&quot;/&gt;&lt;wsp:rsid wsp:val=&quot;1C6F78E3&quot;/&gt;&lt;wsp:rsid wsp:val=&quot;1C803289&quot;/&gt;&lt;wsp:rsid wsp:val=&quot;1CA16166&quot;/&gt;&lt;wsp:rsid wsp:val=&quot;1CF366E6&quot;/&gt;&lt;wsp:rsid wsp:val=&quot;1CFD070F&quot;/&gt;&lt;wsp:rsid wsp:val=&quot;1D5F6196&quot;/&gt;&lt;wsp:rsid wsp:val=&quot;1D6132A5&quot;/&gt;&lt;wsp:rsid wsp:val=&quot;1D8E56D5&quot;/&gt;&lt;wsp:rsid wsp:val=&quot;1DFB31A4&quot;/&gt;&lt;wsp:rsid wsp:val=&quot;1E0D6277&quot;/&gt;&lt;wsp:rsid wsp:val=&quot;1E576DBD&quot;/&gt;&lt;wsp:rsid wsp:val=&quot;1E7A43DA&quot;/&gt;&lt;wsp:rsid wsp:val=&quot;1E850517&quot;/&gt;&lt;wsp:rsid wsp:val=&quot;1F5338E4&quot;/&gt;&lt;wsp:rsid wsp:val=&quot;1F6257E5&quot;/&gt;&lt;wsp:rsid wsp:val=&quot;1F625C1D&quot;/&gt;&lt;wsp:rsid wsp:val=&quot;1F9821A0&quot;/&gt;&lt;wsp:rsid wsp:val=&quot;1FE7539E&quot;/&gt;&lt;wsp:rsid wsp:val=&quot;20391D58&quot;/&gt;&lt;wsp:rsid wsp:val=&quot;2041182F&quot;/&gt;&lt;wsp:rsid wsp:val=&quot;20552D71&quot;/&gt;&lt;wsp:rsid wsp:val=&quot;20671BE0&quot;/&gt;&lt;wsp:rsid wsp:val=&quot;20673FE1&quot;/&gt;&lt;wsp:rsid wsp:val=&quot;209158F8&quot;/&gt;&lt;wsp:rsid wsp:val=&quot;20963CB8&quot;/&gt;&lt;wsp:rsid wsp:val=&quot;20A81A1B&quot;/&gt;&lt;wsp:rsid wsp:val=&quot;20B07FB6&quot;/&gt;&lt;wsp:rsid wsp:val=&quot;20B646FB&quot;/&gt;&lt;wsp:rsid wsp:val=&quot;20EA6499&quot;/&gt;&lt;wsp:rsid wsp:val=&quot;20F01054&quot;/&gt;&lt;wsp:rsid wsp:val=&quot;20FC141B&quot;/&gt;&lt;wsp:rsid wsp:val=&quot;20FE1B70&quot;/&gt;&lt;wsp:rsid wsp:val=&quot;210F5164&quot;/&gt;&lt;wsp:rsid wsp:val=&quot;211F30A1&quot;/&gt;&lt;wsp:rsid wsp:val=&quot;212450B6&quot;/&gt;&lt;wsp:rsid wsp:val=&quot;21321CA7&quot;/&gt;&lt;wsp:rsid wsp:val=&quot;213B74B1&quot;/&gt;&lt;wsp:rsid wsp:val=&quot;21484562&quot;/&gt;&lt;wsp:rsid wsp:val=&quot;214B1912&quot;/&gt;&lt;wsp:rsid wsp:val=&quot;2152264B&quot;/&gt;&lt;wsp:rsid wsp:val=&quot;215A2310&quot;/&gt;&lt;wsp:rsid wsp:val=&quot;216702D2&quot;/&gt;&lt;wsp:rsid wsp:val=&quot;21701179&quot;/&gt;&lt;wsp:rsid wsp:val=&quot;21992D50&quot;/&gt;&lt;wsp:rsid wsp:val=&quot;21AE6B19&quot;/&gt;&lt;wsp:rsid wsp:val=&quot;21B76F07&quot;/&gt;&lt;wsp:rsid wsp:val=&quot;21BF5E84&quot;/&gt;&lt;wsp:rsid wsp:val=&quot;21D50D70&quot;/&gt;&lt;wsp:rsid wsp:val=&quot;21DE318A&quot;/&gt;&lt;wsp:rsid wsp:val=&quot;21EF5B80&quot;/&gt;&lt;wsp:rsid wsp:val=&quot;21F435F1&quot;/&gt;&lt;wsp:rsid wsp:val=&quot;21F654C7&quot;/&gt;&lt;wsp:rsid wsp:val=&quot;21FF51AF&quot;/&gt;&lt;wsp:rsid wsp:val=&quot;221F3B4E&quot;/&gt;&lt;wsp:rsid wsp:val=&quot;222379D9&quot;/&gt;&lt;wsp:rsid wsp:val=&quot;2243776C&quot;/&gt;&lt;wsp:rsid wsp:val=&quot;22576990&quot;/&gt;&lt;wsp:rsid wsp:val=&quot;22787A45&quot;/&gt;&lt;wsp:rsid wsp:val=&quot;227E6396&quot;/&gt;&lt;wsp:rsid wsp:val=&quot;22856B7F&quot;/&gt;&lt;wsp:rsid wsp:val=&quot;229C4C96&quot;/&gt;&lt;wsp:rsid wsp:val=&quot;22CF7EE0&quot;/&gt;&lt;wsp:rsid wsp:val=&quot;22DD5403&quot;/&gt;&lt;wsp:rsid wsp:val=&quot;22F2739F&quot;/&gt;&lt;wsp:rsid wsp:val=&quot;22F47480&quot;/&gt;&lt;wsp:rsid wsp:val=&quot;22F8223D&quot;/&gt;&lt;wsp:rsid wsp:val=&quot;230C7555&quot;/&gt;&lt;wsp:rsid wsp:val=&quot;234A1CAB&quot;/&gt;&lt;wsp:rsid wsp:val=&quot;235D0A6A&quot;/&gt;&lt;wsp:rsid wsp:val=&quot;235D3F1A&quot;/&gt;&lt;wsp:rsid wsp:val=&quot;236E24FF&quot;/&gt;&lt;wsp:rsid wsp:val=&quot;239B0C2C&quot;/&gt;&lt;wsp:rsid wsp:val=&quot;23DA41A0&quot;/&gt;&lt;wsp:rsid wsp:val=&quot;23DE1C48&quot;/&gt;&lt;wsp:rsid wsp:val=&quot;240210CD&quot;/&gt;&lt;wsp:rsid wsp:val=&quot;24110525&quot;/&gt;&lt;wsp:rsid wsp:val=&quot;241F6274&quot;/&gt;&lt;wsp:rsid wsp:val=&quot;244250D8&quot;/&gt;&lt;wsp:rsid wsp:val=&quot;24437762&quot;/&gt;&lt;wsp:rsid wsp:val=&quot;24BC54EC&quot;/&gt;&lt;wsp:rsid wsp:val=&quot;24BF08CF&quot;/&gt;&lt;wsp:rsid wsp:val=&quot;24BF09F7&quot;/&gt;&lt;wsp:rsid wsp:val=&quot;24D14F23&quot;/&gt;&lt;wsp:rsid wsp:val=&quot;24DD3DBB&quot;/&gt;&lt;wsp:rsid wsp:val=&quot;25160215&quot;/&gt;&lt;wsp:rsid wsp:val=&quot;252D53FE&quot;/&gt;&lt;wsp:rsid wsp:val=&quot;253802A7&quot;/&gt;&lt;wsp:rsid wsp:val=&quot;25671663&quot;/&gt;&lt;wsp:rsid wsp:val=&quot;256E2DE4&quot;/&gt;&lt;wsp:rsid wsp:val=&quot;25922B3B&quot;/&gt;&lt;wsp:rsid wsp:val=&quot;25EC2D81&quot;/&gt;&lt;wsp:rsid wsp:val=&quot;25F55AE2&quot;/&gt;&lt;wsp:rsid wsp:val=&quot;25F7019A&quot;/&gt;&lt;wsp:rsid wsp:val=&quot;261037AD&quot;/&gt;&lt;wsp:rsid wsp:val=&quot;26281C0E&quot;/&gt;&lt;wsp:rsid wsp:val=&quot;262F74C8&quot;/&gt;&lt;wsp:rsid wsp:val=&quot;264B3EA7&quot;/&gt;&lt;wsp:rsid wsp:val=&quot;265155C2&quot;/&gt;&lt;wsp:rsid wsp:val=&quot;26545AD0&quot;/&gt;&lt;wsp:rsid wsp:val=&quot;265461A8&quot;/&gt;&lt;wsp:rsid wsp:val=&quot;265533F3&quot;/&gt;&lt;wsp:rsid wsp:val=&quot;265852B8&quot;/&gt;&lt;wsp:rsid wsp:val=&quot;265F10EB&quot;/&gt;&lt;wsp:rsid wsp:val=&quot;26607D23&quot;/&gt;&lt;wsp:rsid wsp:val=&quot;267329ED&quot;/&gt;&lt;wsp:rsid wsp:val=&quot;26797437&quot;/&gt;&lt;wsp:rsid wsp:val=&quot;268A0AE8&quot;/&gt;&lt;wsp:rsid wsp:val=&quot;2697590D&quot;/&gt;&lt;wsp:rsid wsp:val=&quot;269A744F&quot;/&gt;&lt;wsp:rsid wsp:val=&quot;26E35F4C&quot;/&gt;&lt;wsp:rsid wsp:val=&quot;27186AFB&quot;/&gt;&lt;wsp:rsid wsp:val=&quot;27266DB6&quot;/&gt;&lt;wsp:rsid wsp:val=&quot;27357EB0&quot;/&gt;&lt;wsp:rsid wsp:val=&quot;27432A12&quot;/&gt;&lt;wsp:rsid wsp:val=&quot;274D72B9&quot;/&gt;&lt;wsp:rsid wsp:val=&quot;276758B1&quot;/&gt;&lt;wsp:rsid wsp:val=&quot;277057A2&quot;/&gt;&lt;wsp:rsid wsp:val=&quot;2798123C&quot;/&gt;&lt;wsp:rsid wsp:val=&quot;27C668CE&quot;/&gt;&lt;wsp:rsid wsp:val=&quot;27E36AF0&quot;/&gt;&lt;wsp:rsid wsp:val=&quot;27FA55BF&quot;/&gt;&lt;wsp:rsid wsp:val=&quot;280727BD&quot;/&gt;&lt;wsp:rsid wsp:val=&quot;28572EEE&quot;/&gt;&lt;wsp:rsid wsp:val=&quot;28786E71&quot;/&gt;&lt;wsp:rsid wsp:val=&quot;288E72FD&quot;/&gt;&lt;wsp:rsid wsp:val=&quot;28AA4288&quot;/&gt;&lt;wsp:rsid wsp:val=&quot;28B248E6&quot;/&gt;&lt;wsp:rsid wsp:val=&quot;28B34848&quot;/&gt;&lt;wsp:rsid wsp:val=&quot;28CB21A6&quot;/&gt;&lt;wsp:rsid wsp:val=&quot;28CF7791&quot;/&gt;&lt;wsp:rsid wsp:val=&quot;28DF3423&quot;/&gt;&lt;wsp:rsid wsp:val=&quot;29206EB8&quot;/&gt;&lt;wsp:rsid wsp:val=&quot;29595666&quot;/&gt;&lt;wsp:rsid wsp:val=&quot;296E51A9&quot;/&gt;&lt;wsp:rsid wsp:val=&quot;29874881&quot;/&gt;&lt;wsp:rsid wsp:val=&quot;299A0655&quot;/&gt;&lt;wsp:rsid wsp:val=&quot;299F1AF2&quot;/&gt;&lt;wsp:rsid wsp:val=&quot;29A82239&quot;/&gt;&lt;wsp:rsid wsp:val=&quot;29A96022&quot;/&gt;&lt;wsp:rsid wsp:val=&quot;29E325E0&quot;/&gt;&lt;wsp:rsid wsp:val=&quot;2A31015B&quot;/&gt;&lt;wsp:rsid wsp:val=&quot;2A36793E&quot;/&gt;&lt;wsp:rsid wsp:val=&quot;2A452503&quot;/&gt;&lt;wsp:rsid wsp:val=&quot;2A4F5977&quot;/&gt;&lt;wsp:rsid wsp:val=&quot;2A843EA5&quot;/&gt;&lt;wsp:rsid wsp:val=&quot;2A8C4129&quot;/&gt;&lt;wsp:rsid wsp:val=&quot;2A94692E&quot;/&gt;&lt;wsp:rsid wsp:val=&quot;2AB178D9&quot;/&gt;&lt;wsp:rsid wsp:val=&quot;2AD5516A&quot;/&gt;&lt;wsp:rsid wsp:val=&quot;2B074494&quot;/&gt;&lt;wsp:rsid wsp:val=&quot;2B1C68BF&quot;/&gt;&lt;wsp:rsid wsp:val=&quot;2B230554&quot;/&gt;&lt;wsp:rsid wsp:val=&quot;2B515B2E&quot;/&gt;&lt;wsp:rsid wsp:val=&quot;2B66126F&quot;/&gt;&lt;wsp:rsid wsp:val=&quot;2B666C99&quot;/&gt;&lt;wsp:rsid wsp:val=&quot;2B71568F&quot;/&gt;&lt;wsp:rsid wsp:val=&quot;2BA936A8&quot;/&gt;&lt;wsp:rsid wsp:val=&quot;2BAC61D6&quot;/&gt;&lt;wsp:rsid wsp:val=&quot;2BBC45CA&quot;/&gt;&lt;wsp:rsid wsp:val=&quot;2BFD0CF5&quot;/&gt;&lt;wsp:rsid wsp:val=&quot;2C18387F&quot;/&gt;&lt;wsp:rsid wsp:val=&quot;2C2345A6&quot;/&gt;&lt;wsp:rsid wsp:val=&quot;2C315A5A&quot;/&gt;&lt;wsp:rsid wsp:val=&quot;2C3234A5&quot;/&gt;&lt;wsp:rsid wsp:val=&quot;2C346697&quot;/&gt;&lt;wsp:rsid wsp:val=&quot;2C396033&quot;/&gt;&lt;wsp:rsid wsp:val=&quot;2C4B1C25&quot;/&gt;&lt;wsp:rsid wsp:val=&quot;2C6606F6&quot;/&gt;&lt;wsp:rsid wsp:val=&quot;2C6B7DB9&quot;/&gt;&lt;wsp:rsid wsp:val=&quot;2C6E4D4E&quot;/&gt;&lt;wsp:rsid wsp:val=&quot;2CDA0223&quot;/&gt;&lt;wsp:rsid wsp:val=&quot;2D2F0D30&quot;/&gt;&lt;wsp:rsid wsp:val=&quot;2D446F7E&quot;/&gt;&lt;wsp:rsid wsp:val=&quot;2D456BC8&quot;/&gt;&lt;wsp:rsid wsp:val=&quot;2D9E56F5&quot;/&gt;&lt;wsp:rsid wsp:val=&quot;2DA33FB7&quot;/&gt;&lt;wsp:rsid wsp:val=&quot;2DAB2E35&quot;/&gt;&lt;wsp:rsid wsp:val=&quot;2DC807D8&quot;/&gt;&lt;wsp:rsid wsp:val=&quot;2E2520F4&quot;/&gt;&lt;wsp:rsid wsp:val=&quot;2E652A8E&quot;/&gt;&lt;wsp:rsid wsp:val=&quot;2E667F96&quot;/&gt;&lt;wsp:rsid wsp:val=&quot;2E6823E2&quot;/&gt;&lt;wsp:rsid wsp:val=&quot;2E804D70&quot;/&gt;&lt;wsp:rsid wsp:val=&quot;2E8226AB&quot;/&gt;&lt;wsp:rsid wsp:val=&quot;2E895BCE&quot;/&gt;&lt;wsp:rsid wsp:val=&quot;2EAE7A6B&quot;/&gt;&lt;wsp:rsid wsp:val=&quot;2ECF39A8&quot;/&gt;&lt;wsp:rsid wsp:val=&quot;2ED175A0&quot;/&gt;&lt;wsp:rsid wsp:val=&quot;2F0D5A39&quot;/&gt;&lt;wsp:rsid wsp:val=&quot;2F393B22&quot;/&gt;&lt;wsp:rsid wsp:val=&quot;2FB55650&quot;/&gt;&lt;wsp:rsid wsp:val=&quot;2FB62947&quot;/&gt;&lt;wsp:rsid wsp:val=&quot;2FD065E6&quot;/&gt;&lt;wsp:rsid wsp:val=&quot;2FD828C9&quot;/&gt;&lt;wsp:rsid wsp:val=&quot;2FD96870&quot;/&gt;&lt;wsp:rsid wsp:val=&quot;30000983&quot;/&gt;&lt;wsp:rsid wsp:val=&quot;30286F2F&quot;/&gt;&lt;wsp:rsid wsp:val=&quot;303C7766&quot;/&gt;&lt;wsp:rsid wsp:val=&quot;30415662&quot;/&gt;&lt;wsp:rsid wsp:val=&quot;30580BC9&quot;/&gt;&lt;wsp:rsid wsp:val=&quot;30670621&quot;/&gt;&lt;wsp:rsid wsp:val=&quot;30716047&quot;/&gt;&lt;wsp:rsid wsp:val=&quot;30AC25DA&quot;/&gt;&lt;wsp:rsid wsp:val=&quot;30D7736B&quot;/&gt;&lt;wsp:rsid wsp:val=&quot;311E2ED7&quot;/&gt;&lt;wsp:rsid wsp:val=&quot;314962AA&quot;/&gt;&lt;wsp:rsid wsp:val=&quot;315619EE&quot;/&gt;&lt;wsp:rsid wsp:val=&quot;315A13D2&quot;/&gt;&lt;wsp:rsid wsp:val=&quot;315C449C&quot;/&gt;&lt;wsp:rsid wsp:val=&quot;31A829E0&quot;/&gt;&lt;wsp:rsid wsp:val=&quot;31A918BD&quot;/&gt;&lt;wsp:rsid wsp:val=&quot;31AA4BE6&quot;/&gt;&lt;wsp:rsid wsp:val=&quot;31B82709&quot;/&gt;&lt;wsp:rsid wsp:val=&quot;31D05482&quot;/&gt;&lt;wsp:rsid wsp:val=&quot;32177894&quot;/&gt;&lt;wsp:rsid wsp:val=&quot;32400B34&quot;/&gt;&lt;wsp:rsid wsp:val=&quot;32881751&quot;/&gt;&lt;wsp:rsid wsp:val=&quot;329E6876&quot;/&gt;&lt;wsp:rsid wsp:val=&quot;32C93988&quot;/&gt;&lt;wsp:rsid wsp:val=&quot;33015A0C&quot;/&gt;&lt;wsp:rsid wsp:val=&quot;332D034A&quot;/&gt;&lt;wsp:rsid wsp:val=&quot;333015F2&quot;/&gt;&lt;wsp:rsid wsp:val=&quot;33367A22&quot;/&gt;&lt;wsp:rsid wsp:val=&quot;334B6320&quot;/&gt;&lt;wsp:rsid wsp:val=&quot;33A569E9&quot;/&gt;&lt;wsp:rsid wsp:val=&quot;33D934D4&quot;/&gt;&lt;wsp:rsid wsp:val=&quot;33F31E82&quot;/&gt;&lt;wsp:rsid wsp:val=&quot;33FE2F6A&quot;/&gt;&lt;wsp:rsid wsp:val=&quot;340E07E5&quot;/&gt;&lt;wsp:rsid wsp:val=&quot;34196CC5&quot;/&gt;&lt;wsp:rsid wsp:val=&quot;341E03C3&quot;/&gt;&lt;wsp:rsid wsp:val=&quot;34235BF7&quot;/&gt;&lt;wsp:rsid wsp:val=&quot;34351A68&quot;/&gt;&lt;wsp:rsid wsp:val=&quot;344B1AFC&quot;/&gt;&lt;wsp:rsid wsp:val=&quot;345E742C&quot;/&gt;&lt;wsp:rsid wsp:val=&quot;34894BA8&quot;/&gt;&lt;wsp:rsid wsp:val=&quot;3491180A&quot;/&gt;&lt;wsp:rsid wsp:val=&quot;34963EC3&quot;/&gt;&lt;wsp:rsid wsp:val=&quot;34C569E6&quot;/&gt;&lt;wsp:rsid wsp:val=&quot;34DB7F3A&quot;/&gt;&lt;wsp:rsid wsp:val=&quot;34F054AA&quot;/&gt;&lt;wsp:rsid wsp:val=&quot;35377FEB&quot;/&gt;&lt;wsp:rsid wsp:val=&quot;354054DE&quot;/&gt;&lt;wsp:rsid wsp:val=&quot;356D6D5C&quot;/&gt;&lt;wsp:rsid wsp:val=&quot;357404AA&quot;/&gt;&lt;wsp:rsid wsp:val=&quot;35892B24&quot;/&gt;&lt;wsp:rsid wsp:val=&quot;358C5FA8&quot;/&gt;&lt;wsp:rsid wsp:val=&quot;35964628&quot;/&gt;&lt;wsp:rsid wsp:val=&quot;35C15DF1&quot;/&gt;&lt;wsp:rsid wsp:val=&quot;35FE7D7C&quot;/&gt;&lt;wsp:rsid wsp:val=&quot;36074A7F&quot;/&gt;&lt;wsp:rsid wsp:val=&quot;3618276E&quot;/&gt;&lt;wsp:rsid wsp:val=&quot;362016B5&quot;/&gt;&lt;wsp:rsid wsp:val=&quot;36237003&quot;/&gt;&lt;wsp:rsid wsp:val=&quot;362E0349&quot;/&gt;&lt;wsp:rsid wsp:val=&quot;367402BE&quot;/&gt;&lt;wsp:rsid wsp:val=&quot;36786178&quot;/&gt;&lt;wsp:rsid wsp:val=&quot;369150B1&quot;/&gt;&lt;wsp:rsid wsp:val=&quot;36923549&quot;/&gt;&lt;wsp:rsid wsp:val=&quot;36A41884&quot;/&gt;&lt;wsp:rsid wsp:val=&quot;36B75FBF&quot;/&gt;&lt;wsp:rsid wsp:val=&quot;36BD0C45&quot;/&gt;&lt;wsp:rsid wsp:val=&quot;36D51943&quot;/&gt;&lt;wsp:rsid wsp:val=&quot;36E23CAC&quot;/&gt;&lt;wsp:rsid wsp:val=&quot;36F07C6C&quot;/&gt;&lt;wsp:rsid wsp:val=&quot;374C7A84&quot;/&gt;&lt;wsp:rsid wsp:val=&quot;377D7653&quot;/&gt;&lt;wsp:rsid wsp:val=&quot;37C113A9&quot;/&gt;&lt;wsp:rsid wsp:val=&quot;37D651D1&quot;/&gt;&lt;wsp:rsid wsp:val=&quot;37E00298&quot;/&gt;&lt;wsp:rsid wsp:val=&quot;380C0A89&quot;/&gt;&lt;wsp:rsid wsp:val=&quot;380D1374&quot;/&gt;&lt;wsp:rsid wsp:val=&quot;381417B9&quot;/&gt;&lt;wsp:rsid wsp:val=&quot;384460C1&quot;/&gt;&lt;wsp:rsid wsp:val=&quot;38770D06&quot;/&gt;&lt;wsp:rsid wsp:val=&quot;388037CA&quot;/&gt;&lt;wsp:rsid wsp:val=&quot;38807A54&quot;/&gt;&lt;wsp:rsid wsp:val=&quot;38952E67&quot;/&gt;&lt;wsp:rsid wsp:val=&quot;38A81AF5&quot;/&gt;&lt;wsp:rsid wsp:val=&quot;38A9311C&quot;/&gt;&lt;wsp:rsid wsp:val=&quot;38AB5EE7&quot;/&gt;&lt;wsp:rsid wsp:val=&quot;38B0399C&quot;/&gt;&lt;wsp:rsid wsp:val=&quot;38B302F9&quot;/&gt;&lt;wsp:rsid wsp:val=&quot;38B836BC&quot;/&gt;&lt;wsp:rsid wsp:val=&quot;38F12CD3&quot;/&gt;&lt;wsp:rsid wsp:val=&quot;38F94775&quot;/&gt;&lt;wsp:rsid wsp:val=&quot;39016F6C&quot;/&gt;&lt;wsp:rsid wsp:val=&quot;39292932&quot;/&gt;&lt;wsp:rsid wsp:val=&quot;392971ED&quot;/&gt;&lt;wsp:rsid wsp:val=&quot;39325651&quot;/&gt;&lt;wsp:rsid wsp:val=&quot;39804AD4&quot;/&gt;&lt;wsp:rsid wsp:val=&quot;39AC71D3&quot;/&gt;&lt;wsp:rsid wsp:val=&quot;39E614CE&quot;/&gt;&lt;wsp:rsid wsp:val=&quot;3A234DD3&quot;/&gt;&lt;wsp:rsid wsp:val=&quot;3A6833C0&quot;/&gt;&lt;wsp:rsid wsp:val=&quot;3A795DF4&quot;/&gt;&lt;wsp:rsid wsp:val=&quot;3A817FDC&quot;/&gt;&lt;wsp:rsid wsp:val=&quot;3A872856&quot;/&gt;&lt;wsp:rsid wsp:val=&quot;3AB32F9A&quot;/&gt;&lt;wsp:rsid wsp:val=&quot;3AE17EA7&quot;/&gt;&lt;wsp:rsid wsp:val=&quot;3B0A0F88&quot;/&gt;&lt;wsp:rsid wsp:val=&quot;3B0C16E9&quot;/&gt;&lt;wsp:rsid wsp:val=&quot;3B2A42AB&quot;/&gt;&lt;wsp:rsid wsp:val=&quot;3B3763D1&quot;/&gt;&lt;wsp:rsid wsp:val=&quot;3B4E7F84&quot;/&gt;&lt;wsp:rsid wsp:val=&quot;3B641B85&quot;/&gt;&lt;wsp:rsid wsp:val=&quot;3C1F6370&quot;/&gt;&lt;wsp:rsid wsp:val=&quot;3C2F6E1E&quot;/&gt;&lt;wsp:rsid wsp:val=&quot;3C4F64BA&quot;/&gt;&lt;wsp:rsid wsp:val=&quot;3C680112&quot;/&gt;&lt;wsp:rsid wsp:val=&quot;3C6F1290&quot;/&gt;&lt;wsp:rsid wsp:val=&quot;3C992621&quot;/&gt;&lt;wsp:rsid wsp:val=&quot;3CB70B7D&quot;/&gt;&lt;wsp:rsid wsp:val=&quot;3CDA245A&quot;/&gt;&lt;wsp:rsid wsp:val=&quot;3CE816CD&quot;/&gt;&lt;wsp:rsid wsp:val=&quot;3D030DFD&quot;/&gt;&lt;wsp:rsid wsp:val=&quot;3D1E06B7&quot;/&gt;&lt;wsp:rsid wsp:val=&quot;3D5A14E9&quot;/&gt;&lt;wsp:rsid wsp:val=&quot;3D5B0162&quot;/&gt;&lt;wsp:rsid wsp:val=&quot;3D6C5689&quot;/&gt;&lt;wsp:rsid wsp:val=&quot;3E1778BD&quot;/&gt;&lt;wsp:rsid wsp:val=&quot;3E2576AD&quot;/&gt;&lt;wsp:rsid wsp:val=&quot;3E6E2B5B&quot;/&gt;&lt;wsp:rsid wsp:val=&quot;3E871ED3&quot;/&gt;&lt;wsp:rsid wsp:val=&quot;3E8A4C92&quot;/&gt;&lt;wsp:rsid wsp:val=&quot;3EB71D0C&quot;/&gt;&lt;wsp:rsid wsp:val=&quot;3EDA0523&quot;/&gt;&lt;wsp:rsid wsp:val=&quot;3EED6BB2&quot;/&gt;&lt;wsp:rsid wsp:val=&quot;3EF653CA&quot;/&gt;&lt;wsp:rsid wsp:val=&quot;3F463146&quot;/&gt;&lt;wsp:rsid wsp:val=&quot;3F610E54&quot;/&gt;&lt;wsp:rsid wsp:val=&quot;3F6963CD&quot;/&gt;&lt;wsp:rsid wsp:val=&quot;3F9F7211&quot;/&gt;&lt;wsp:rsid wsp:val=&quot;3FB65055&quot;/&gt;&lt;wsp:rsid wsp:val=&quot;3FC91ACD&quot;/&gt;&lt;wsp:rsid wsp:val=&quot;3FD72529&quot;/&gt;&lt;wsp:rsid wsp:val=&quot;3FDC5DE7&quot;/&gt;&lt;wsp:rsid wsp:val=&quot;3FF77315&quot;/&gt;&lt;wsp:rsid wsp:val=&quot;403326AF&quot;/&gt;&lt;wsp:rsid wsp:val=&quot;40474F1C&quot;/&gt;&lt;wsp:rsid wsp:val=&quot;4057181D&quot;/&gt;&lt;wsp:rsid wsp:val=&quot;406C7588&quot;/&gt;&lt;wsp:rsid wsp:val=&quot;40724FFD&quot;/&gt;&lt;wsp:rsid wsp:val=&quot;407A6407&quot;/&gt;&lt;wsp:rsid wsp:val=&quot;40844004&quot;/&gt;&lt;wsp:rsid wsp:val=&quot;40B3526A&quot;/&gt;&lt;wsp:rsid wsp:val=&quot;40D82DFB&quot;/&gt;&lt;wsp:rsid wsp:val=&quot;40E400AA&quot;/&gt;&lt;wsp:rsid wsp:val=&quot;410322FF&quot;/&gt;&lt;wsp:rsid wsp:val=&quot;41461244&quot;/&gt;&lt;wsp:rsid wsp:val=&quot;41DF62AC&quot;/&gt;&lt;wsp:rsid wsp:val=&quot;4200449D&quot;/&gt;&lt;wsp:rsid wsp:val=&quot;42216679&quot;/&gt;&lt;wsp:rsid wsp:val=&quot;42256686&quot;/&gt;&lt;wsp:rsid wsp:val=&quot;423A3BCC&quot;/&gt;&lt;wsp:rsid wsp:val=&quot;424E57D2&quot;/&gt;&lt;wsp:rsid wsp:val=&quot;42552A98&quot;/&gt;&lt;wsp:rsid wsp:val=&quot;42924A7B&quot;/&gt;&lt;wsp:rsid wsp:val=&quot;42AC4CCD&quot;/&gt;&lt;wsp:rsid wsp:val=&quot;42B26C49&quot;/&gt;&lt;wsp:rsid wsp:val=&quot;42C262F9&quot;/&gt;&lt;wsp:rsid wsp:val=&quot;42CB1615&quot;/&gt;&lt;wsp:rsid wsp:val=&quot;42F700F3&quot;/&gt;&lt;wsp:rsid wsp:val=&quot;43246925&quot;/&gt;&lt;wsp:rsid wsp:val=&quot;433A6FE6&quot;/&gt;&lt;wsp:rsid wsp:val=&quot;433F68C2&quot;/&gt;&lt;wsp:rsid wsp:val=&quot;43480868&quot;/&gt;&lt;wsp:rsid wsp:val=&quot;4350713C&quot;/&gt;&lt;wsp:rsid wsp:val=&quot;436653E0&quot;/&gt;&lt;wsp:rsid wsp:val=&quot;43C41769&quot;/&gt;&lt;wsp:rsid wsp:val=&quot;43C4431A&quot;/&gt;&lt;wsp:rsid wsp:val=&quot;43DE7689&quot;/&gt;&lt;wsp:rsid wsp:val=&quot;441843B1&quot;/&gt;&lt;wsp:rsid wsp:val=&quot;445D4484&quot;/&gt;&lt;wsp:rsid wsp:val=&quot;446052BB&quot;/&gt;&lt;wsp:rsid wsp:val=&quot;447944A8&quot;/&gt;&lt;wsp:rsid wsp:val=&quot;44A2233B&quot;/&gt;&lt;wsp:rsid wsp:val=&quot;44B951CC&quot;/&gt;&lt;wsp:rsid wsp:val=&quot;44C83831&quot;/&gt;&lt;wsp:rsid wsp:val=&quot;44CD14E0&quot;/&gt;&lt;wsp:rsid wsp:val=&quot;44D46AF1&quot;/&gt;&lt;wsp:rsid wsp:val=&quot;44ED5075&quot;/&gt;&lt;wsp:rsid wsp:val=&quot;44F20B0B&quot;/&gt;&lt;wsp:rsid wsp:val=&quot;450C0F8B&quot;/&gt;&lt;wsp:rsid wsp:val=&quot;452E5F4C&quot;/&gt;&lt;wsp:rsid wsp:val=&quot;45312019&quot;/&gt;&lt;wsp:rsid wsp:val=&quot;4542433A&quot;/&gt;&lt;wsp:rsid wsp:val=&quot;45612018&quot;/&gt;&lt;wsp:rsid wsp:val=&quot;45865177&quot;/&gt;&lt;wsp:rsid wsp:val=&quot;458946E9&quot;/&gt;&lt;wsp:rsid wsp:val=&quot;45A47C0E&quot;/&gt;&lt;wsp:rsid wsp:val=&quot;45B50DCF&quot;/&gt;&lt;wsp:rsid wsp:val=&quot;45BF1C37&quot;/&gt;&lt;wsp:rsid wsp:val=&quot;45D4285D&quot;/&gt;&lt;wsp:rsid wsp:val=&quot;45FE603B&quot;/&gt;&lt;wsp:rsid wsp:val=&quot;46420ADF&quot;/&gt;&lt;wsp:rsid wsp:val=&quot;4645515D&quot;/&gt;&lt;wsp:rsid wsp:val=&quot;46530F41&quot;/&gt;&lt;wsp:rsid wsp:val=&quot;46567C59&quot;/&gt;&lt;wsp:rsid wsp:val=&quot;46577FD6&quot;/&gt;&lt;wsp:rsid wsp:val=&quot;469356F0&quot;/&gt;&lt;wsp:rsid wsp:val=&quot;46A909CF&quot;/&gt;&lt;wsp:rsid wsp:val=&quot;46AE7C80&quot;/&gt;&lt;wsp:rsid wsp:val=&quot;46C5149B&quot;/&gt;&lt;wsp:rsid wsp:val=&quot;46CA1285&quot;/&gt;&lt;wsp:rsid wsp:val=&quot;46D6365B&quot;/&gt;&lt;wsp:rsid wsp:val=&quot;46D955A7&quot;/&gt;&lt;wsp:rsid wsp:val=&quot;47133957&quot;/&gt;&lt;wsp:rsid wsp:val=&quot;47190280&quot;/&gt;&lt;wsp:rsid wsp:val=&quot;47441D9C&quot;/&gt;&lt;wsp:rsid wsp:val=&quot;47590E68&quot;/&gt;&lt;wsp:rsid wsp:val=&quot;47746778&quot;/&gt;&lt;wsp:rsid wsp:val=&quot;47A07E0C&quot;/&gt;&lt;wsp:rsid wsp:val=&quot;47A3470D&quot;/&gt;&lt;wsp:rsid wsp:val=&quot;47BE31DC&quot;/&gt;&lt;wsp:rsid wsp:val=&quot;47DE1851&quot;/&gt;&lt;wsp:rsid wsp:val=&quot;47ED4DAE&quot;/&gt;&lt;wsp:rsid wsp:val=&quot;48375245&quot;/&gt;&lt;wsp:rsid wsp:val=&quot;48492097&quot;/&gt;&lt;wsp:rsid wsp:val=&quot;4870272E&quot;/&gt;&lt;wsp:rsid wsp:val=&quot;48BF7E6A&quot;/&gt;&lt;wsp:rsid wsp:val=&quot;48FD5F50&quot;/&gt;&lt;wsp:rsid wsp:val=&quot;491672C0&quot;/&gt;&lt;wsp:rsid wsp:val=&quot;4964207E&quot;/&gt;&lt;wsp:rsid wsp:val=&quot;49956317&quot;/&gt;&lt;wsp:rsid wsp:val=&quot;4998702C&quot;/&gt;&lt;wsp:rsid wsp:val=&quot;49B03482&quot;/&gt;&lt;wsp:rsid wsp:val=&quot;49C76C47&quot;/&gt;&lt;wsp:rsid wsp:val=&quot;49DC7715&quot;/&gt;&lt;wsp:rsid wsp:val=&quot;49EA48A9&quot;/&gt;&lt;wsp:rsid wsp:val=&quot;49FA2363&quot;/&gt;&lt;wsp:rsid wsp:val=&quot;4A023139&quot;/&gt;&lt;wsp:rsid wsp:val=&quot;4A575744&quot;/&gt;&lt;wsp:rsid wsp:val=&quot;4A6B35D8&quot;/&gt;&lt;wsp:rsid wsp:val=&quot;4A7B576F&quot;/&gt;&lt;wsp:rsid wsp:val=&quot;4AA22B3F&quot;/&gt;&lt;wsp:rsid wsp:val=&quot;4AAF3D92&quot;/&gt;&lt;wsp:rsid wsp:val=&quot;4ACD4DA3&quot;/&gt;&lt;wsp:rsid wsp:val=&quot;4AD37AEC&quot;/&gt;&lt;wsp:rsid wsp:val=&quot;4AD53535&quot;/&gt;&lt;wsp:rsid wsp:val=&quot;4ADA05A8&quot;/&gt;&lt;wsp:rsid wsp:val=&quot;4AF561A9&quot;/&gt;&lt;wsp:rsid wsp:val=&quot;4B3317B5&quot;/&gt;&lt;wsp:rsid wsp:val=&quot;4B825E47&quot;/&gt;&lt;wsp:rsid wsp:val=&quot;4B92328B&quot;/&gt;&lt;wsp:rsid wsp:val=&quot;4B9E690A&quot;/&gt;&lt;wsp:rsid wsp:val=&quot;4BA1474F&quot;/&gt;&lt;wsp:rsid wsp:val=&quot;4BD65BDD&quot;/&gt;&lt;wsp:rsid wsp:val=&quot;4C2751C1&quot;/&gt;&lt;wsp:rsid wsp:val=&quot;4C2A52AB&quot;/&gt;&lt;wsp:rsid wsp:val=&quot;4C38262B&quot;/&gt;&lt;wsp:rsid wsp:val=&quot;4C4A0649&quot;/&gt;&lt;wsp:rsid wsp:val=&quot;4C5C350E&quot;/&gt;&lt;wsp:rsid wsp:val=&quot;4C6677BD&quot;/&gt;&lt;wsp:rsid wsp:val=&quot;4C7E5ECA&quot;/&gt;&lt;wsp:rsid wsp:val=&quot;4C835502&quot;/&gt;&lt;wsp:rsid wsp:val=&quot;4C863BBC&quot;/&gt;&lt;wsp:rsid wsp:val=&quot;4C876AA5&quot;/&gt;&lt;wsp:rsid wsp:val=&quot;4C8C4593&quot;/&gt;&lt;wsp:rsid wsp:val=&quot;4C9343BD&quot;/&gt;&lt;wsp:rsid wsp:val=&quot;4CCA3E28&quot;/&gt;&lt;wsp:rsid wsp:val=&quot;4CE8053D&quot;/&gt;&lt;wsp:rsid wsp:val=&quot;4CFF1CCC&quot;/&gt;&lt;wsp:rsid wsp:val=&quot;4D0E00FB&quot;/&gt;&lt;wsp:rsid wsp:val=&quot;4D1464C2&quot;/&gt;&lt;wsp:rsid wsp:val=&quot;4D176606&quot;/&gt;&lt;wsp:rsid wsp:val=&quot;4D1E0754&quot;/&gt;&lt;wsp:rsid wsp:val=&quot;4D8C4CF0&quot;/&gt;&lt;wsp:rsid wsp:val=&quot;4DAA27CC&quot;/&gt;&lt;wsp:rsid wsp:val=&quot;4DDA22BC&quot;/&gt;&lt;wsp:rsid wsp:val=&quot;4DE42935&quot;/&gt;&lt;wsp:rsid wsp:val=&quot;4DE436CA&quot;/&gt;&lt;wsp:rsid wsp:val=&quot;4DEC4FB0&quot;/&gt;&lt;wsp:rsid wsp:val=&quot;4DF93D6B&quot;/&gt;&lt;wsp:rsid wsp:val=&quot;4DFC139B&quot;/&gt;&lt;wsp:rsid wsp:val=&quot;4E075D8A&quot;/&gt;&lt;wsp:rsid wsp:val=&quot;4E6B3FDE&quot;/&gt;&lt;wsp:rsid wsp:val=&quot;4E854252&quot;/&gt;&lt;wsp:rsid wsp:val=&quot;4EC00FAD&quot;/&gt;&lt;wsp:rsid wsp:val=&quot;4ED473AF&quot;/&gt;&lt;wsp:rsid wsp:val=&quot;4EF4649C&quot;/&gt;&lt;wsp:rsid wsp:val=&quot;4F383A50&quot;/&gt;&lt;wsp:rsid wsp:val=&quot;4F5A49E3&quot;/&gt;&lt;wsp:rsid wsp:val=&quot;4F5A5B9F&quot;/&gt;&lt;wsp:rsid wsp:val=&quot;4F7D1ABD&quot;/&gt;&lt;wsp:rsid wsp:val=&quot;4F7D7912&quot;/&gt;&lt;wsp:rsid wsp:val=&quot;4F9843DC&quot;/&gt;&lt;wsp:rsid wsp:val=&quot;4FAB3C5C&quot;/&gt;&lt;wsp:rsid wsp:val=&quot;4FC62A8C&quot;/&gt;&lt;wsp:rsid wsp:val=&quot;4FCB4E90&quot;/&gt;&lt;wsp:rsid wsp:val=&quot;4FD50463&quot;/&gt;&lt;wsp:rsid wsp:val=&quot;4FE20F0D&quot;/&gt;&lt;wsp:rsid wsp:val=&quot;4FE51552&quot;/&gt;&lt;wsp:rsid wsp:val=&quot;502B5144&quot;/&gt;&lt;wsp:rsid wsp:val=&quot;50396F9D&quot;/&gt;&lt;wsp:rsid wsp:val=&quot;50504C4B&quot;/&gt;&lt;wsp:rsid wsp:val=&quot;50506B47&quot;/&gt;&lt;wsp:rsid wsp:val=&quot;50571C6B&quot;/&gt;&lt;wsp:rsid wsp:val=&quot;506043DF&quot;/&gt;&lt;wsp:rsid wsp:val=&quot;50720014&quot;/&gt;&lt;wsp:rsid wsp:val=&quot;507278F3&quot;/&gt;&lt;wsp:rsid wsp:val=&quot;509C6E7C&quot;/&gt;&lt;wsp:rsid wsp:val=&quot;50BE5FC4&quot;/&gt;&lt;wsp:rsid wsp:val=&quot;50C578A1&quot;/&gt;&lt;wsp:rsid wsp:val=&quot;50D843A7&quot;/&gt;&lt;wsp:rsid wsp:val=&quot;511E491B&quot;/&gt;&lt;wsp:rsid wsp:val=&quot;513503CB&quot;/&gt;&lt;wsp:rsid wsp:val=&quot;51377CA4&quot;/&gt;&lt;wsp:rsid wsp:val=&quot;515735C5&quot;/&gt;&lt;wsp:rsid wsp:val=&quot;5162104E&quot;/&gt;&lt;wsp:rsid wsp:val=&quot;517F63A5&quot;/&gt;&lt;wsp:rsid wsp:val=&quot;518A72F6&quot;/&gt;&lt;wsp:rsid wsp:val=&quot;51BB71BA&quot;/&gt;&lt;wsp:rsid wsp:val=&quot;51C302F9&quot;/&gt;&lt;wsp:rsid wsp:val=&quot;51D955B1&quot;/&gt;&lt;wsp:rsid wsp:val=&quot;520D05D8&quot;/&gt;&lt;wsp:rsid wsp:val=&quot;52644433&quot;/&gt;&lt;wsp:rsid wsp:val=&quot;52742E3B&quot;/&gt;&lt;wsp:rsid wsp:val=&quot;528554A3&quot;/&gt;&lt;wsp:rsid wsp:val=&quot;52BA4671&quot;/&gt;&lt;wsp:rsid wsp:val=&quot;52D67FBF&quot;/&gt;&lt;wsp:rsid wsp:val=&quot;52DF3D59&quot;/&gt;&lt;wsp:rsid wsp:val=&quot;52EB0123&quot;/&gt;&lt;wsp:rsid wsp:val=&quot;52F33151&quot;/&gt;&lt;wsp:rsid wsp:val=&quot;531360E3&quot;/&gt;&lt;wsp:rsid wsp:val=&quot;53431963&quot;/&gt;&lt;wsp:rsid wsp:val=&quot;535A21E2&quot;/&gt;&lt;wsp:rsid wsp:val=&quot;535F247A&quot;/&gt;&lt;wsp:rsid wsp:val=&quot;53650B13&quot;/&gt;&lt;wsp:rsid wsp:val=&quot;537D5355&quot;/&gt;&lt;wsp:rsid wsp:val=&quot;53A039CC&quot;/&gt;&lt;wsp:rsid wsp:val=&quot;53A1505A&quot;/&gt;&lt;wsp:rsid wsp:val=&quot;53AE2E6D&quot;/&gt;&lt;wsp:rsid wsp:val=&quot;53BC0DA3&quot;/&gt;&lt;wsp:rsid wsp:val=&quot;53DC19E2&quot;/&gt;&lt;wsp:rsid wsp:val=&quot;54063E08&quot;/&gt;&lt;wsp:rsid wsp:val=&quot;542B49D5&quot;/&gt;&lt;wsp:rsid wsp:val=&quot;542D56AA&quot;/&gt;&lt;wsp:rsid wsp:val=&quot;543437E8&quot;/&gt;&lt;wsp:rsid wsp:val=&quot;544378D0&quot;/&gt;&lt;wsp:rsid wsp:val=&quot;544E7D4B&quot;/&gt;&lt;wsp:rsid wsp:val=&quot;548129B1&quot;/&gt;&lt;wsp:rsid wsp:val=&quot;549C24E3&quot;/&gt;&lt;wsp:rsid wsp:val=&quot;54A60641&quot;/&gt;&lt;wsp:rsid wsp:val=&quot;54F73313&quot;/&gt;&lt;wsp:rsid wsp:val=&quot;54F80955&quot;/&gt;&lt;wsp:rsid wsp:val=&quot;54FF336C&quot;/&gt;&lt;wsp:rsid wsp:val=&quot;552A5B5D&quot;/&gt;&lt;wsp:rsid wsp:val=&quot;555170A7&quot;/&gt;&lt;wsp:rsid wsp:val=&quot;557260F9&quot;/&gt;&lt;wsp:rsid wsp:val=&quot;5587536D&quot;/&gt;&lt;wsp:rsid wsp:val=&quot;55925D73&quot;/&gt;&lt;wsp:rsid wsp:val=&quot;559308F0&quot;/&gt;&lt;wsp:rsid wsp:val=&quot;559B174B&quot;/&gt;&lt;wsp:rsid wsp:val=&quot;55BA25B9&quot;/&gt;&lt;wsp:rsid wsp:val=&quot;55C220B3&quot;/&gt;&lt;wsp:rsid wsp:val=&quot;55CE0CF4&quot;/&gt;&lt;wsp:rsid wsp:val=&quot;55DE4BC5&quot;/&gt;&lt;wsp:rsid wsp:val=&quot;56225429&quot;/&gt;&lt;wsp:rsid wsp:val=&quot;564B23A9&quot;/&gt;&lt;wsp:rsid wsp:val=&quot;56527843&quot;/&gt;&lt;wsp:rsid wsp:val=&quot;56575382&quot;/&gt;&lt;wsp:rsid wsp:val=&quot;56A33B63&quot;/&gt;&lt;wsp:rsid wsp:val=&quot;56B22A9C&quot;/&gt;&lt;wsp:rsid wsp:val=&quot;56CA6906&quot;/&gt;&lt;wsp:rsid wsp:val=&quot;56EC1880&quot;/&gt;&lt;wsp:rsid wsp:val=&quot;574B77C5&quot;/&gt;&lt;wsp:rsid wsp:val=&quot;57541EDD&quot;/&gt;&lt;wsp:rsid wsp:val=&quot;57756AF8&quot;/&gt;&lt;wsp:rsid wsp:val=&quot;577C7C9E&quot;/&gt;&lt;wsp:rsid wsp:val=&quot;57AC118F&quot;/&gt;&lt;wsp:rsid wsp:val=&quot;57B72A76&quot;/&gt;&lt;wsp:rsid wsp:val=&quot;57BE21D9&quot;/&gt;&lt;wsp:rsid wsp:val=&quot;57C3426C&quot;/&gt;&lt;wsp:rsid wsp:val=&quot;57CE1F93&quot;/&gt;&lt;wsp:rsid wsp:val=&quot;57FA52F9&quot;/&gt;&lt;wsp:rsid wsp:val=&quot;58356912&quot;/&gt;&lt;wsp:rsid wsp:val=&quot;584F05EC&quot;/&gt;&lt;wsp:rsid wsp:val=&quot;58546F4F&quot;/&gt;&lt;wsp:rsid wsp:val=&quot;58566A1B&quot;/&gt;&lt;wsp:rsid wsp:val=&quot;588743D1&quot;/&gt;&lt;wsp:rsid wsp:val=&quot;5887701A&quot;/&gt;&lt;wsp:rsid wsp:val=&quot;58A70673&quot;/&gt;&lt;wsp:rsid wsp:val=&quot;58D12203&quot;/&gt;&lt;wsp:rsid wsp:val=&quot;592D2BCC&quot;/&gt;&lt;wsp:rsid wsp:val=&quot;59904C69&quot;/&gt;&lt;wsp:rsid wsp:val=&quot;59A4450F&quot;/&gt;&lt;wsp:rsid wsp:val=&quot;59A965CE&quot;/&gt;&lt;wsp:rsid wsp:val=&quot;59B04227&quot;/&gt;&lt;wsp:rsid wsp:val=&quot;59C0439F&quot;/&gt;&lt;wsp:rsid wsp:val=&quot;59DE6165&quot;/&gt;&lt;wsp:rsid wsp:val=&quot;59E902BB&quot;/&gt;&lt;wsp:rsid wsp:val=&quot;5A021FF8&quot;/&gt;&lt;wsp:rsid wsp:val=&quot;5A0672E3&quot;/&gt;&lt;wsp:rsid wsp:val=&quot;5A6F512A&quot;/&gt;&lt;wsp:rsid wsp:val=&quot;5AB339E1&quot;/&gt;&lt;wsp:rsid wsp:val=&quot;5ABE2233&quot;/&gt;&lt;wsp:rsid wsp:val=&quot;5AC411DC&quot;/&gt;&lt;wsp:rsid wsp:val=&quot;5AD17EF9&quot;/&gt;&lt;wsp:rsid wsp:val=&quot;5ADF1397&quot;/&gt;&lt;wsp:rsid wsp:val=&quot;5B193AC5&quot;/&gt;&lt;wsp:rsid wsp:val=&quot;5B1B4211&quot;/&gt;&lt;wsp:rsid wsp:val=&quot;5B3C194A&quot;/&gt;&lt;wsp:rsid wsp:val=&quot;5B5756A5&quot;/&gt;&lt;wsp:rsid wsp:val=&quot;5B5F4BB1&quot;/&gt;&lt;wsp:rsid wsp:val=&quot;5B631000&quot;/&gt;&lt;wsp:rsid wsp:val=&quot;5B6E46C9&quot;/&gt;&lt;wsp:rsid wsp:val=&quot;5B8709CC&quot;/&gt;&lt;wsp:rsid wsp:val=&quot;5B9F7767&quot;/&gt;&lt;wsp:rsid wsp:val=&quot;5BB12E16&quot;/&gt;&lt;wsp:rsid wsp:val=&quot;5BD76B7F&quot;/&gt;&lt;wsp:rsid wsp:val=&quot;5BDB0425&quot;/&gt;&lt;wsp:rsid wsp:val=&quot;5BDF5D95&quot;/&gt;&lt;wsp:rsid wsp:val=&quot;5BF342C6&quot;/&gt;&lt;wsp:rsid wsp:val=&quot;5BFE7528&quot;/&gt;&lt;wsp:rsid wsp:val=&quot;5C3839C7&quot;/&gt;&lt;wsp:rsid wsp:val=&quot;5C8D61B2&quot;/&gt;&lt;wsp:rsid wsp:val=&quot;5C8D796A&quot;/&gt;&lt;wsp:rsid wsp:val=&quot;5C9726A9&quot;/&gt;&lt;wsp:rsid wsp:val=&quot;5C9756A8&quot;/&gt;&lt;wsp:rsid wsp:val=&quot;5C9D45C0&quot;/&gt;&lt;wsp:rsid wsp:val=&quot;5CB3647B&quot;/&gt;&lt;wsp:rsid wsp:val=&quot;5CC80F35&quot;/&gt;&lt;wsp:rsid wsp:val=&quot;5CC82ECB&quot;/&gt;&lt;wsp:rsid wsp:val=&quot;5CC94001&quot;/&gt;&lt;wsp:rsid wsp:val=&quot;5CEE3690&quot;/&gt;&lt;wsp:rsid wsp:val=&quot;5D211E8A&quot;/&gt;&lt;wsp:rsid wsp:val=&quot;5D4316C1&quot;/&gt;&lt;wsp:rsid wsp:val=&quot;5D831E8E&quot;/&gt;&lt;wsp:rsid wsp:val=&quot;5D8E2377&quot;/&gt;&lt;wsp:rsid wsp:val=&quot;5DAC4BE2&quot;/&gt;&lt;wsp:rsid wsp:val=&quot;5DD46C25&quot;/&gt;&lt;wsp:rsid wsp:val=&quot;5DE87F6C&quot;/&gt;&lt;wsp:rsid wsp:val=&quot;5DE963A9&quot;/&gt;&lt;wsp:rsid wsp:val=&quot;5DEC0101&quot;/&gt;&lt;wsp:rsid wsp:val=&quot;5E0F4BB3&quot;/&gt;&lt;wsp:rsid wsp:val=&quot;5E0F513A&quot;/&gt;&lt;wsp:rsid wsp:val=&quot;5E1C31DE&quot;/&gt;&lt;wsp:rsid wsp:val=&quot;5E2467F1&quot;/&gt;&lt;wsp:rsid wsp:val=&quot;5E51638D&quot;/&gt;&lt;wsp:rsid wsp:val=&quot;5E5365DF&quot;/&gt;&lt;wsp:rsid wsp:val=&quot;5E745C12&quot;/&gt;&lt;wsp:rsid wsp:val=&quot;5EA23996&quot;/&gt;&lt;wsp:rsid wsp:val=&quot;5EA509E8&quot;/&gt;&lt;wsp:rsid wsp:val=&quot;5EFF2886&quot;/&gt;&lt;wsp:rsid wsp:val=&quot;5F0E185F&quot;/&gt;&lt;wsp:rsid wsp:val=&quot;5F17535D&quot;/&gt;&lt;wsp:rsid wsp:val=&quot;5F1A2B43&quot;/&gt;&lt;wsp:rsid wsp:val=&quot;5F470F5D&quot;/&gt;&lt;wsp:rsid wsp:val=&quot;5F4B6660&quot;/&gt;&lt;wsp:rsid wsp:val=&quot;5F8C18A8&quot;/&gt;&lt;wsp:rsid wsp:val=&quot;5F8D3AEB&quot;/&gt;&lt;wsp:rsid wsp:val=&quot;5FB837BB&quot;/&gt;&lt;wsp:rsid wsp:val=&quot;5FC60E15&quot;/&gt;&lt;wsp:rsid wsp:val=&quot;5FCC18F1&quot;/&gt;&lt;wsp:rsid wsp:val=&quot;5FE97D4A&quot;/&gt;&lt;wsp:rsid wsp:val=&quot;5FF208F1&quot;/&gt;&lt;wsp:rsid wsp:val=&quot;5FF805BE&quot;/&gt;&lt;wsp:rsid wsp:val=&quot;602D0366&quot;/&gt;&lt;wsp:rsid wsp:val=&quot;60353FC3&quot;/&gt;&lt;wsp:rsid wsp:val=&quot;60473E79&quot;/&gt;&lt;wsp:rsid wsp:val=&quot;60530796&quot;/&gt;&lt;wsp:rsid wsp:val=&quot;60560206&quot;/&gt;&lt;wsp:rsid wsp:val=&quot;606A1D50&quot;/&gt;&lt;wsp:rsid wsp:val=&quot;608A0236&quot;/&gt;&lt;wsp:rsid wsp:val=&quot;609B59DA&quot;/&gt;&lt;wsp:rsid wsp:val=&quot;60A21C1A&quot;/&gt;&lt;wsp:rsid wsp:val=&quot;60A26C67&quot;/&gt;&lt;wsp:rsid wsp:val=&quot;60AC5AE7&quot;/&gt;&lt;wsp:rsid wsp:val=&quot;60B10A09&quot;/&gt;&lt;wsp:rsid wsp:val=&quot;60CC405A&quot;/&gt;&lt;wsp:rsid wsp:val=&quot;60D96E31&quot;/&gt;&lt;wsp:rsid wsp:val=&quot;610F624D&quot;/&gt;&lt;wsp:rsid wsp:val=&quot;61414481&quot;/&gt;&lt;wsp:rsid wsp:val=&quot;615614C0&quot;/&gt;&lt;wsp:rsid wsp:val=&quot;61965BB0&quot;/&gt;&lt;wsp:rsid wsp:val=&quot;61A5574C&quot;/&gt;&lt;wsp:rsid wsp:val=&quot;61E215D8&quot;/&gt;&lt;wsp:rsid wsp:val=&quot;61EC00DF&quot;/&gt;&lt;wsp:rsid wsp:val=&quot;621B3775&quot;/&gt;&lt;wsp:rsid wsp:val=&quot;62364782&quot;/&gt;&lt;wsp:rsid wsp:val=&quot;62366BA2&quot;/&gt;&lt;wsp:rsid wsp:val=&quot;624176DA&quot;/&gt;&lt;wsp:rsid wsp:val=&quot;62685BF6&quot;/&gt;&lt;wsp:rsid wsp:val=&quot;62BB185C&quot;/&gt;&lt;wsp:rsid wsp:val=&quot;62C641F8&quot;/&gt;&lt;wsp:rsid wsp:val=&quot;62C71315&quot;/&gt;&lt;wsp:rsid wsp:val=&quot;63017EF8&quot;/&gt;&lt;wsp:rsid wsp:val=&quot;63180F5D&quot;/&gt;&lt;wsp:rsid wsp:val=&quot;631B5933&quot;/&gt;&lt;wsp:rsid wsp:val=&quot;634F0BD2&quot;/&gt;&lt;wsp:rsid wsp:val=&quot;6394356A&quot;/&gt;&lt;wsp:rsid wsp:val=&quot;63A156ED&quot;/&gt;&lt;wsp:rsid wsp:val=&quot;63C61B2C&quot;/&gt;&lt;wsp:rsid wsp:val=&quot;63D40BE9&quot;/&gt;&lt;wsp:rsid wsp:val=&quot;63F73B2E&quot;/&gt;&lt;wsp:rsid wsp:val=&quot;640F5161&quot;/&gt;&lt;wsp:rsid wsp:val=&quot;64102431&quot;/&gt;&lt;wsp:rsid wsp:val=&quot;64227B0E&quot;/&gt;&lt;wsp:rsid wsp:val=&quot;64246AC7&quot;/&gt;&lt;wsp:rsid wsp:val=&quot;64484336&quot;/&gt;&lt;wsp:rsid wsp:val=&quot;644A1536&quot;/&gt;&lt;wsp:rsid wsp:val=&quot;64524FC6&quot;/&gt;&lt;wsp:rsid wsp:val=&quot;64A5243A&quot;/&gt;&lt;wsp:rsid wsp:val=&quot;64A85387&quot;/&gt;&lt;wsp:rsid wsp:val=&quot;64F17E22&quot;/&gt;&lt;wsp:rsid wsp:val=&quot;64F531DE&quot;/&gt;&lt;wsp:rsid wsp:val=&quot;65014A5A&quot;/&gt;&lt;wsp:rsid wsp:val=&quot;65373578&quot;/&gt;&lt;wsp:rsid wsp:val=&quot;657D3ADE&quot;/&gt;&lt;wsp:rsid wsp:val=&quot;658743EB&quot;/&gt;&lt;wsp:rsid wsp:val=&quot;65D27F9F&quot;/&gt;&lt;wsp:rsid wsp:val=&quot;65D846D8&quot;/&gt;&lt;wsp:rsid wsp:val=&quot;65EE5014&quot;/&gt;&lt;wsp:rsid wsp:val=&quot;66530A01&quot;/&gt;&lt;wsp:rsid wsp:val=&quot;668F7929&quot;/&gt;&lt;wsp:rsid wsp:val=&quot;6693207A&quot;/&gt;&lt;wsp:rsid wsp:val=&quot;66F022E2&quot;/&gt;&lt;wsp:rsid wsp:val=&quot;670453D3&quot;/&gt;&lt;wsp:rsid wsp:val=&quot;671F124A&quot;/&gt;&lt;wsp:rsid wsp:val=&quot;674F6EA5&quot;/&gt;&lt;wsp:rsid wsp:val=&quot;67566A3D&quot;/&gt;&lt;wsp:rsid wsp:val=&quot;677A33C6&quot;/&gt;&lt;wsp:rsid wsp:val=&quot;679C01D1&quot;/&gt;&lt;wsp:rsid wsp:val=&quot;67C502E8&quot;/&gt;&lt;wsp:rsid wsp:val=&quot;67E56070&quot;/&gt;&lt;wsp:rsid wsp:val=&quot;681E3EAB&quot;/&gt;&lt;wsp:rsid wsp:val=&quot;681F6961&quot;/&gt;&lt;wsp:rsid wsp:val=&quot;6820044D&quot;/&gt;&lt;wsp:rsid wsp:val=&quot;68610A2F&quot;/&gt;&lt;wsp:rsid wsp:val=&quot;68696A3F&quot;/&gt;&lt;wsp:rsid wsp:val=&quot;68747C01&quot;/&gt;&lt;wsp:rsid wsp:val=&quot;68805514&quot;/&gt;&lt;wsp:rsid wsp:val=&quot;688614DF&quot;/&gt;&lt;wsp:rsid wsp:val=&quot;69316E2F&quot;/&gt;&lt;wsp:rsid wsp:val=&quot;694B18A4&quot;/&gt;&lt;wsp:rsid wsp:val=&quot;694C74CE&quot;/&gt;&lt;wsp:rsid wsp:val=&quot;694E2071&quot;/&gt;&lt;wsp:rsid wsp:val=&quot;69766163&quot;/&gt;&lt;wsp:rsid wsp:val=&quot;697A3B33&quot;/&gt;&lt;wsp:rsid wsp:val=&quot;69D44760&quot;/&gt;&lt;wsp:rsid wsp:val=&quot;6A1B6189&quot;/&gt;&lt;wsp:rsid wsp:val=&quot;6A2975E2&quot;/&gt;&lt;wsp:rsid wsp:val=&quot;6A3171E4&quot;/&gt;&lt;wsp:rsid wsp:val=&quot;6A520EC7&quot;/&gt;&lt;wsp:rsid wsp:val=&quot;6A56334F&quot;/&gt;&lt;wsp:rsid wsp:val=&quot;6A82313E&quot;/&gt;&lt;wsp:rsid wsp:val=&quot;6A8D303F&quot;/&gt;&lt;wsp:rsid wsp:val=&quot;6A99447C&quot;/&gt;&lt;wsp:rsid wsp:val=&quot;6AA93443&quot;/&gt;&lt;wsp:rsid wsp:val=&quot;6AC01CDE&quot;/&gt;&lt;wsp:rsid wsp:val=&quot;6AC3619D&quot;/&gt;&lt;wsp:rsid wsp:val=&quot;6AF87E20&quot;/&gt;&lt;wsp:rsid wsp:val=&quot;6B101A50&quot;/&gt;&lt;wsp:rsid wsp:val=&quot;6B146BE1&quot;/&gt;&lt;wsp:rsid wsp:val=&quot;6B2F33D4&quot;/&gt;&lt;wsp:rsid wsp:val=&quot;6B322639&quot;/&gt;&lt;wsp:rsid wsp:val=&quot;6B603C68&quot;/&gt;&lt;wsp:rsid wsp:val=&quot;6B6E4076&quot;/&gt;&lt;wsp:rsid wsp:val=&quot;6B71220E&quot;/&gt;&lt;wsp:rsid wsp:val=&quot;6BC526EB&quot;/&gt;&lt;wsp:rsid wsp:val=&quot;6BF21F10&quot;/&gt;&lt;wsp:rsid wsp:val=&quot;6C1175B2&quot;/&gt;&lt;wsp:rsid wsp:val=&quot;6C290053&quot;/&gt;&lt;wsp:rsid wsp:val=&quot;6C5A056D&quot;/&gt;&lt;wsp:rsid wsp:val=&quot;6C5D31E8&quot;/&gt;&lt;wsp:rsid wsp:val=&quot;6C636C38&quot;/&gt;&lt;wsp:rsid wsp:val=&quot;6C6A4767&quot;/&gt;&lt;wsp:rsid wsp:val=&quot;6C8E0259&quot;/&gt;&lt;wsp:rsid wsp:val=&quot;6CD71E7C&quot;/&gt;&lt;wsp:rsid wsp:val=&quot;6CFC6EC9&quot;/&gt;&lt;wsp:rsid wsp:val=&quot;6D095787&quot;/&gt;&lt;wsp:rsid wsp:val=&quot;6D184E0F&quot;/&gt;&lt;wsp:rsid wsp:val=&quot;6D3A13F1&quot;/&gt;&lt;wsp:rsid wsp:val=&quot;6D3C5590&quot;/&gt;&lt;wsp:rsid wsp:val=&quot;6DAD4C96&quot;/&gt;&lt;wsp:rsid wsp:val=&quot;6DB34098&quot;/&gt;&lt;wsp:rsid wsp:val=&quot;6DB545B6&quot;/&gt;&lt;wsp:rsid wsp:val=&quot;6DE02FB4&quot;/&gt;&lt;wsp:rsid wsp:val=&quot;6DF4532F&quot;/&gt;&lt;wsp:rsid wsp:val=&quot;6E514CED&quot;/&gt;&lt;wsp:rsid wsp:val=&quot;6E9C6EE9&quot;/&gt;&lt;wsp:rsid wsp:val=&quot;6EB563D5&quot;/&gt;&lt;wsp:rsid wsp:val=&quot;6EBF1B71&quot;/&gt;&lt;wsp:rsid wsp:val=&quot;6EC9126E&quot;/&gt;&lt;wsp:rsid wsp:val=&quot;6ED8494E&quot;/&gt;&lt;wsp:rsid wsp:val=&quot;6ED92677&quot;/&gt;&lt;wsp:rsid wsp:val=&quot;6EE51818&quot;/&gt;&lt;wsp:rsid wsp:val=&quot;6F225983&quot;/&gt;&lt;wsp:rsid wsp:val=&quot;6F52451C&quot;/&gt;&lt;wsp:rsid wsp:val=&quot;6F825382&quot;/&gt;&lt;wsp:rsid wsp:val=&quot;6F9C1520&quot;/&gt;&lt;wsp:rsid wsp:val=&quot;6FC27343&quot;/&gt;&lt;wsp:rsid wsp:val=&quot;6FFC5590&quot;/&gt;&lt;wsp:rsid wsp:val=&quot;7000135F&quot;/&gt;&lt;wsp:rsid wsp:val=&quot;70113419&quot;/&gt;&lt;wsp:rsid wsp:val=&quot;701B6D4C&quot;/&gt;&lt;wsp:rsid wsp:val=&quot;706D1DD0&quot;/&gt;&lt;wsp:rsid wsp:val=&quot;70856B87&quot;/&gt;&lt;wsp:rsid wsp:val=&quot;709324E2&quot;/&gt;&lt;wsp:rsid wsp:val=&quot;70D527EE&quot;/&gt;&lt;wsp:rsid wsp:val=&quot;70F61AB1&quot;/&gt;&lt;wsp:rsid wsp:val=&quot;70FC4AF5&quot;/&gt;&lt;wsp:rsid wsp:val=&quot;711A29CE&quot;/&gt;&lt;wsp:rsid wsp:val=&quot;714F21DF&quot;/&gt;&lt;wsp:rsid wsp:val=&quot;715542B0&quot;/&gt;&lt;wsp:rsid wsp:val=&quot;7158373C&quot;/&gt;&lt;wsp:rsid wsp:val=&quot;715B5300&quot;/&gt;&lt;wsp:rsid wsp:val=&quot;71723179&quot;/&gt;&lt;wsp:rsid wsp:val=&quot;71776B23&quot;/&gt;&lt;wsp:rsid wsp:val=&quot;71C87CC1&quot;/&gt;&lt;wsp:rsid wsp:val=&quot;71D06E15&quot;/&gt;&lt;wsp:rsid wsp:val=&quot;71D27F8A&quot;/&gt;&lt;wsp:rsid wsp:val=&quot;71E02CD2&quot;/&gt;&lt;wsp:rsid wsp:val=&quot;71E05D29&quot;/&gt;&lt;wsp:rsid wsp:val=&quot;721869DD&quot;/&gt;&lt;wsp:rsid wsp:val=&quot;722E5181&quot;/&gt;&lt;wsp:rsid wsp:val=&quot;723C33B7&quot;/&gt;&lt;wsp:rsid wsp:val=&quot;72553024&quot;/&gt;&lt;wsp:rsid wsp:val=&quot;726D0064&quot;/&gt;&lt;wsp:rsid wsp:val=&quot;727066A6&quot;/&gt;&lt;wsp:rsid wsp:val=&quot;72935E30&quot;/&gt;&lt;wsp:rsid wsp:val=&quot;72A30432&quot;/&gt;&lt;wsp:rsid wsp:val=&quot;72D5610B&quot;/&gt;&lt;wsp:rsid wsp:val=&quot;72EB1633&quot;/&gt;&lt;wsp:rsid wsp:val=&quot;72FB35B3&quot;/&gt;&lt;wsp:rsid wsp:val=&quot;73122968&quot;/&gt;&lt;wsp:rsid wsp:val=&quot;731F5D5E&quot;/&gt;&lt;wsp:rsid wsp:val=&quot;734E533F&quot;/&gt;&lt;wsp:rsid wsp:val=&quot;734F5974&quot;/&gt;&lt;wsp:rsid wsp:val=&quot;737E53C6&quot;/&gt;&lt;wsp:rsid wsp:val=&quot;737F74D1&quot;/&gt;&lt;wsp:rsid wsp:val=&quot;73C46AED&quot;/&gt;&lt;wsp:rsid wsp:val=&quot;73C51AD5&quot;/&gt;&lt;wsp:rsid wsp:val=&quot;73E734E4&quot;/&gt;&lt;wsp:rsid wsp:val=&quot;74110246&quot;/&gt;&lt;wsp:rsid wsp:val=&quot;741B0872&quot;/&gt;&lt;wsp:rsid wsp:val=&quot;741E793C&quot;/&gt;&lt;wsp:rsid wsp:val=&quot;745E3944&quot;/&gt;&lt;wsp:rsid wsp:val=&quot;749575E0&quot;/&gt;&lt;wsp:rsid wsp:val=&quot;74A83064&quot;/&gt;&lt;wsp:rsid wsp:val=&quot;74B648EA&quot;/&gt;&lt;wsp:rsid wsp:val=&quot;74CA1C00&quot;/&gt;&lt;wsp:rsid wsp:val=&quot;752D3222&quot;/&gt;&lt;wsp:rsid wsp:val=&quot;75355B19&quot;/&gt;&lt;wsp:rsid wsp:val=&quot;754D4C43&quot;/&gt;&lt;wsp:rsid wsp:val=&quot;75565028&quot;/&gt;&lt;wsp:rsid wsp:val=&quot;755F1493&quot;/&gt;&lt;wsp:rsid wsp:val=&quot;75D73A51&quot;/&gt;&lt;wsp:rsid wsp:val=&quot;7635099D&quot;/&gt;&lt;wsp:rsid wsp:val=&quot;76380FC0&quot;/&gt;&lt;wsp:rsid wsp:val=&quot;767A2A48&quot;/&gt;&lt;wsp:rsid wsp:val=&quot;76817C8A&quot;/&gt;&lt;wsp:rsid wsp:val=&quot;769F08F1&quot;/&gt;&lt;wsp:rsid wsp:val=&quot;76F7336F&quot;/&gt;&lt;wsp:rsid wsp:val=&quot;770463D2&quot;/&gt;&lt;wsp:rsid wsp:val=&quot;77374635&quot;/&gt;&lt;wsp:rsid wsp:val=&quot;7747776A&quot;/&gt;&lt;wsp:rsid wsp:val=&quot;77607A96&quot;/&gt;&lt;wsp:rsid wsp:val=&quot;77615540&quot;/&gt;&lt;wsp:rsid wsp:val=&quot;77762421&quot;/&gt;&lt;wsp:rsid wsp:val=&quot;777A5F64&quot;/&gt;&lt;wsp:rsid wsp:val=&quot;778B7BC0&quot;/&gt;&lt;wsp:rsid wsp:val=&quot;77B56B1F&quot;/&gt;&lt;wsp:rsid wsp:val=&quot;77B928C7&quot;/&gt;&lt;wsp:rsid wsp:val=&quot;780F09F4&quot;/&gt;&lt;wsp:rsid wsp:val=&quot;784E6805&quot;/&gt;&lt;wsp:rsid wsp:val=&quot;78507D81&quot;/&gt;&lt;wsp:rsid wsp:val=&quot;78A90480&quot;/&gt;&lt;wsp:rsid wsp:val=&quot;78AF67C2&quot;/&gt;&lt;wsp:rsid wsp:val=&quot;78B60207&quot;/&gt;&lt;wsp:rsid wsp:val=&quot;78FA2438&quot;/&gt;&lt;wsp:rsid wsp:val=&quot;7955034B&quot;/&gt;&lt;wsp:rsid wsp:val=&quot;796C12CC&quot;/&gt;&lt;wsp:rsid wsp:val=&quot;796D7B23&quot;/&gt;&lt;wsp:rsid wsp:val=&quot;798F7D2B&quot;/&gt;&lt;wsp:rsid wsp:val=&quot;79C146B8&quot;/&gt;&lt;wsp:rsid wsp:val=&quot;79CD3F3A&quot;/&gt;&lt;wsp:rsid wsp:val=&quot;79F0148E&quot;/&gt;&lt;wsp:rsid wsp:val=&quot;7A203EE3&quot;/&gt;&lt;wsp:rsid wsp:val=&quot;7A364017&quot;/&gt;&lt;wsp:rsid wsp:val=&quot;7A680398&quot;/&gt;&lt;wsp:rsid wsp:val=&quot;7A7C4199&quot;/&gt;&lt;wsp:rsid wsp:val=&quot;7A8165EB&quot;/&gt;&lt;wsp:rsid wsp:val=&quot;7A8265E1&quot;/&gt;&lt;wsp:rsid wsp:val=&quot;7A952B19&quot;/&gt;&lt;wsp:rsid wsp:val=&quot;7A9F579C&quot;/&gt;&lt;wsp:rsid wsp:val=&quot;7AEB5B8D&quot;/&gt;&lt;wsp:rsid wsp:val=&quot;7B48332C&quot;/&gt;&lt;wsp:rsid wsp:val=&quot;7B4917AC&quot;/&gt;&lt;wsp:rsid wsp:val=&quot;7B686D42&quot;/&gt;&lt;wsp:rsid wsp:val=&quot;7B841746&quot;/&gt;&lt;wsp:rsid wsp:val=&quot;7BC10335&quot;/&gt;&lt;wsp:rsid wsp:val=&quot;7C067289&quot;/&gt;&lt;wsp:rsid wsp:val=&quot;7C485F7E&quot;/&gt;&lt;wsp:rsid wsp:val=&quot;7C4D227B&quot;/&gt;&lt;wsp:rsid wsp:val=&quot;7C6C5AC7&quot;/&gt;&lt;wsp:rsid wsp:val=&quot;7C9B7160&quot;/&gt;&lt;wsp:rsid wsp:val=&quot;7CC2140F&quot;/&gt;&lt;wsp:rsid wsp:val=&quot;7CC6544B&quot;/&gt;&lt;wsp:rsid wsp:val=&quot;7CCC4769&quot;/&gt;&lt;wsp:rsid wsp:val=&quot;7D0239FF&quot;/&gt;&lt;wsp:rsid wsp:val=&quot;7D2C6362&quot;/&gt;&lt;wsp:rsid wsp:val=&quot;7D5E40CD&quot;/&gt;&lt;wsp:rsid wsp:val=&quot;7D615773&quot;/&gt;&lt;wsp:rsid wsp:val=&quot;7D8F1448&quot;/&gt;&lt;wsp:rsid wsp:val=&quot;7DC55CA1&quot;/&gt;&lt;wsp:rsid wsp:val=&quot;7DCD56F2&quot;/&gt;&lt;wsp:rsid wsp:val=&quot;7DE40A7A&quot;/&gt;&lt;wsp:rsid wsp:val=&quot;7E52238B&quot;/&gt;&lt;wsp:rsid wsp:val=&quot;7E5E60A6&quot;/&gt;&lt;wsp:rsid wsp:val=&quot;7EC40525&quot;/&gt;&lt;wsp:rsid wsp:val=&quot;7ECC0A8C&quot;/&gt;&lt;wsp:rsid wsp:val=&quot;7ECE4D51&quot;/&gt;&lt;wsp:rsid wsp:val=&quot;7EE24A9D&quot;/&gt;&lt;wsp:rsid wsp:val=&quot;7EF30024&quot;/&gt;&lt;wsp:rsid wsp:val=&quot;7EF76645&quot;/&gt;&lt;wsp:rsid wsp:val=&quot;7F001CE7&quot;/&gt;&lt;wsp:rsid wsp:val=&quot;7F1823D8&quot;/&gt;&lt;wsp:rsid wsp:val=&quot;7F1B083F&quot;/&gt;&lt;wsp:rsid wsp:val=&quot;7F300F8B&quot;/&gt;&lt;wsp:rsid wsp:val=&quot;7F326325&quot;/&gt;&lt;wsp:rsid wsp:val=&quot;7F5568A2&quot;/&gt;&lt;wsp:rsid wsp:val=&quot;7F6D6C1F&quot;/&gt;&lt;wsp:rsid wsp:val=&quot;7FB252A6&quot;/&gt;&lt;wsp:rsid wsp:val=&quot;7FE47E50&quot;/&gt;&lt;/wsp:rsids&gt;&lt;/w:docPr&gt;&lt;w:body&gt;&lt;wx:sect&gt;&lt;w:p wsp:rsidR=&quot;00000000&quot; wsp:rsidRDefault=&quot;00152F69&quot; wsp:rsidP=&quot;00152F69&quot;&gt;&lt;m:oMathPara&gt;&lt;m:oMath&gt;&lt;m:sSub&gt;&lt;m:sSubPr&gt;&lt;m:ctrlPr&gt;&lt;w:rPr&gt;&lt;w:rFonts w:ascii=&quot;Cambria Math&quot; w:h-ansi=&quot;Cambria Math&quot;/&gt;&lt;wx:font wx:val=&quot;Cambria Math&quot;/&gt;&lt;w:i/&gt;&lt;w:sz w:val=&quot;32&quot;/&gt;&lt;w:sz-cs w:val=&quot;32&quot;/&gt;&lt;/w:rPr&gt;&lt;/m:ctrlPr&gt;&lt;/m:sSubPr&gt;&lt;m:e&gt;&lt;m:r&gt;&lt;w:rPr&gt;&lt;w:rFonts w:ascii=&quot;Cambria Math&quot; w:h-ansi=&quot;Cambria Math&quot;/&gt;&lt;wx:font wx:val=&quot;Cambria Math&quot;/&gt;&lt;w:i/&gt;&lt;w:sz w:val=&quot;32&quot;/&gt;&lt;w:sz-cs w:val=&quot;32&quot;/&gt;&lt;/w:rPr&gt;&lt;m:t&gt;P&lt;/m:t&gt;&lt;/m:r&gt;&lt;/m:e&gt;&lt;m:sub&gt;&lt;m:r&gt;&lt;w:rPr&gt;&lt;w:rFonts w:ascii=&quot;Cambria Math&quot; w:h-ansi=&quot;Cambria Math&quot;/&gt;&lt;wx:font wx:val=&quot;Cambria Math&quot;/&gt;&lt;w:i/&gt;&lt;w:sz w:val=&quot;32&quot;/&gt;&lt;w:sz-cs w:val=&quot;32&quot;/&gt;&lt;/w:rPr&gt;&lt;m:t&gt;pH&lt;/m:t&gt;&lt;/m:r&gt;&lt;/m:sub&gt;&lt;/m:sSub&gt;&lt;m:r&gt;&lt;w:rPr&gt;&lt;w:rFonts w:ascii=&quot;Cambria Math&quot; w:h-ansi=&quot;Cambria Math&quot;/&gt;&lt;wx:font wx:val=&quot;Cambria Math&quot;/&gt;&lt;w:i/&gt;&lt;w:sz w:val=&quot;32&quot;/&gt;&lt;w:sz-cs w:val=&quot;32&quot;/&gt;&lt;/w:rPr&gt;&lt;m:t&gt;=&lt;/m:t&gt;&lt;/m:r&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pH-7.0&lt;/m:t&gt;&lt;/m:r&gt;&lt;/m:num&gt;&lt;m:den&gt;&lt;m:sSub&gt;&lt;m:sSubPr&gt;&lt;m:ctrlPr&gt;&lt;w:rPr&gt;&lt;w:rFonts w:ascii=&quot;Cambria Math&quot; w:h-ansi=&quot;Cambria Math&quot;/&gt;&lt;wx:font wx:val=&quot;Cambria Math&quot;/&gt;&lt;w:i/&gt;&lt;w:sz w:val=&quot;32&quot;/&gt;&lt;w:sz-cs w:val=&quot;32&quot;/&gt;&lt;/w:rPr&gt;&lt;/m:ctrlPr&gt;&lt;/m:sSubPr&gt;&lt;m:e&gt;&lt;m:r&gt;&lt;w:rPr&gt;&lt;w:rFonts w:ascii=&quot;Cambria Math&quot; w:h-ansi=&quot;Cambria Math&quot;/&gt;&lt;wx:font wx:val=&quot;Cambria Math&quot;/&gt;&lt;w:i/&gt;&lt;w:sz w:val=&quot;32&quot;/&gt;&lt;w:sz-cs w:val=&quot;32&quot;/&gt;&lt;/w:rPr&gt;&lt;m:t&gt;pH&lt;/m:t&gt;&lt;/m:r&gt;&lt;/m:e&gt;&lt;m:sub&gt;&lt;m:r&gt;&lt;w:rPr&gt;&lt;w:rFonts w:ascii=&quot;Cambria Math&quot; w:h-ansi=&quot;Cambria Math&quot;/&gt;&lt;wx:font wx:val=&quot;Cambria Math&quot;/&gt;&lt;w:i/&gt;&lt;w:sz w:val=&quot;32&quot;/&gt;&lt;w:sz-cs w:val=&quot;32&quot;/&gt;&lt;/w:rPr&gt;&lt;m:t&gt;up&lt;/m:t&gt;&lt;/m:r&gt;&lt;/m:sub&gt;&lt;/m:sSub&gt;&lt;m:r&gt;&lt;w:rPr&gt;&lt;w:rFonts w:ascii=&quot;Cambria Math&quot; w:h-ansi=&quot;Cambria Math&quot;/&gt;&lt;wx:font wx:val=&quot;Cambria Math&quot;/&gt;&lt;w:i/&gt;&lt;w:sz w:val=&quot;32&quot;/&gt;&lt;w:sz-cs w:val=&quot;32&quot;/&gt;&lt;/w:rPr&gt;&lt;m:t&gt;-7.0&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9" chromakey="#FFFFFF" o:title=""/>
                  <o:lock v:ext="edit" aspectratio="t"/>
                  <w10:wrap type="none"/>
                  <w10:anchorlock/>
                </v:shape>
              </w:pict>
            </w:r>
            <w:r>
              <w:rPr>
                <w:color w:val="auto"/>
                <w:sz w:val="24"/>
                <w:highlight w:val="none"/>
              </w:rPr>
              <w:fldChar w:fldCharType="end"/>
            </w:r>
            <w:r>
              <w:rPr>
                <w:color w:val="auto"/>
                <w:sz w:val="24"/>
                <w:highlight w:val="none"/>
              </w:rPr>
              <w:t xml:space="preserve">          pH≥7时</w:t>
            </w:r>
          </w:p>
          <w:p w14:paraId="122ECC66">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式中：P</w:t>
            </w:r>
            <w:r>
              <w:rPr>
                <w:rFonts w:hint="eastAsia"/>
                <w:color w:val="auto"/>
                <w:sz w:val="24"/>
                <w:highlight w:val="none"/>
                <w:vertAlign w:val="subscript"/>
              </w:rPr>
              <w:t>pH</w:t>
            </w:r>
            <w:r>
              <w:rPr>
                <w:rFonts w:hint="eastAsia"/>
                <w:color w:val="auto"/>
                <w:sz w:val="24"/>
                <w:highlight w:val="none"/>
              </w:rPr>
              <w:t>——pH的标准指数，无量纲；</w:t>
            </w:r>
          </w:p>
          <w:p w14:paraId="45E9E417">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pH——pH的监测值；</w:t>
            </w:r>
          </w:p>
          <w:p w14:paraId="4F6FB193">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pH</w:t>
            </w:r>
            <w:r>
              <w:rPr>
                <w:rFonts w:hint="eastAsia"/>
                <w:color w:val="auto"/>
                <w:sz w:val="24"/>
                <w:highlight w:val="none"/>
                <w:vertAlign w:val="subscript"/>
              </w:rPr>
              <w:t>su</w:t>
            </w:r>
            <w:r>
              <w:rPr>
                <w:rFonts w:hint="eastAsia"/>
                <w:color w:val="auto"/>
                <w:sz w:val="24"/>
                <w:highlight w:val="none"/>
              </w:rPr>
              <w:t>——标准中pH的上限值；</w:t>
            </w:r>
          </w:p>
          <w:p w14:paraId="54442A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bCs/>
                <w:color w:val="auto"/>
                <w:sz w:val="24"/>
                <w:highlight w:val="none"/>
              </w:rPr>
            </w:pPr>
            <w:r>
              <w:rPr>
                <w:rFonts w:hint="eastAsia"/>
                <w:color w:val="auto"/>
                <w:sz w:val="24"/>
                <w:highlight w:val="none"/>
              </w:rPr>
              <w:t>pH</w:t>
            </w:r>
            <w:r>
              <w:rPr>
                <w:rFonts w:hint="eastAsia"/>
                <w:color w:val="auto"/>
                <w:sz w:val="24"/>
                <w:highlight w:val="none"/>
                <w:vertAlign w:val="subscript"/>
              </w:rPr>
              <w:t>sd</w:t>
            </w:r>
            <w:r>
              <w:rPr>
                <w:rFonts w:hint="eastAsia"/>
                <w:color w:val="auto"/>
                <w:sz w:val="24"/>
                <w:highlight w:val="none"/>
              </w:rPr>
              <w:t>——标准中pH的下限值。</w:t>
            </w:r>
          </w:p>
          <w:p w14:paraId="082138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rPr>
            </w:pPr>
            <w:r>
              <w:rPr>
                <w:color w:val="auto"/>
                <w:sz w:val="24"/>
                <w:highlight w:val="none"/>
              </w:rPr>
              <w:t>表</w:t>
            </w:r>
            <w:r>
              <w:rPr>
                <w:rFonts w:hint="eastAsia"/>
                <w:color w:val="auto"/>
                <w:sz w:val="24"/>
                <w:highlight w:val="none"/>
                <w:lang w:val="en-US" w:eastAsia="zh-CN"/>
              </w:rPr>
              <w:t>3-6</w:t>
            </w:r>
            <w:r>
              <w:rPr>
                <w:rFonts w:hint="eastAsia"/>
                <w:color w:val="auto"/>
                <w:sz w:val="24"/>
                <w:highlight w:val="none"/>
              </w:rPr>
              <w:t xml:space="preserve">  </w:t>
            </w:r>
            <w:r>
              <w:rPr>
                <w:color w:val="auto"/>
                <w:sz w:val="24"/>
                <w:highlight w:val="none"/>
              </w:rPr>
              <w:t>检测</w:t>
            </w:r>
            <w:r>
              <w:rPr>
                <w:rFonts w:hint="eastAsia"/>
                <w:color w:val="auto"/>
                <w:sz w:val="24"/>
                <w:highlight w:val="none"/>
              </w:rPr>
              <w:t>结果表</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1059"/>
              <w:gridCol w:w="937"/>
              <w:gridCol w:w="959"/>
              <w:gridCol w:w="959"/>
              <w:gridCol w:w="959"/>
              <w:gridCol w:w="959"/>
              <w:gridCol w:w="968"/>
              <w:gridCol w:w="698"/>
            </w:tblGrid>
            <w:tr w14:paraId="7D62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309" w:type="pct"/>
                  <w:vMerge w:val="restart"/>
                  <w:noWrap w:val="0"/>
                  <w:vAlign w:val="center"/>
                </w:tcPr>
                <w:p w14:paraId="4ADA4D20">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序号</w:t>
                  </w:r>
                </w:p>
              </w:tc>
              <w:tc>
                <w:tcPr>
                  <w:tcW w:w="662" w:type="pct"/>
                  <w:vMerge w:val="restart"/>
                  <w:noWrap w:val="0"/>
                  <w:vAlign w:val="center"/>
                </w:tcPr>
                <w:p w14:paraId="5AB2A94E">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采样日期</w:t>
                  </w:r>
                </w:p>
              </w:tc>
              <w:tc>
                <w:tcPr>
                  <w:tcW w:w="586" w:type="pct"/>
                  <w:vMerge w:val="restart"/>
                  <w:noWrap w:val="0"/>
                  <w:vAlign w:val="center"/>
                </w:tcPr>
                <w:p w14:paraId="097BA9A9">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检测项目</w:t>
                  </w:r>
                </w:p>
              </w:tc>
              <w:tc>
                <w:tcPr>
                  <w:tcW w:w="3005" w:type="pct"/>
                  <w:gridSpan w:val="5"/>
                  <w:noWrap w:val="0"/>
                  <w:vAlign w:val="center"/>
                </w:tcPr>
                <w:p w14:paraId="55FCAFA2">
                  <w:pPr>
                    <w:keepNext w:val="0"/>
                    <w:keepLines w:val="0"/>
                    <w:widowControl/>
                    <w:suppressLineNumbers w:val="0"/>
                    <w:spacing w:before="0" w:beforeAutospacing="0" w:after="0" w:afterAutospacing="0"/>
                    <w:ind w:left="0" w:right="0"/>
                    <w:jc w:val="center"/>
                    <w:textAlignment w:val="center"/>
                    <w:rPr>
                      <w:rFonts w:hint="eastAsia"/>
                      <w:color w:val="auto"/>
                      <w:szCs w:val="21"/>
                      <w:highlight w:val="none"/>
                    </w:rPr>
                  </w:pPr>
                  <w:r>
                    <w:rPr>
                      <w:rFonts w:hint="eastAsia"/>
                      <w:color w:val="auto"/>
                      <w:szCs w:val="21"/>
                      <w:highlight w:val="none"/>
                    </w:rPr>
                    <w:t>检测结果</w:t>
                  </w:r>
                </w:p>
              </w:tc>
              <w:tc>
                <w:tcPr>
                  <w:tcW w:w="436" w:type="pct"/>
                  <w:vMerge w:val="restart"/>
                  <w:noWrap w:val="0"/>
                  <w:vAlign w:val="center"/>
                </w:tcPr>
                <w:p w14:paraId="0B4E0213">
                  <w:pPr>
                    <w:keepNext w:val="0"/>
                    <w:keepLines w:val="0"/>
                    <w:widowControl/>
                    <w:suppressLineNumbers w:val="0"/>
                    <w:spacing w:before="0" w:beforeAutospacing="0" w:after="0" w:afterAutospacing="0"/>
                    <w:ind w:left="0" w:right="0"/>
                    <w:jc w:val="center"/>
                    <w:textAlignment w:val="center"/>
                    <w:rPr>
                      <w:color w:val="auto"/>
                      <w:szCs w:val="21"/>
                      <w:highlight w:val="none"/>
                    </w:rPr>
                  </w:pPr>
                  <w:r>
                    <w:rPr>
                      <w:color w:val="auto"/>
                      <w:kern w:val="0"/>
                      <w:szCs w:val="21"/>
                      <w:highlight w:val="none"/>
                    </w:rPr>
                    <w:t>单位</w:t>
                  </w:r>
                </w:p>
              </w:tc>
            </w:tr>
            <w:tr w14:paraId="2290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09" w:type="pct"/>
                  <w:vMerge w:val="continue"/>
                  <w:noWrap w:val="0"/>
                  <w:vAlign w:val="center"/>
                </w:tcPr>
                <w:p w14:paraId="28ABDCEC">
                  <w:pPr>
                    <w:keepNext w:val="0"/>
                    <w:keepLines w:val="0"/>
                    <w:suppressLineNumbers w:val="0"/>
                    <w:spacing w:before="0" w:beforeAutospacing="0" w:after="0" w:afterAutospacing="0"/>
                    <w:ind w:left="0" w:right="0"/>
                    <w:jc w:val="center"/>
                    <w:rPr>
                      <w:color w:val="auto"/>
                      <w:szCs w:val="21"/>
                      <w:highlight w:val="none"/>
                    </w:rPr>
                  </w:pPr>
                </w:p>
              </w:tc>
              <w:tc>
                <w:tcPr>
                  <w:tcW w:w="662" w:type="pct"/>
                  <w:vMerge w:val="continue"/>
                  <w:noWrap w:val="0"/>
                  <w:vAlign w:val="center"/>
                </w:tcPr>
                <w:p w14:paraId="72471FF4">
                  <w:pPr>
                    <w:keepNext w:val="0"/>
                    <w:keepLines w:val="0"/>
                    <w:suppressLineNumbers w:val="0"/>
                    <w:spacing w:before="0" w:beforeAutospacing="0" w:after="0" w:afterAutospacing="0"/>
                    <w:ind w:left="0" w:right="0"/>
                    <w:jc w:val="center"/>
                    <w:rPr>
                      <w:color w:val="auto"/>
                      <w:szCs w:val="21"/>
                      <w:highlight w:val="none"/>
                    </w:rPr>
                  </w:pPr>
                </w:p>
              </w:tc>
              <w:tc>
                <w:tcPr>
                  <w:tcW w:w="586" w:type="pct"/>
                  <w:vMerge w:val="continue"/>
                  <w:noWrap w:val="0"/>
                  <w:vAlign w:val="center"/>
                </w:tcPr>
                <w:p w14:paraId="54B64EFD">
                  <w:pPr>
                    <w:keepNext w:val="0"/>
                    <w:keepLines w:val="0"/>
                    <w:suppressLineNumbers w:val="0"/>
                    <w:spacing w:before="0" w:beforeAutospacing="0" w:after="0" w:afterAutospacing="0"/>
                    <w:ind w:left="0" w:right="0"/>
                    <w:jc w:val="center"/>
                    <w:rPr>
                      <w:color w:val="auto"/>
                      <w:szCs w:val="21"/>
                      <w:highlight w:val="none"/>
                    </w:rPr>
                  </w:pPr>
                </w:p>
              </w:tc>
              <w:tc>
                <w:tcPr>
                  <w:tcW w:w="600" w:type="pct"/>
                  <w:noWrap w:val="0"/>
                  <w:vAlign w:val="center"/>
                </w:tcPr>
                <w:p w14:paraId="7450377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bCs/>
                      <w:color w:val="auto"/>
                      <w:szCs w:val="21"/>
                      <w:highlight w:val="none"/>
                    </w:rPr>
                    <w:t>1#</w:t>
                  </w:r>
                </w:p>
              </w:tc>
              <w:tc>
                <w:tcPr>
                  <w:tcW w:w="600" w:type="pct"/>
                  <w:noWrap w:val="0"/>
                  <w:vAlign w:val="center"/>
                </w:tcPr>
                <w:p w14:paraId="0691E059">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bCs/>
                      <w:color w:val="auto"/>
                      <w:szCs w:val="21"/>
                      <w:highlight w:val="none"/>
                    </w:rPr>
                    <w:t>2#</w:t>
                  </w:r>
                </w:p>
              </w:tc>
              <w:tc>
                <w:tcPr>
                  <w:tcW w:w="600" w:type="pct"/>
                  <w:noWrap w:val="0"/>
                  <w:vAlign w:val="center"/>
                </w:tcPr>
                <w:p w14:paraId="76450E22">
                  <w:pPr>
                    <w:keepNext w:val="0"/>
                    <w:keepLines w:val="0"/>
                    <w:widowControl/>
                    <w:suppressLineNumbers w:val="0"/>
                    <w:spacing w:before="0" w:beforeAutospacing="0" w:after="0" w:afterAutospacing="0"/>
                    <w:ind w:left="0" w:right="0"/>
                    <w:jc w:val="center"/>
                    <w:textAlignment w:val="center"/>
                    <w:rPr>
                      <w:rFonts w:hint="eastAsia"/>
                      <w:bCs/>
                      <w:color w:val="auto"/>
                      <w:szCs w:val="21"/>
                      <w:highlight w:val="none"/>
                    </w:rPr>
                  </w:pPr>
                  <w:r>
                    <w:rPr>
                      <w:rFonts w:hint="eastAsia"/>
                      <w:bCs/>
                      <w:color w:val="auto"/>
                      <w:szCs w:val="21"/>
                      <w:highlight w:val="none"/>
                    </w:rPr>
                    <w:t>3#</w:t>
                  </w:r>
                </w:p>
              </w:tc>
              <w:tc>
                <w:tcPr>
                  <w:tcW w:w="600" w:type="pct"/>
                  <w:noWrap w:val="0"/>
                  <w:vAlign w:val="center"/>
                </w:tcPr>
                <w:p w14:paraId="63B7E42A">
                  <w:pPr>
                    <w:keepNext w:val="0"/>
                    <w:keepLines w:val="0"/>
                    <w:widowControl/>
                    <w:suppressLineNumbers w:val="0"/>
                    <w:spacing w:before="0" w:beforeAutospacing="0" w:after="0" w:afterAutospacing="0"/>
                    <w:ind w:left="0" w:right="0"/>
                    <w:jc w:val="center"/>
                    <w:textAlignment w:val="center"/>
                    <w:rPr>
                      <w:rFonts w:hint="eastAsia" w:eastAsia="宋体"/>
                      <w:bCs/>
                      <w:color w:val="auto"/>
                      <w:szCs w:val="21"/>
                      <w:highlight w:val="none"/>
                      <w:lang w:val="en-US" w:eastAsia="zh-CN"/>
                    </w:rPr>
                  </w:pPr>
                  <w:r>
                    <w:rPr>
                      <w:rFonts w:hint="eastAsia"/>
                      <w:bCs/>
                      <w:color w:val="auto"/>
                      <w:szCs w:val="21"/>
                      <w:highlight w:val="none"/>
                      <w:lang w:val="en-US" w:eastAsia="zh-CN"/>
                    </w:rPr>
                    <w:t>4</w:t>
                  </w:r>
                  <w:r>
                    <w:rPr>
                      <w:rFonts w:hint="eastAsia"/>
                      <w:bCs/>
                      <w:color w:val="auto"/>
                      <w:szCs w:val="21"/>
                      <w:highlight w:val="none"/>
                    </w:rPr>
                    <w:t>#</w:t>
                  </w:r>
                </w:p>
              </w:tc>
              <w:tc>
                <w:tcPr>
                  <w:tcW w:w="605" w:type="pct"/>
                  <w:noWrap w:val="0"/>
                  <w:vAlign w:val="center"/>
                </w:tcPr>
                <w:p w14:paraId="6370D593">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bCs/>
                      <w:color w:val="auto"/>
                      <w:szCs w:val="21"/>
                      <w:highlight w:val="none"/>
                      <w:lang w:val="en-US" w:eastAsia="zh-CN"/>
                    </w:rPr>
                    <w:t>5</w:t>
                  </w:r>
                  <w:r>
                    <w:rPr>
                      <w:rFonts w:hint="eastAsia"/>
                      <w:bCs/>
                      <w:color w:val="auto"/>
                      <w:szCs w:val="21"/>
                      <w:highlight w:val="none"/>
                    </w:rPr>
                    <w:t>#</w:t>
                  </w:r>
                </w:p>
              </w:tc>
              <w:tc>
                <w:tcPr>
                  <w:tcW w:w="436" w:type="pct"/>
                  <w:vMerge w:val="continue"/>
                  <w:noWrap w:val="0"/>
                  <w:vAlign w:val="center"/>
                </w:tcPr>
                <w:p w14:paraId="4D93F184">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r>
            <w:tr w14:paraId="6C7A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271FE79C">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1</w:t>
                  </w:r>
                </w:p>
              </w:tc>
              <w:tc>
                <w:tcPr>
                  <w:tcW w:w="662" w:type="pct"/>
                  <w:noWrap w:val="0"/>
                  <w:vAlign w:val="center"/>
                </w:tcPr>
                <w:p w14:paraId="67DA070F">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36D97E71">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色度</w:t>
                  </w:r>
                </w:p>
              </w:tc>
              <w:tc>
                <w:tcPr>
                  <w:tcW w:w="600" w:type="pct"/>
                  <w:noWrap w:val="0"/>
                  <w:vAlign w:val="center"/>
                </w:tcPr>
                <w:p w14:paraId="52C3A8DF">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&lt;5</w:t>
                  </w:r>
                </w:p>
              </w:tc>
              <w:tc>
                <w:tcPr>
                  <w:tcW w:w="600" w:type="pct"/>
                  <w:noWrap w:val="0"/>
                  <w:vAlign w:val="center"/>
                </w:tcPr>
                <w:p w14:paraId="03BDAB1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&lt;5</w:t>
                  </w:r>
                </w:p>
              </w:tc>
              <w:tc>
                <w:tcPr>
                  <w:tcW w:w="600" w:type="pct"/>
                  <w:noWrap w:val="0"/>
                  <w:vAlign w:val="center"/>
                </w:tcPr>
                <w:p w14:paraId="6BA51AAF">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&lt;5</w:t>
                  </w:r>
                </w:p>
              </w:tc>
              <w:tc>
                <w:tcPr>
                  <w:tcW w:w="600" w:type="pct"/>
                  <w:noWrap w:val="0"/>
                  <w:vAlign w:val="center"/>
                </w:tcPr>
                <w:p w14:paraId="7365644F">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&lt;5</w:t>
                  </w:r>
                </w:p>
              </w:tc>
              <w:tc>
                <w:tcPr>
                  <w:tcW w:w="605" w:type="pct"/>
                  <w:noWrap w:val="0"/>
                  <w:vAlign w:val="center"/>
                </w:tcPr>
                <w:p w14:paraId="158325F7">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&lt;5</w:t>
                  </w:r>
                </w:p>
              </w:tc>
              <w:tc>
                <w:tcPr>
                  <w:tcW w:w="436" w:type="pct"/>
                  <w:noWrap w:val="0"/>
                  <w:vAlign w:val="center"/>
                </w:tcPr>
                <w:p w14:paraId="301B21E8">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度</w:t>
                  </w:r>
                </w:p>
              </w:tc>
            </w:tr>
            <w:tr w14:paraId="3EAE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15BF211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w:t>
                  </w:r>
                </w:p>
              </w:tc>
              <w:tc>
                <w:tcPr>
                  <w:tcW w:w="662" w:type="pct"/>
                  <w:noWrap w:val="0"/>
                  <w:vAlign w:val="center"/>
                </w:tcPr>
                <w:p w14:paraId="38B2A4BA">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2E3497D3">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浑浊度</w:t>
                  </w:r>
                </w:p>
              </w:tc>
              <w:tc>
                <w:tcPr>
                  <w:tcW w:w="600" w:type="pct"/>
                  <w:noWrap w:val="0"/>
                  <w:vAlign w:val="center"/>
                </w:tcPr>
                <w:p w14:paraId="7340723A">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&lt;1</w:t>
                  </w:r>
                </w:p>
              </w:tc>
              <w:tc>
                <w:tcPr>
                  <w:tcW w:w="600" w:type="pct"/>
                  <w:noWrap w:val="0"/>
                  <w:vAlign w:val="center"/>
                </w:tcPr>
                <w:p w14:paraId="18F27B58">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&lt;1</w:t>
                  </w:r>
                </w:p>
              </w:tc>
              <w:tc>
                <w:tcPr>
                  <w:tcW w:w="600" w:type="pct"/>
                  <w:noWrap w:val="0"/>
                  <w:vAlign w:val="center"/>
                </w:tcPr>
                <w:p w14:paraId="05B925C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&lt;1</w:t>
                  </w:r>
                </w:p>
              </w:tc>
              <w:tc>
                <w:tcPr>
                  <w:tcW w:w="600" w:type="pct"/>
                  <w:noWrap w:val="0"/>
                  <w:vAlign w:val="center"/>
                </w:tcPr>
                <w:p w14:paraId="0124C32C">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&lt;1</w:t>
                  </w:r>
                </w:p>
              </w:tc>
              <w:tc>
                <w:tcPr>
                  <w:tcW w:w="605" w:type="pct"/>
                  <w:noWrap w:val="0"/>
                  <w:vAlign w:val="center"/>
                </w:tcPr>
                <w:p w14:paraId="5678B76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&lt;1</w:t>
                  </w:r>
                </w:p>
              </w:tc>
              <w:tc>
                <w:tcPr>
                  <w:tcW w:w="436" w:type="pct"/>
                  <w:noWrap w:val="0"/>
                  <w:vAlign w:val="center"/>
                </w:tcPr>
                <w:p w14:paraId="7731B9D7">
                  <w:pPr>
                    <w:keepNext w:val="0"/>
                    <w:keepLines w:val="0"/>
                    <w:widowControl/>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NTU</w:t>
                  </w:r>
                </w:p>
              </w:tc>
            </w:tr>
            <w:tr w14:paraId="5E67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210B35C2">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3</w:t>
                  </w:r>
                </w:p>
              </w:tc>
              <w:tc>
                <w:tcPr>
                  <w:tcW w:w="662" w:type="pct"/>
                  <w:noWrap w:val="0"/>
                  <w:vAlign w:val="center"/>
                </w:tcPr>
                <w:p w14:paraId="1296DE71">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03B24741">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臭和味</w:t>
                  </w:r>
                </w:p>
              </w:tc>
              <w:tc>
                <w:tcPr>
                  <w:tcW w:w="600" w:type="pct"/>
                  <w:noWrap w:val="0"/>
                  <w:vAlign w:val="center"/>
                </w:tcPr>
                <w:p w14:paraId="33715609">
                  <w:pPr>
                    <w:keepNext w:val="0"/>
                    <w:keepLines w:val="0"/>
                    <w:widowControl/>
                    <w:suppressLineNumbers w:val="0"/>
                    <w:spacing w:before="0" w:beforeAutospacing="0" w:after="0" w:afterAutospacing="0"/>
                    <w:ind w:left="0" w:right="0"/>
                    <w:jc w:val="center"/>
                    <w:textAlignment w:val="center"/>
                    <w:rPr>
                      <w:rFonts w:hint="eastAsia" w:eastAsia="宋体"/>
                      <w:color w:val="auto"/>
                      <w:szCs w:val="21"/>
                      <w:highlight w:val="none"/>
                      <w:lang w:val="en-US" w:eastAsia="zh-CN"/>
                    </w:rPr>
                  </w:pPr>
                  <w:r>
                    <w:rPr>
                      <w:rFonts w:hint="eastAsia"/>
                      <w:color w:val="auto"/>
                      <w:szCs w:val="21"/>
                      <w:highlight w:val="none"/>
                      <w:lang w:val="en-US" w:eastAsia="zh-CN"/>
                    </w:rPr>
                    <w:t>无</w:t>
                  </w:r>
                </w:p>
              </w:tc>
              <w:tc>
                <w:tcPr>
                  <w:tcW w:w="600" w:type="pct"/>
                  <w:noWrap w:val="0"/>
                  <w:vAlign w:val="center"/>
                </w:tcPr>
                <w:p w14:paraId="6F20C11C">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600" w:type="pct"/>
                  <w:noWrap w:val="0"/>
                  <w:vAlign w:val="center"/>
                </w:tcPr>
                <w:p w14:paraId="653E7CE7">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600" w:type="pct"/>
                  <w:noWrap w:val="0"/>
                  <w:vAlign w:val="center"/>
                </w:tcPr>
                <w:p w14:paraId="2F39403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605" w:type="pct"/>
                  <w:noWrap w:val="0"/>
                  <w:vAlign w:val="center"/>
                </w:tcPr>
                <w:p w14:paraId="30A4320F">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436" w:type="pct"/>
                  <w:noWrap w:val="0"/>
                  <w:vAlign w:val="center"/>
                </w:tcPr>
                <w:p w14:paraId="78900A05">
                  <w:pPr>
                    <w:keepNext w:val="0"/>
                    <w:keepLines w:val="0"/>
                    <w:widowControl/>
                    <w:suppressLineNumbers w:val="0"/>
                    <w:adjustRightInd w:val="0"/>
                    <w:snapToGrid w:val="0"/>
                    <w:spacing w:before="0" w:beforeAutospacing="0" w:after="0" w:afterAutospacing="0"/>
                    <w:ind w:left="0" w:right="0"/>
                    <w:jc w:val="center"/>
                    <w:rPr>
                      <w:color w:val="auto"/>
                      <w:szCs w:val="21"/>
                      <w:highlight w:val="none"/>
                    </w:rPr>
                  </w:pPr>
                </w:p>
              </w:tc>
            </w:tr>
            <w:tr w14:paraId="4BFE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09225B1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4</w:t>
                  </w:r>
                </w:p>
              </w:tc>
              <w:tc>
                <w:tcPr>
                  <w:tcW w:w="662" w:type="pct"/>
                  <w:noWrap w:val="0"/>
                  <w:vAlign w:val="center"/>
                </w:tcPr>
                <w:p w14:paraId="1B6D5C1F">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0213C61F">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肉眼可见物</w:t>
                  </w:r>
                </w:p>
              </w:tc>
              <w:tc>
                <w:tcPr>
                  <w:tcW w:w="600" w:type="pct"/>
                  <w:noWrap w:val="0"/>
                  <w:vAlign w:val="center"/>
                </w:tcPr>
                <w:p w14:paraId="3CB15546">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600" w:type="pct"/>
                  <w:noWrap w:val="0"/>
                  <w:vAlign w:val="center"/>
                </w:tcPr>
                <w:p w14:paraId="672DF35D">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600" w:type="pct"/>
                  <w:noWrap w:val="0"/>
                  <w:vAlign w:val="center"/>
                </w:tcPr>
                <w:p w14:paraId="54D962F8">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600" w:type="pct"/>
                  <w:noWrap w:val="0"/>
                  <w:vAlign w:val="center"/>
                </w:tcPr>
                <w:p w14:paraId="511D225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605" w:type="pct"/>
                  <w:noWrap w:val="0"/>
                  <w:vAlign w:val="center"/>
                </w:tcPr>
                <w:p w14:paraId="182A96D2">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无</w:t>
                  </w:r>
                </w:p>
              </w:tc>
              <w:tc>
                <w:tcPr>
                  <w:tcW w:w="436" w:type="pct"/>
                  <w:noWrap w:val="0"/>
                  <w:vAlign w:val="center"/>
                </w:tcPr>
                <w:p w14:paraId="6AD3D8F1">
                  <w:pPr>
                    <w:keepNext w:val="0"/>
                    <w:keepLines w:val="0"/>
                    <w:widowControl/>
                    <w:suppressLineNumbers w:val="0"/>
                    <w:adjustRightInd w:val="0"/>
                    <w:snapToGrid w:val="0"/>
                    <w:spacing w:before="0" w:beforeAutospacing="0" w:after="0" w:afterAutospacing="0"/>
                    <w:ind w:left="0" w:right="0"/>
                    <w:jc w:val="center"/>
                    <w:rPr>
                      <w:color w:val="auto"/>
                      <w:szCs w:val="21"/>
                      <w:highlight w:val="none"/>
                    </w:rPr>
                  </w:pPr>
                </w:p>
              </w:tc>
            </w:tr>
            <w:tr w14:paraId="09BC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2D75B2B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5</w:t>
                  </w:r>
                </w:p>
              </w:tc>
              <w:tc>
                <w:tcPr>
                  <w:tcW w:w="662" w:type="pct"/>
                  <w:noWrap w:val="0"/>
                  <w:vAlign w:val="center"/>
                </w:tcPr>
                <w:p w14:paraId="373A30C7">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026F9B4B">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pH</w:t>
                  </w:r>
                </w:p>
              </w:tc>
              <w:tc>
                <w:tcPr>
                  <w:tcW w:w="600" w:type="pct"/>
                  <w:noWrap w:val="0"/>
                  <w:vAlign w:val="center"/>
                </w:tcPr>
                <w:p w14:paraId="20049018">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7.99</w:t>
                  </w:r>
                </w:p>
              </w:tc>
              <w:tc>
                <w:tcPr>
                  <w:tcW w:w="600" w:type="pct"/>
                  <w:noWrap w:val="0"/>
                  <w:vAlign w:val="center"/>
                </w:tcPr>
                <w:p w14:paraId="4DFC9924">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7.78</w:t>
                  </w:r>
                </w:p>
              </w:tc>
              <w:tc>
                <w:tcPr>
                  <w:tcW w:w="600" w:type="pct"/>
                  <w:noWrap w:val="0"/>
                  <w:vAlign w:val="center"/>
                </w:tcPr>
                <w:p w14:paraId="7EA7D3AA">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8.03</w:t>
                  </w:r>
                </w:p>
              </w:tc>
              <w:tc>
                <w:tcPr>
                  <w:tcW w:w="600" w:type="pct"/>
                  <w:noWrap w:val="0"/>
                  <w:vAlign w:val="center"/>
                </w:tcPr>
                <w:p w14:paraId="00A6CD19">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73.88</w:t>
                  </w:r>
                </w:p>
              </w:tc>
              <w:tc>
                <w:tcPr>
                  <w:tcW w:w="605" w:type="pct"/>
                  <w:noWrap w:val="0"/>
                  <w:vAlign w:val="center"/>
                </w:tcPr>
                <w:p w14:paraId="23D9C259">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7.96</w:t>
                  </w:r>
                </w:p>
              </w:tc>
              <w:tc>
                <w:tcPr>
                  <w:tcW w:w="436" w:type="pct"/>
                  <w:noWrap w:val="0"/>
                  <w:vAlign w:val="center"/>
                </w:tcPr>
                <w:p w14:paraId="7D490615">
                  <w:pPr>
                    <w:keepNext w:val="0"/>
                    <w:keepLines w:val="0"/>
                    <w:widowControl/>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无量纲</w:t>
                  </w:r>
                </w:p>
              </w:tc>
            </w:tr>
            <w:tr w14:paraId="4683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4CF7ACE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6</w:t>
                  </w:r>
                </w:p>
              </w:tc>
              <w:tc>
                <w:tcPr>
                  <w:tcW w:w="662" w:type="pct"/>
                  <w:noWrap w:val="0"/>
                  <w:vAlign w:val="center"/>
                </w:tcPr>
                <w:p w14:paraId="6F6C06C7">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0D81D29B">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总硬度</w:t>
                  </w:r>
                </w:p>
              </w:tc>
              <w:tc>
                <w:tcPr>
                  <w:tcW w:w="600" w:type="pct"/>
                  <w:noWrap w:val="0"/>
                  <w:vAlign w:val="center"/>
                </w:tcPr>
                <w:p w14:paraId="3AD038AB">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359</w:t>
                  </w:r>
                </w:p>
              </w:tc>
              <w:tc>
                <w:tcPr>
                  <w:tcW w:w="600" w:type="pct"/>
                  <w:noWrap w:val="0"/>
                  <w:vAlign w:val="center"/>
                </w:tcPr>
                <w:p w14:paraId="377DEC1B">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605</w:t>
                  </w:r>
                </w:p>
              </w:tc>
              <w:tc>
                <w:tcPr>
                  <w:tcW w:w="600" w:type="pct"/>
                  <w:noWrap w:val="0"/>
                  <w:vAlign w:val="center"/>
                </w:tcPr>
                <w:p w14:paraId="6F45F06D">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148</w:t>
                  </w:r>
                </w:p>
              </w:tc>
              <w:tc>
                <w:tcPr>
                  <w:tcW w:w="600" w:type="pct"/>
                  <w:noWrap w:val="0"/>
                  <w:vAlign w:val="center"/>
                </w:tcPr>
                <w:p w14:paraId="2593EEAC">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285</w:t>
                  </w:r>
                </w:p>
              </w:tc>
              <w:tc>
                <w:tcPr>
                  <w:tcW w:w="605" w:type="pct"/>
                  <w:noWrap w:val="0"/>
                  <w:vAlign w:val="center"/>
                </w:tcPr>
                <w:p w14:paraId="5E00C0CF">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350</w:t>
                  </w:r>
                </w:p>
              </w:tc>
              <w:tc>
                <w:tcPr>
                  <w:tcW w:w="436" w:type="pct"/>
                  <w:noWrap w:val="0"/>
                  <w:vAlign w:val="center"/>
                </w:tcPr>
                <w:p w14:paraId="4C156336">
                  <w:pPr>
                    <w:keepNext w:val="0"/>
                    <w:keepLines w:val="0"/>
                    <w:widowControl/>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mg/L</w:t>
                  </w:r>
                </w:p>
              </w:tc>
            </w:tr>
            <w:tr w14:paraId="28FE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0AAAD44B">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7</w:t>
                  </w:r>
                </w:p>
              </w:tc>
              <w:tc>
                <w:tcPr>
                  <w:tcW w:w="662" w:type="pct"/>
                  <w:noWrap w:val="0"/>
                  <w:vAlign w:val="center"/>
                </w:tcPr>
                <w:p w14:paraId="1B57F95C">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58AD5E04">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溶解性总固体</w:t>
                  </w:r>
                </w:p>
              </w:tc>
              <w:tc>
                <w:tcPr>
                  <w:tcW w:w="600" w:type="pct"/>
                  <w:noWrap w:val="0"/>
                  <w:vAlign w:val="center"/>
                </w:tcPr>
                <w:p w14:paraId="0908C353">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530</w:t>
                  </w:r>
                </w:p>
              </w:tc>
              <w:tc>
                <w:tcPr>
                  <w:tcW w:w="600" w:type="pct"/>
                  <w:noWrap w:val="0"/>
                  <w:vAlign w:val="center"/>
                </w:tcPr>
                <w:p w14:paraId="74E83B53">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820</w:t>
                  </w:r>
                </w:p>
              </w:tc>
              <w:tc>
                <w:tcPr>
                  <w:tcW w:w="600" w:type="pct"/>
                  <w:noWrap w:val="0"/>
                  <w:vAlign w:val="center"/>
                </w:tcPr>
                <w:p w14:paraId="413281E9">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231</w:t>
                  </w:r>
                </w:p>
              </w:tc>
              <w:tc>
                <w:tcPr>
                  <w:tcW w:w="600" w:type="pct"/>
                  <w:noWrap w:val="0"/>
                  <w:vAlign w:val="center"/>
                </w:tcPr>
                <w:p w14:paraId="07BCE7F8">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342</w:t>
                  </w:r>
                </w:p>
              </w:tc>
              <w:tc>
                <w:tcPr>
                  <w:tcW w:w="605" w:type="pct"/>
                  <w:noWrap w:val="0"/>
                  <w:vAlign w:val="center"/>
                </w:tcPr>
                <w:p w14:paraId="5FD5190A">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604</w:t>
                  </w:r>
                </w:p>
              </w:tc>
              <w:tc>
                <w:tcPr>
                  <w:tcW w:w="436" w:type="pct"/>
                  <w:noWrap w:val="0"/>
                  <w:vAlign w:val="center"/>
                </w:tcPr>
                <w:p w14:paraId="1527DF1E">
                  <w:pPr>
                    <w:keepNext w:val="0"/>
                    <w:keepLines w:val="0"/>
                    <w:widowControl/>
                    <w:suppressLineNumbers w:val="0"/>
                    <w:adjustRightInd w:val="0"/>
                    <w:snapToGrid w:val="0"/>
                    <w:spacing w:before="0" w:beforeAutospacing="0" w:after="0" w:afterAutospacing="0"/>
                    <w:ind w:left="0" w:right="0"/>
                    <w:jc w:val="center"/>
                    <w:rPr>
                      <w:color w:val="auto"/>
                      <w:kern w:val="0"/>
                      <w:szCs w:val="21"/>
                      <w:highlight w:val="none"/>
                    </w:rPr>
                  </w:pPr>
                  <w:r>
                    <w:rPr>
                      <w:color w:val="auto"/>
                      <w:szCs w:val="21"/>
                      <w:highlight w:val="none"/>
                    </w:rPr>
                    <w:t>mg/L</w:t>
                  </w:r>
                </w:p>
              </w:tc>
            </w:tr>
            <w:tr w14:paraId="0151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5336510A">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8</w:t>
                  </w:r>
                </w:p>
              </w:tc>
              <w:tc>
                <w:tcPr>
                  <w:tcW w:w="662" w:type="pct"/>
                  <w:noWrap w:val="0"/>
                  <w:vAlign w:val="center"/>
                </w:tcPr>
                <w:p w14:paraId="55B2F021">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0DB2380A">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硫酸盐</w:t>
                  </w:r>
                </w:p>
              </w:tc>
              <w:tc>
                <w:tcPr>
                  <w:tcW w:w="600" w:type="pct"/>
                  <w:noWrap w:val="0"/>
                  <w:vAlign w:val="center"/>
                </w:tcPr>
                <w:p w14:paraId="0B5E55CE">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50.6</w:t>
                  </w:r>
                </w:p>
              </w:tc>
              <w:tc>
                <w:tcPr>
                  <w:tcW w:w="600" w:type="pct"/>
                  <w:noWrap w:val="0"/>
                  <w:vAlign w:val="center"/>
                </w:tcPr>
                <w:p w14:paraId="78BF5AC0">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103</w:t>
                  </w:r>
                </w:p>
              </w:tc>
              <w:tc>
                <w:tcPr>
                  <w:tcW w:w="600" w:type="pct"/>
                  <w:noWrap w:val="0"/>
                  <w:vAlign w:val="center"/>
                </w:tcPr>
                <w:p w14:paraId="1DB1900A">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38.9</w:t>
                  </w:r>
                </w:p>
              </w:tc>
              <w:tc>
                <w:tcPr>
                  <w:tcW w:w="600" w:type="pct"/>
                  <w:noWrap w:val="0"/>
                  <w:vAlign w:val="center"/>
                </w:tcPr>
                <w:p w14:paraId="50F570DD">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35.2</w:t>
                  </w:r>
                </w:p>
              </w:tc>
              <w:tc>
                <w:tcPr>
                  <w:tcW w:w="605" w:type="pct"/>
                  <w:noWrap w:val="0"/>
                  <w:vAlign w:val="center"/>
                </w:tcPr>
                <w:p w14:paraId="223C0C78">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97.2</w:t>
                  </w:r>
                </w:p>
              </w:tc>
              <w:tc>
                <w:tcPr>
                  <w:tcW w:w="436" w:type="pct"/>
                  <w:noWrap w:val="0"/>
                  <w:vAlign w:val="center"/>
                </w:tcPr>
                <w:p w14:paraId="48706DAE">
                  <w:pPr>
                    <w:keepNext w:val="0"/>
                    <w:keepLines w:val="0"/>
                    <w:widowControl/>
                    <w:suppressLineNumbers w:val="0"/>
                    <w:adjustRightInd w:val="0"/>
                    <w:snapToGrid w:val="0"/>
                    <w:spacing w:before="0" w:beforeAutospacing="0" w:after="0" w:afterAutospacing="0"/>
                    <w:ind w:left="0" w:right="0"/>
                    <w:jc w:val="center"/>
                    <w:textAlignment w:val="center"/>
                    <w:rPr>
                      <w:color w:val="auto"/>
                      <w:szCs w:val="21"/>
                      <w:highlight w:val="none"/>
                    </w:rPr>
                  </w:pPr>
                  <w:r>
                    <w:rPr>
                      <w:color w:val="auto"/>
                      <w:szCs w:val="21"/>
                      <w:highlight w:val="none"/>
                    </w:rPr>
                    <w:t>mg/L</w:t>
                  </w:r>
                </w:p>
              </w:tc>
            </w:tr>
            <w:tr w14:paraId="6A57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39E3C8BA">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9</w:t>
                  </w:r>
                </w:p>
              </w:tc>
              <w:tc>
                <w:tcPr>
                  <w:tcW w:w="662" w:type="pct"/>
                  <w:noWrap w:val="0"/>
                  <w:vAlign w:val="center"/>
                </w:tcPr>
                <w:p w14:paraId="32C213A1">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3C0E1846">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氯化物</w:t>
                  </w:r>
                </w:p>
              </w:tc>
              <w:tc>
                <w:tcPr>
                  <w:tcW w:w="600" w:type="pct"/>
                  <w:noWrap w:val="0"/>
                  <w:vAlign w:val="center"/>
                </w:tcPr>
                <w:p w14:paraId="7642F64D">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2.6</w:t>
                  </w:r>
                </w:p>
              </w:tc>
              <w:tc>
                <w:tcPr>
                  <w:tcW w:w="600" w:type="pct"/>
                  <w:noWrap w:val="0"/>
                  <w:vAlign w:val="center"/>
                </w:tcPr>
                <w:p w14:paraId="756969AA">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14.8</w:t>
                  </w:r>
                </w:p>
              </w:tc>
              <w:tc>
                <w:tcPr>
                  <w:tcW w:w="600" w:type="pct"/>
                  <w:noWrap w:val="0"/>
                  <w:vAlign w:val="center"/>
                </w:tcPr>
                <w:p w14:paraId="700DFF78">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7.3</w:t>
                  </w:r>
                </w:p>
              </w:tc>
              <w:tc>
                <w:tcPr>
                  <w:tcW w:w="600" w:type="pct"/>
                  <w:noWrap w:val="0"/>
                  <w:vAlign w:val="center"/>
                </w:tcPr>
                <w:p w14:paraId="7F7C4A4E">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6.9</w:t>
                  </w:r>
                </w:p>
              </w:tc>
              <w:tc>
                <w:tcPr>
                  <w:tcW w:w="605" w:type="pct"/>
                  <w:noWrap w:val="0"/>
                  <w:vAlign w:val="center"/>
                </w:tcPr>
                <w:p w14:paraId="6375AD97">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2.4</w:t>
                  </w:r>
                </w:p>
              </w:tc>
              <w:tc>
                <w:tcPr>
                  <w:tcW w:w="436" w:type="pct"/>
                  <w:noWrap w:val="0"/>
                  <w:vAlign w:val="center"/>
                </w:tcPr>
                <w:p w14:paraId="495600B1">
                  <w:pPr>
                    <w:keepNext w:val="0"/>
                    <w:keepLines w:val="0"/>
                    <w:widowControl/>
                    <w:suppressLineNumbers w:val="0"/>
                    <w:adjustRightInd w:val="0"/>
                    <w:snapToGrid w:val="0"/>
                    <w:spacing w:before="0" w:beforeAutospacing="0" w:after="0" w:afterAutospacing="0"/>
                    <w:ind w:left="0" w:right="0"/>
                    <w:jc w:val="center"/>
                    <w:textAlignment w:val="center"/>
                    <w:rPr>
                      <w:color w:val="auto"/>
                      <w:szCs w:val="21"/>
                      <w:highlight w:val="none"/>
                    </w:rPr>
                  </w:pPr>
                  <w:r>
                    <w:rPr>
                      <w:color w:val="auto"/>
                      <w:szCs w:val="21"/>
                      <w:highlight w:val="none"/>
                    </w:rPr>
                    <w:t>mg/L</w:t>
                  </w:r>
                </w:p>
              </w:tc>
            </w:tr>
            <w:tr w14:paraId="1F8F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57625279">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10</w:t>
                  </w:r>
                </w:p>
              </w:tc>
              <w:tc>
                <w:tcPr>
                  <w:tcW w:w="662" w:type="pct"/>
                  <w:noWrap w:val="0"/>
                  <w:vAlign w:val="center"/>
                </w:tcPr>
                <w:p w14:paraId="443E5178">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4F1FDCAC">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铁</w:t>
                  </w:r>
                </w:p>
              </w:tc>
              <w:tc>
                <w:tcPr>
                  <w:tcW w:w="600" w:type="pct"/>
                  <w:noWrap w:val="0"/>
                  <w:vAlign w:val="center"/>
                </w:tcPr>
                <w:p w14:paraId="33452864">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&lt;0.08</w:t>
                  </w:r>
                </w:p>
              </w:tc>
              <w:tc>
                <w:tcPr>
                  <w:tcW w:w="600" w:type="pct"/>
                  <w:noWrap w:val="0"/>
                  <w:vAlign w:val="center"/>
                </w:tcPr>
                <w:p w14:paraId="7E49EDCB">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2.65</w:t>
                  </w:r>
                </w:p>
              </w:tc>
              <w:tc>
                <w:tcPr>
                  <w:tcW w:w="600" w:type="pct"/>
                  <w:noWrap w:val="0"/>
                  <w:vAlign w:val="center"/>
                </w:tcPr>
                <w:p w14:paraId="328F85EB">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0.34</w:t>
                  </w:r>
                </w:p>
              </w:tc>
              <w:tc>
                <w:tcPr>
                  <w:tcW w:w="600" w:type="pct"/>
                  <w:noWrap w:val="0"/>
                  <w:vAlign w:val="center"/>
                </w:tcPr>
                <w:p w14:paraId="2D9F9105">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2.85</w:t>
                  </w:r>
                </w:p>
              </w:tc>
              <w:tc>
                <w:tcPr>
                  <w:tcW w:w="605" w:type="pct"/>
                  <w:noWrap w:val="0"/>
                  <w:vAlign w:val="center"/>
                </w:tcPr>
                <w:p w14:paraId="5DEAE775">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&lt;0.08</w:t>
                  </w:r>
                </w:p>
              </w:tc>
              <w:tc>
                <w:tcPr>
                  <w:tcW w:w="436" w:type="pct"/>
                  <w:noWrap w:val="0"/>
                  <w:vAlign w:val="center"/>
                </w:tcPr>
                <w:p w14:paraId="15A8416D">
                  <w:pPr>
                    <w:keepNext w:val="0"/>
                    <w:keepLines w:val="0"/>
                    <w:widowControl/>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mg/L</w:t>
                  </w:r>
                </w:p>
              </w:tc>
            </w:tr>
            <w:tr w14:paraId="624C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0243B0F6">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11</w:t>
                  </w:r>
                </w:p>
              </w:tc>
              <w:tc>
                <w:tcPr>
                  <w:tcW w:w="662" w:type="pct"/>
                  <w:noWrap w:val="0"/>
                  <w:vAlign w:val="center"/>
                </w:tcPr>
                <w:p w14:paraId="480B22E9">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5183BC77">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锰</w:t>
                  </w:r>
                </w:p>
              </w:tc>
              <w:tc>
                <w:tcPr>
                  <w:tcW w:w="600" w:type="pct"/>
                  <w:noWrap w:val="0"/>
                  <w:vAlign w:val="center"/>
                </w:tcPr>
                <w:p w14:paraId="7F79E26A">
                  <w:pPr>
                    <w:keepNext w:val="0"/>
                    <w:keepLines w:val="0"/>
                    <w:widowControl/>
                    <w:suppressLineNumbers w:val="0"/>
                    <w:spacing w:before="0" w:beforeAutospacing="0" w:after="0" w:afterAutospacing="0"/>
                    <w:ind w:left="0" w:right="0"/>
                    <w:jc w:val="center"/>
                    <w:textAlignment w:val="center"/>
                    <w:rPr>
                      <w:rFonts w:hint="default"/>
                      <w:color w:val="auto"/>
                      <w:highlight w:val="none"/>
                      <w:lang w:val="en-US"/>
                    </w:rPr>
                  </w:pPr>
                  <w:r>
                    <w:rPr>
                      <w:rFonts w:hint="eastAsia"/>
                      <w:color w:val="auto"/>
                      <w:szCs w:val="21"/>
                      <w:highlight w:val="none"/>
                      <w:lang w:val="en-US" w:eastAsia="zh-CN"/>
                    </w:rPr>
                    <w:t>&lt;0.03</w:t>
                  </w:r>
                </w:p>
              </w:tc>
              <w:tc>
                <w:tcPr>
                  <w:tcW w:w="600" w:type="pct"/>
                  <w:noWrap w:val="0"/>
                  <w:vAlign w:val="center"/>
                </w:tcPr>
                <w:p w14:paraId="7B3B113D">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1.38</w:t>
                  </w:r>
                </w:p>
              </w:tc>
              <w:tc>
                <w:tcPr>
                  <w:tcW w:w="600" w:type="pct"/>
                  <w:noWrap w:val="0"/>
                  <w:vAlign w:val="center"/>
                </w:tcPr>
                <w:p w14:paraId="6DCC802D">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0.16</w:t>
                  </w:r>
                </w:p>
              </w:tc>
              <w:tc>
                <w:tcPr>
                  <w:tcW w:w="600" w:type="pct"/>
                  <w:noWrap w:val="0"/>
                  <w:vAlign w:val="center"/>
                </w:tcPr>
                <w:p w14:paraId="69E85617">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1.33</w:t>
                  </w:r>
                </w:p>
              </w:tc>
              <w:tc>
                <w:tcPr>
                  <w:tcW w:w="605" w:type="pct"/>
                  <w:noWrap w:val="0"/>
                  <w:vAlign w:val="center"/>
                </w:tcPr>
                <w:p w14:paraId="1E15BF0F">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&lt;0.03</w:t>
                  </w:r>
                </w:p>
              </w:tc>
              <w:tc>
                <w:tcPr>
                  <w:tcW w:w="436" w:type="pct"/>
                  <w:noWrap w:val="0"/>
                  <w:vAlign w:val="center"/>
                </w:tcPr>
                <w:p w14:paraId="1AEBBA61">
                  <w:pPr>
                    <w:keepNext w:val="0"/>
                    <w:keepLines w:val="0"/>
                    <w:widowControl/>
                    <w:suppressLineNumbers w:val="0"/>
                    <w:adjustRightInd w:val="0"/>
                    <w:snapToGrid w:val="0"/>
                    <w:spacing w:before="0" w:beforeAutospacing="0" w:after="0" w:afterAutospacing="0"/>
                    <w:ind w:left="0" w:right="0"/>
                    <w:jc w:val="center"/>
                    <w:rPr>
                      <w:color w:val="auto"/>
                      <w:kern w:val="0"/>
                      <w:szCs w:val="21"/>
                      <w:highlight w:val="none"/>
                    </w:rPr>
                  </w:pPr>
                  <w:r>
                    <w:rPr>
                      <w:color w:val="auto"/>
                      <w:szCs w:val="21"/>
                      <w:highlight w:val="none"/>
                    </w:rPr>
                    <w:t>mg/L</w:t>
                  </w:r>
                </w:p>
              </w:tc>
            </w:tr>
            <w:tr w14:paraId="7C95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7536D92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12</w:t>
                  </w:r>
                </w:p>
              </w:tc>
              <w:tc>
                <w:tcPr>
                  <w:tcW w:w="662" w:type="pct"/>
                  <w:noWrap w:val="0"/>
                  <w:vAlign w:val="center"/>
                </w:tcPr>
                <w:p w14:paraId="12B86F15">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59855A96">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铜</w:t>
                  </w:r>
                </w:p>
              </w:tc>
              <w:tc>
                <w:tcPr>
                  <w:tcW w:w="600" w:type="pct"/>
                  <w:noWrap w:val="0"/>
                  <w:vAlign w:val="center"/>
                </w:tcPr>
                <w:p w14:paraId="41A7728A">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&lt;0.05</w:t>
                  </w:r>
                </w:p>
              </w:tc>
              <w:tc>
                <w:tcPr>
                  <w:tcW w:w="600" w:type="pct"/>
                  <w:noWrap w:val="0"/>
                  <w:vAlign w:val="center"/>
                </w:tcPr>
                <w:p w14:paraId="2A46D808">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2D26DBD2">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7CC277B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5" w:type="pct"/>
                  <w:noWrap w:val="0"/>
                  <w:vAlign w:val="center"/>
                </w:tcPr>
                <w:p w14:paraId="1E195823">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436" w:type="pct"/>
                  <w:noWrap w:val="0"/>
                  <w:vAlign w:val="center"/>
                </w:tcPr>
                <w:p w14:paraId="750786B8">
                  <w:pPr>
                    <w:keepNext w:val="0"/>
                    <w:keepLines w:val="0"/>
                    <w:widowControl/>
                    <w:suppressLineNumbers w:val="0"/>
                    <w:spacing w:before="0" w:beforeAutospacing="0" w:after="0" w:afterAutospacing="0"/>
                    <w:ind w:left="0" w:right="0"/>
                    <w:jc w:val="center"/>
                    <w:textAlignment w:val="center"/>
                    <w:rPr>
                      <w:color w:val="auto"/>
                      <w:szCs w:val="21"/>
                      <w:highlight w:val="none"/>
                    </w:rPr>
                  </w:pPr>
                  <w:r>
                    <w:rPr>
                      <w:color w:val="auto"/>
                      <w:szCs w:val="21"/>
                      <w:highlight w:val="none"/>
                    </w:rPr>
                    <w:t>mg/L</w:t>
                  </w:r>
                </w:p>
              </w:tc>
            </w:tr>
            <w:tr w14:paraId="5BF1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02930FFA">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13</w:t>
                  </w:r>
                </w:p>
              </w:tc>
              <w:tc>
                <w:tcPr>
                  <w:tcW w:w="662" w:type="pct"/>
                  <w:noWrap w:val="0"/>
                  <w:vAlign w:val="center"/>
                </w:tcPr>
                <w:p w14:paraId="7FFB18CF">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0BA21643">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锌</w:t>
                  </w:r>
                </w:p>
              </w:tc>
              <w:tc>
                <w:tcPr>
                  <w:tcW w:w="600" w:type="pct"/>
                  <w:noWrap w:val="0"/>
                  <w:vAlign w:val="center"/>
                </w:tcPr>
                <w:p w14:paraId="5F598514">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&lt;0.01</w:t>
                  </w:r>
                </w:p>
              </w:tc>
              <w:tc>
                <w:tcPr>
                  <w:tcW w:w="600" w:type="pct"/>
                  <w:noWrap w:val="0"/>
                  <w:vAlign w:val="center"/>
                </w:tcPr>
                <w:p w14:paraId="33075FE1">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0.04</w:t>
                  </w:r>
                </w:p>
              </w:tc>
              <w:tc>
                <w:tcPr>
                  <w:tcW w:w="600" w:type="pct"/>
                  <w:noWrap w:val="0"/>
                  <w:vAlign w:val="center"/>
                </w:tcPr>
                <w:p w14:paraId="1A4BEF84">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0.06</w:t>
                  </w:r>
                </w:p>
              </w:tc>
              <w:tc>
                <w:tcPr>
                  <w:tcW w:w="600" w:type="pct"/>
                  <w:noWrap w:val="0"/>
                  <w:vAlign w:val="center"/>
                </w:tcPr>
                <w:p w14:paraId="4BE87849">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0.02</w:t>
                  </w:r>
                </w:p>
              </w:tc>
              <w:tc>
                <w:tcPr>
                  <w:tcW w:w="605" w:type="pct"/>
                  <w:noWrap w:val="0"/>
                  <w:vAlign w:val="center"/>
                </w:tcPr>
                <w:p w14:paraId="6DE3DA95">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0.04</w:t>
                  </w:r>
                </w:p>
              </w:tc>
              <w:tc>
                <w:tcPr>
                  <w:tcW w:w="436" w:type="pct"/>
                  <w:noWrap w:val="0"/>
                  <w:vAlign w:val="center"/>
                </w:tcPr>
                <w:p w14:paraId="5D596DBE">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color w:val="auto"/>
                      <w:szCs w:val="21"/>
                      <w:highlight w:val="none"/>
                    </w:rPr>
                    <w:t>mg/L</w:t>
                  </w:r>
                </w:p>
              </w:tc>
            </w:tr>
            <w:tr w14:paraId="44F6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787EBDE6">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14</w:t>
                  </w:r>
                </w:p>
              </w:tc>
              <w:tc>
                <w:tcPr>
                  <w:tcW w:w="662" w:type="pct"/>
                  <w:noWrap w:val="0"/>
                  <w:vAlign w:val="center"/>
                </w:tcPr>
                <w:p w14:paraId="4EB4E0A1">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7CA16E41">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铝</w:t>
                  </w:r>
                </w:p>
              </w:tc>
              <w:tc>
                <w:tcPr>
                  <w:tcW w:w="600" w:type="pct"/>
                  <w:noWrap w:val="0"/>
                  <w:vAlign w:val="center"/>
                </w:tcPr>
                <w:p w14:paraId="40CEED75">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0.036</w:t>
                  </w:r>
                </w:p>
              </w:tc>
              <w:tc>
                <w:tcPr>
                  <w:tcW w:w="600" w:type="pct"/>
                  <w:noWrap w:val="0"/>
                  <w:vAlign w:val="center"/>
                </w:tcPr>
                <w:p w14:paraId="73E54F2B">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0.069</w:t>
                  </w:r>
                </w:p>
              </w:tc>
              <w:tc>
                <w:tcPr>
                  <w:tcW w:w="600" w:type="pct"/>
                  <w:noWrap w:val="0"/>
                  <w:vAlign w:val="center"/>
                </w:tcPr>
                <w:p w14:paraId="180C926D">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0.055</w:t>
                  </w:r>
                </w:p>
              </w:tc>
              <w:tc>
                <w:tcPr>
                  <w:tcW w:w="600" w:type="pct"/>
                  <w:noWrap w:val="0"/>
                  <w:vAlign w:val="center"/>
                </w:tcPr>
                <w:p w14:paraId="19F8BE74">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0.064</w:t>
                  </w:r>
                </w:p>
              </w:tc>
              <w:tc>
                <w:tcPr>
                  <w:tcW w:w="605" w:type="pct"/>
                  <w:noWrap w:val="0"/>
                  <w:vAlign w:val="center"/>
                </w:tcPr>
                <w:p w14:paraId="08D18D2B">
                  <w:pPr>
                    <w:keepNext w:val="0"/>
                    <w:keepLines w:val="0"/>
                    <w:widowControl/>
                    <w:suppressLineNumbers w:val="0"/>
                    <w:spacing w:before="0" w:beforeAutospacing="0" w:after="0" w:afterAutospacing="0"/>
                    <w:ind w:left="0" w:right="0"/>
                    <w:jc w:val="center"/>
                    <w:textAlignment w:val="center"/>
                    <w:rPr>
                      <w:rFonts w:hint="default" w:eastAsia="宋体"/>
                      <w:color w:val="auto"/>
                      <w:highlight w:val="none"/>
                      <w:lang w:val="en-US" w:eastAsia="zh-CN"/>
                    </w:rPr>
                  </w:pPr>
                  <w:r>
                    <w:rPr>
                      <w:rFonts w:hint="eastAsia"/>
                      <w:color w:val="auto"/>
                      <w:highlight w:val="none"/>
                      <w:lang w:val="en-US" w:eastAsia="zh-CN"/>
                    </w:rPr>
                    <w:t>0.039</w:t>
                  </w:r>
                </w:p>
              </w:tc>
              <w:tc>
                <w:tcPr>
                  <w:tcW w:w="436" w:type="pct"/>
                  <w:noWrap w:val="0"/>
                  <w:vAlign w:val="center"/>
                </w:tcPr>
                <w:p w14:paraId="475437E0">
                  <w:pPr>
                    <w:keepNext w:val="0"/>
                    <w:keepLines w:val="0"/>
                    <w:widowControl/>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mg/L</w:t>
                  </w:r>
                </w:p>
              </w:tc>
            </w:tr>
            <w:tr w14:paraId="03DD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537F9ADA">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15</w:t>
                  </w:r>
                </w:p>
              </w:tc>
              <w:tc>
                <w:tcPr>
                  <w:tcW w:w="662" w:type="pct"/>
                  <w:noWrap w:val="0"/>
                  <w:vAlign w:val="center"/>
                </w:tcPr>
                <w:p w14:paraId="611DE146">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5FB7456D">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挥发酚</w:t>
                  </w:r>
                </w:p>
              </w:tc>
              <w:tc>
                <w:tcPr>
                  <w:tcW w:w="600" w:type="pct"/>
                  <w:noWrap w:val="0"/>
                  <w:vAlign w:val="center"/>
                </w:tcPr>
                <w:p w14:paraId="3DA727B1">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&lt;0.0003</w:t>
                  </w:r>
                </w:p>
              </w:tc>
              <w:tc>
                <w:tcPr>
                  <w:tcW w:w="959" w:type="dxa"/>
                  <w:noWrap w:val="0"/>
                  <w:vAlign w:val="center"/>
                </w:tcPr>
                <w:p w14:paraId="4B25815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&lt;0.0003</w:t>
                  </w:r>
                </w:p>
              </w:tc>
              <w:tc>
                <w:tcPr>
                  <w:tcW w:w="959" w:type="dxa"/>
                  <w:noWrap w:val="0"/>
                  <w:vAlign w:val="center"/>
                </w:tcPr>
                <w:p w14:paraId="449F477C">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&lt;0.0003</w:t>
                  </w:r>
                </w:p>
              </w:tc>
              <w:tc>
                <w:tcPr>
                  <w:tcW w:w="959" w:type="dxa"/>
                  <w:noWrap w:val="0"/>
                  <w:vAlign w:val="center"/>
                </w:tcPr>
                <w:p w14:paraId="22AD62CD">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&lt;0.0003</w:t>
                  </w:r>
                </w:p>
              </w:tc>
              <w:tc>
                <w:tcPr>
                  <w:tcW w:w="967" w:type="dxa"/>
                  <w:noWrap w:val="0"/>
                  <w:vAlign w:val="center"/>
                </w:tcPr>
                <w:p w14:paraId="19CF1A92">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&lt;0.0003</w:t>
                  </w:r>
                </w:p>
              </w:tc>
              <w:tc>
                <w:tcPr>
                  <w:tcW w:w="436" w:type="pct"/>
                  <w:noWrap w:val="0"/>
                  <w:vAlign w:val="center"/>
                </w:tcPr>
                <w:p w14:paraId="20ACEF03">
                  <w:pPr>
                    <w:keepNext w:val="0"/>
                    <w:keepLines w:val="0"/>
                    <w:widowControl/>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mg/L</w:t>
                  </w:r>
                </w:p>
              </w:tc>
            </w:tr>
            <w:tr w14:paraId="157F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6AEF1F7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16</w:t>
                  </w:r>
                </w:p>
              </w:tc>
              <w:tc>
                <w:tcPr>
                  <w:tcW w:w="662" w:type="pct"/>
                  <w:noWrap w:val="0"/>
                  <w:vAlign w:val="center"/>
                </w:tcPr>
                <w:p w14:paraId="7A6AB199">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21C99DEE">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阴离子合成洗涤剂</w:t>
                  </w:r>
                </w:p>
              </w:tc>
              <w:tc>
                <w:tcPr>
                  <w:tcW w:w="600" w:type="pct"/>
                  <w:noWrap w:val="0"/>
                  <w:vAlign w:val="center"/>
                </w:tcPr>
                <w:p w14:paraId="69C402D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959" w:type="dxa"/>
                  <w:noWrap w:val="0"/>
                  <w:vAlign w:val="center"/>
                </w:tcPr>
                <w:p w14:paraId="2612D3D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959" w:type="dxa"/>
                  <w:noWrap w:val="0"/>
                  <w:vAlign w:val="center"/>
                </w:tcPr>
                <w:p w14:paraId="35B1CF6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959" w:type="dxa"/>
                  <w:noWrap w:val="0"/>
                  <w:vAlign w:val="center"/>
                </w:tcPr>
                <w:p w14:paraId="5EE28593">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967" w:type="dxa"/>
                  <w:noWrap w:val="0"/>
                  <w:vAlign w:val="center"/>
                </w:tcPr>
                <w:p w14:paraId="0C93FBDF">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436" w:type="pct"/>
                  <w:noWrap w:val="0"/>
                  <w:vAlign w:val="center"/>
                </w:tcPr>
                <w:p w14:paraId="40E169C3">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color w:val="auto"/>
                      <w:szCs w:val="21"/>
                      <w:highlight w:val="none"/>
                    </w:rPr>
                    <w:t>mg/L</w:t>
                  </w:r>
                </w:p>
              </w:tc>
            </w:tr>
            <w:tr w14:paraId="5099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7B81E297">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17</w:t>
                  </w:r>
                </w:p>
              </w:tc>
              <w:tc>
                <w:tcPr>
                  <w:tcW w:w="662" w:type="pct"/>
                  <w:noWrap w:val="0"/>
                  <w:vAlign w:val="center"/>
                </w:tcPr>
                <w:p w14:paraId="11DD843B">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3B2DB6D7">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高锰酸盐指数</w:t>
                  </w:r>
                </w:p>
              </w:tc>
              <w:tc>
                <w:tcPr>
                  <w:tcW w:w="600" w:type="pct"/>
                  <w:noWrap w:val="0"/>
                  <w:vAlign w:val="center"/>
                </w:tcPr>
                <w:p w14:paraId="77AFA46F">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1.19</w:t>
                  </w:r>
                </w:p>
              </w:tc>
              <w:tc>
                <w:tcPr>
                  <w:tcW w:w="600" w:type="pct"/>
                  <w:noWrap w:val="0"/>
                  <w:vAlign w:val="center"/>
                </w:tcPr>
                <w:p w14:paraId="15545076">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2.65</w:t>
                  </w:r>
                </w:p>
              </w:tc>
              <w:tc>
                <w:tcPr>
                  <w:tcW w:w="600" w:type="pct"/>
                  <w:noWrap w:val="0"/>
                  <w:vAlign w:val="center"/>
                </w:tcPr>
                <w:p w14:paraId="547FA1EF">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2.45</w:t>
                  </w:r>
                </w:p>
              </w:tc>
              <w:tc>
                <w:tcPr>
                  <w:tcW w:w="600" w:type="pct"/>
                  <w:noWrap w:val="0"/>
                  <w:vAlign w:val="center"/>
                </w:tcPr>
                <w:p w14:paraId="14140218">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2.44</w:t>
                  </w:r>
                </w:p>
              </w:tc>
              <w:tc>
                <w:tcPr>
                  <w:tcW w:w="605" w:type="pct"/>
                  <w:noWrap w:val="0"/>
                  <w:vAlign w:val="center"/>
                </w:tcPr>
                <w:p w14:paraId="589244D0">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0.89</w:t>
                  </w:r>
                </w:p>
              </w:tc>
              <w:tc>
                <w:tcPr>
                  <w:tcW w:w="436" w:type="pct"/>
                  <w:noWrap w:val="0"/>
                  <w:vAlign w:val="center"/>
                </w:tcPr>
                <w:p w14:paraId="71A53E7F">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color w:val="auto"/>
                      <w:szCs w:val="21"/>
                      <w:highlight w:val="none"/>
                    </w:rPr>
                    <w:t>mg/L</w:t>
                  </w:r>
                </w:p>
              </w:tc>
            </w:tr>
            <w:tr w14:paraId="3F18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6034DFF6">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18</w:t>
                  </w:r>
                </w:p>
              </w:tc>
              <w:tc>
                <w:tcPr>
                  <w:tcW w:w="662" w:type="pct"/>
                  <w:noWrap w:val="0"/>
                  <w:vAlign w:val="center"/>
                </w:tcPr>
                <w:p w14:paraId="72F7D308">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649BA969">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氨</w:t>
                  </w:r>
                </w:p>
              </w:tc>
              <w:tc>
                <w:tcPr>
                  <w:tcW w:w="600" w:type="pct"/>
                  <w:noWrap w:val="0"/>
                  <w:vAlign w:val="center"/>
                </w:tcPr>
                <w:p w14:paraId="424057CB">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0.05</w:t>
                  </w:r>
                </w:p>
              </w:tc>
              <w:tc>
                <w:tcPr>
                  <w:tcW w:w="600" w:type="pct"/>
                  <w:noWrap w:val="0"/>
                  <w:vAlign w:val="center"/>
                </w:tcPr>
                <w:p w14:paraId="5A6E9E2B">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0.07</w:t>
                  </w:r>
                </w:p>
              </w:tc>
              <w:tc>
                <w:tcPr>
                  <w:tcW w:w="600" w:type="pct"/>
                  <w:noWrap w:val="0"/>
                  <w:vAlign w:val="center"/>
                </w:tcPr>
                <w:p w14:paraId="38C37ADF">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0.09</w:t>
                  </w:r>
                </w:p>
              </w:tc>
              <w:tc>
                <w:tcPr>
                  <w:tcW w:w="600" w:type="pct"/>
                  <w:noWrap w:val="0"/>
                  <w:vAlign w:val="center"/>
                </w:tcPr>
                <w:p w14:paraId="7A8F0E30">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0.08</w:t>
                  </w:r>
                </w:p>
              </w:tc>
              <w:tc>
                <w:tcPr>
                  <w:tcW w:w="605" w:type="pct"/>
                  <w:noWrap w:val="0"/>
                  <w:vAlign w:val="center"/>
                </w:tcPr>
                <w:p w14:paraId="23F1AA69">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0.07</w:t>
                  </w:r>
                </w:p>
              </w:tc>
              <w:tc>
                <w:tcPr>
                  <w:tcW w:w="436" w:type="pct"/>
                  <w:noWrap w:val="0"/>
                  <w:vAlign w:val="center"/>
                </w:tcPr>
                <w:p w14:paraId="63B1E2B1">
                  <w:pPr>
                    <w:keepNext w:val="0"/>
                    <w:keepLines w:val="0"/>
                    <w:widowControl/>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mg/L</w:t>
                  </w:r>
                </w:p>
              </w:tc>
            </w:tr>
            <w:tr w14:paraId="2DDF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74937A74">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19</w:t>
                  </w:r>
                </w:p>
              </w:tc>
              <w:tc>
                <w:tcPr>
                  <w:tcW w:w="662" w:type="pct"/>
                  <w:noWrap w:val="0"/>
                  <w:vAlign w:val="center"/>
                </w:tcPr>
                <w:p w14:paraId="0901CC8E">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5E91DAF2">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硫化物</w:t>
                  </w:r>
                </w:p>
              </w:tc>
              <w:tc>
                <w:tcPr>
                  <w:tcW w:w="600" w:type="pct"/>
                  <w:noWrap w:val="0"/>
                  <w:vAlign w:val="center"/>
                </w:tcPr>
                <w:p w14:paraId="1902CF55">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&lt;0.003</w:t>
                  </w:r>
                </w:p>
              </w:tc>
              <w:tc>
                <w:tcPr>
                  <w:tcW w:w="600" w:type="pct"/>
                  <w:noWrap w:val="0"/>
                  <w:vAlign w:val="center"/>
                </w:tcPr>
                <w:p w14:paraId="63F2344D">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&lt;0.003</w:t>
                  </w:r>
                </w:p>
              </w:tc>
              <w:tc>
                <w:tcPr>
                  <w:tcW w:w="600" w:type="pct"/>
                  <w:noWrap w:val="0"/>
                  <w:vAlign w:val="center"/>
                </w:tcPr>
                <w:p w14:paraId="10B1A379">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&lt;0.003</w:t>
                  </w:r>
                </w:p>
              </w:tc>
              <w:tc>
                <w:tcPr>
                  <w:tcW w:w="600" w:type="pct"/>
                  <w:noWrap w:val="0"/>
                  <w:vAlign w:val="center"/>
                </w:tcPr>
                <w:p w14:paraId="3D6505CC">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&lt;0.003</w:t>
                  </w:r>
                </w:p>
              </w:tc>
              <w:tc>
                <w:tcPr>
                  <w:tcW w:w="605" w:type="pct"/>
                  <w:noWrap w:val="0"/>
                  <w:vAlign w:val="center"/>
                </w:tcPr>
                <w:p w14:paraId="3D73EB98">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&lt;0.003</w:t>
                  </w:r>
                </w:p>
              </w:tc>
              <w:tc>
                <w:tcPr>
                  <w:tcW w:w="436" w:type="pct"/>
                  <w:noWrap w:val="0"/>
                  <w:vAlign w:val="center"/>
                </w:tcPr>
                <w:p w14:paraId="3A827D81">
                  <w:pPr>
                    <w:keepNext w:val="0"/>
                    <w:keepLines w:val="0"/>
                    <w:widowControl/>
                    <w:suppressLineNumbers w:val="0"/>
                    <w:spacing w:before="0" w:beforeAutospacing="0" w:after="0" w:afterAutospacing="0"/>
                    <w:ind w:left="0" w:right="0"/>
                    <w:jc w:val="center"/>
                    <w:textAlignment w:val="center"/>
                    <w:rPr>
                      <w:color w:val="auto"/>
                      <w:szCs w:val="21"/>
                      <w:highlight w:val="none"/>
                    </w:rPr>
                  </w:pPr>
                  <w:r>
                    <w:rPr>
                      <w:color w:val="auto"/>
                      <w:szCs w:val="21"/>
                      <w:highlight w:val="none"/>
                    </w:rPr>
                    <w:t>mg/L</w:t>
                  </w:r>
                </w:p>
              </w:tc>
            </w:tr>
            <w:tr w14:paraId="393F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4CC14E6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20</w:t>
                  </w:r>
                </w:p>
              </w:tc>
              <w:tc>
                <w:tcPr>
                  <w:tcW w:w="662" w:type="pct"/>
                  <w:noWrap w:val="0"/>
                  <w:vAlign w:val="center"/>
                </w:tcPr>
                <w:p w14:paraId="21434A97">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4DDC793F">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钠</w:t>
                  </w:r>
                </w:p>
              </w:tc>
              <w:tc>
                <w:tcPr>
                  <w:tcW w:w="600" w:type="pct"/>
                  <w:noWrap w:val="0"/>
                  <w:vAlign w:val="center"/>
                </w:tcPr>
                <w:p w14:paraId="2AA8C96B">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24</w:t>
                  </w:r>
                </w:p>
              </w:tc>
              <w:tc>
                <w:tcPr>
                  <w:tcW w:w="600" w:type="pct"/>
                  <w:noWrap w:val="0"/>
                  <w:vAlign w:val="center"/>
                </w:tcPr>
                <w:p w14:paraId="7868E916">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37.7</w:t>
                  </w:r>
                </w:p>
              </w:tc>
              <w:tc>
                <w:tcPr>
                  <w:tcW w:w="600" w:type="pct"/>
                  <w:noWrap w:val="0"/>
                  <w:vAlign w:val="center"/>
                </w:tcPr>
                <w:p w14:paraId="2FA7D548">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27.3</w:t>
                  </w:r>
                </w:p>
              </w:tc>
              <w:tc>
                <w:tcPr>
                  <w:tcW w:w="600" w:type="pct"/>
                  <w:noWrap w:val="0"/>
                  <w:vAlign w:val="center"/>
                </w:tcPr>
                <w:p w14:paraId="7D203184">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35.1</w:t>
                  </w:r>
                </w:p>
              </w:tc>
              <w:tc>
                <w:tcPr>
                  <w:tcW w:w="605" w:type="pct"/>
                  <w:noWrap w:val="0"/>
                  <w:vAlign w:val="center"/>
                </w:tcPr>
                <w:p w14:paraId="67DF50D7">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18.5</w:t>
                  </w:r>
                </w:p>
              </w:tc>
              <w:tc>
                <w:tcPr>
                  <w:tcW w:w="436" w:type="pct"/>
                  <w:noWrap w:val="0"/>
                  <w:vAlign w:val="center"/>
                </w:tcPr>
                <w:p w14:paraId="602E559C">
                  <w:pPr>
                    <w:keepNext w:val="0"/>
                    <w:keepLines w:val="0"/>
                    <w:widowControl/>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mg/L</w:t>
                  </w:r>
                </w:p>
              </w:tc>
            </w:tr>
            <w:tr w14:paraId="2AC3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02DF59CB">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21</w:t>
                  </w:r>
                </w:p>
              </w:tc>
              <w:tc>
                <w:tcPr>
                  <w:tcW w:w="662" w:type="pct"/>
                  <w:noWrap w:val="0"/>
                  <w:vAlign w:val="center"/>
                </w:tcPr>
                <w:p w14:paraId="7713CED0">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5C591B2A">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硝酸盐</w:t>
                  </w:r>
                </w:p>
              </w:tc>
              <w:tc>
                <w:tcPr>
                  <w:tcW w:w="600" w:type="pct"/>
                  <w:noWrap w:val="0"/>
                  <w:vAlign w:val="center"/>
                </w:tcPr>
                <w:p w14:paraId="035244DD">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10.0</w:t>
                  </w:r>
                </w:p>
              </w:tc>
              <w:tc>
                <w:tcPr>
                  <w:tcW w:w="600" w:type="pct"/>
                  <w:noWrap w:val="0"/>
                  <w:vAlign w:val="center"/>
                </w:tcPr>
                <w:p w14:paraId="2703664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&lt;0.04</w:t>
                  </w:r>
                </w:p>
              </w:tc>
              <w:tc>
                <w:tcPr>
                  <w:tcW w:w="600" w:type="pct"/>
                  <w:noWrap w:val="0"/>
                  <w:vAlign w:val="center"/>
                </w:tcPr>
                <w:p w14:paraId="65768BFF">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&lt;0.04</w:t>
                  </w:r>
                </w:p>
              </w:tc>
              <w:tc>
                <w:tcPr>
                  <w:tcW w:w="600" w:type="pct"/>
                  <w:noWrap w:val="0"/>
                  <w:vAlign w:val="center"/>
                </w:tcPr>
                <w:p w14:paraId="43266EA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&lt;0.04</w:t>
                  </w:r>
                </w:p>
              </w:tc>
              <w:tc>
                <w:tcPr>
                  <w:tcW w:w="605" w:type="pct"/>
                  <w:noWrap w:val="0"/>
                  <w:vAlign w:val="center"/>
                </w:tcPr>
                <w:p w14:paraId="6284C33D">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&lt;0.04</w:t>
                  </w:r>
                </w:p>
              </w:tc>
              <w:tc>
                <w:tcPr>
                  <w:tcW w:w="436" w:type="pct"/>
                  <w:noWrap w:val="0"/>
                  <w:vAlign w:val="center"/>
                </w:tcPr>
                <w:p w14:paraId="782891A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m</w:t>
                  </w:r>
                  <w:r>
                    <w:rPr>
                      <w:color w:val="auto"/>
                      <w:szCs w:val="21"/>
                      <w:highlight w:val="none"/>
                    </w:rPr>
                    <w:t>g/L</w:t>
                  </w:r>
                </w:p>
              </w:tc>
            </w:tr>
            <w:tr w14:paraId="5D4F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7C369EC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22</w:t>
                  </w:r>
                </w:p>
              </w:tc>
              <w:tc>
                <w:tcPr>
                  <w:tcW w:w="662" w:type="pct"/>
                  <w:noWrap w:val="0"/>
                  <w:vAlign w:val="center"/>
                </w:tcPr>
                <w:p w14:paraId="1F2F80D2">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64A76A2D">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亚硝酸盐</w:t>
                  </w:r>
                </w:p>
              </w:tc>
              <w:tc>
                <w:tcPr>
                  <w:tcW w:w="600" w:type="pct"/>
                  <w:noWrap w:val="0"/>
                  <w:vAlign w:val="center"/>
                </w:tcPr>
                <w:p w14:paraId="244C7BD3">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&lt;0.001</w:t>
                  </w:r>
                </w:p>
              </w:tc>
              <w:tc>
                <w:tcPr>
                  <w:tcW w:w="959" w:type="dxa"/>
                  <w:noWrap w:val="0"/>
                  <w:vAlign w:val="center"/>
                </w:tcPr>
                <w:p w14:paraId="1F3583E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&lt;0.001</w:t>
                  </w:r>
                </w:p>
              </w:tc>
              <w:tc>
                <w:tcPr>
                  <w:tcW w:w="959" w:type="dxa"/>
                  <w:noWrap w:val="0"/>
                  <w:vAlign w:val="center"/>
                </w:tcPr>
                <w:p w14:paraId="6D6E4AB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&lt;0.001</w:t>
                  </w:r>
                </w:p>
              </w:tc>
              <w:tc>
                <w:tcPr>
                  <w:tcW w:w="959" w:type="dxa"/>
                  <w:noWrap w:val="0"/>
                  <w:vAlign w:val="center"/>
                </w:tcPr>
                <w:p w14:paraId="00970C89">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&lt;0.001</w:t>
                  </w:r>
                </w:p>
              </w:tc>
              <w:tc>
                <w:tcPr>
                  <w:tcW w:w="967" w:type="dxa"/>
                  <w:noWrap w:val="0"/>
                  <w:vAlign w:val="center"/>
                </w:tcPr>
                <w:p w14:paraId="33CEECAC">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&lt;0.001</w:t>
                  </w:r>
                </w:p>
              </w:tc>
              <w:tc>
                <w:tcPr>
                  <w:tcW w:w="436" w:type="pct"/>
                  <w:noWrap w:val="0"/>
                  <w:vAlign w:val="center"/>
                </w:tcPr>
                <w:p w14:paraId="4A87311B">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rPr>
                    <w:t>m</w:t>
                  </w:r>
                  <w:r>
                    <w:rPr>
                      <w:color w:val="auto"/>
                      <w:szCs w:val="21"/>
                      <w:highlight w:val="none"/>
                    </w:rPr>
                    <w:t>g/L</w:t>
                  </w:r>
                </w:p>
              </w:tc>
            </w:tr>
            <w:tr w14:paraId="4519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13F11DA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23</w:t>
                  </w:r>
                </w:p>
              </w:tc>
              <w:tc>
                <w:tcPr>
                  <w:tcW w:w="662" w:type="pct"/>
                  <w:noWrap w:val="0"/>
                  <w:vAlign w:val="center"/>
                </w:tcPr>
                <w:p w14:paraId="0C0D0E52">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6881949B">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氰化物</w:t>
                  </w:r>
                </w:p>
              </w:tc>
              <w:tc>
                <w:tcPr>
                  <w:tcW w:w="600" w:type="pct"/>
                  <w:noWrap w:val="0"/>
                  <w:vAlign w:val="center"/>
                </w:tcPr>
                <w:p w14:paraId="7CE96061">
                  <w:pPr>
                    <w:keepNext w:val="0"/>
                    <w:keepLines w:val="0"/>
                    <w:widowControl/>
                    <w:suppressLineNumbers w:val="0"/>
                    <w:spacing w:before="0" w:beforeAutospacing="0" w:after="0" w:afterAutospacing="0"/>
                    <w:ind w:left="0" w:right="0"/>
                    <w:jc w:val="center"/>
                    <w:textAlignment w:val="center"/>
                    <w:rPr>
                      <w:rFonts w:hint="default"/>
                      <w:color w:val="auto"/>
                      <w:kern w:val="0"/>
                      <w:szCs w:val="21"/>
                      <w:highlight w:val="none"/>
                      <w:lang w:val="en-US"/>
                    </w:rPr>
                  </w:pPr>
                  <w:r>
                    <w:rPr>
                      <w:rFonts w:hint="eastAsia"/>
                      <w:color w:val="auto"/>
                      <w:szCs w:val="21"/>
                      <w:highlight w:val="none"/>
                      <w:lang w:val="en-US" w:eastAsia="zh-CN"/>
                    </w:rPr>
                    <w:t>&lt;0.002</w:t>
                  </w:r>
                </w:p>
              </w:tc>
              <w:tc>
                <w:tcPr>
                  <w:tcW w:w="959" w:type="dxa"/>
                  <w:noWrap w:val="0"/>
                  <w:vAlign w:val="center"/>
                </w:tcPr>
                <w:p w14:paraId="2EE62EF0">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szCs w:val="21"/>
                      <w:highlight w:val="none"/>
                      <w:lang w:val="en-US" w:eastAsia="zh-CN"/>
                    </w:rPr>
                    <w:t>&lt;0.002</w:t>
                  </w:r>
                </w:p>
              </w:tc>
              <w:tc>
                <w:tcPr>
                  <w:tcW w:w="959" w:type="dxa"/>
                  <w:noWrap w:val="0"/>
                  <w:vAlign w:val="center"/>
                </w:tcPr>
                <w:p w14:paraId="5537D17C">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szCs w:val="21"/>
                      <w:highlight w:val="none"/>
                      <w:lang w:val="en-US" w:eastAsia="zh-CN"/>
                    </w:rPr>
                    <w:t>&lt;0.002</w:t>
                  </w:r>
                </w:p>
              </w:tc>
              <w:tc>
                <w:tcPr>
                  <w:tcW w:w="959" w:type="dxa"/>
                  <w:noWrap w:val="0"/>
                  <w:vAlign w:val="center"/>
                </w:tcPr>
                <w:p w14:paraId="2D9F7269">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szCs w:val="21"/>
                      <w:highlight w:val="none"/>
                      <w:lang w:val="en-US" w:eastAsia="zh-CN"/>
                    </w:rPr>
                    <w:t>&lt;0.002</w:t>
                  </w:r>
                </w:p>
              </w:tc>
              <w:tc>
                <w:tcPr>
                  <w:tcW w:w="967" w:type="dxa"/>
                  <w:noWrap w:val="0"/>
                  <w:vAlign w:val="center"/>
                </w:tcPr>
                <w:p w14:paraId="6E410E9A">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szCs w:val="21"/>
                      <w:highlight w:val="none"/>
                      <w:lang w:val="en-US" w:eastAsia="zh-CN"/>
                    </w:rPr>
                    <w:t>&lt;0.002</w:t>
                  </w:r>
                </w:p>
              </w:tc>
              <w:tc>
                <w:tcPr>
                  <w:tcW w:w="436" w:type="pct"/>
                  <w:noWrap w:val="0"/>
                  <w:vAlign w:val="center"/>
                </w:tcPr>
                <w:p w14:paraId="7FD3C0B7">
                  <w:pPr>
                    <w:keepNext w:val="0"/>
                    <w:keepLines w:val="0"/>
                    <w:widowControl/>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mg/L</w:t>
                  </w:r>
                </w:p>
              </w:tc>
            </w:tr>
            <w:tr w14:paraId="4C57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6F7F57D6">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24</w:t>
                  </w:r>
                </w:p>
              </w:tc>
              <w:tc>
                <w:tcPr>
                  <w:tcW w:w="662" w:type="pct"/>
                  <w:noWrap w:val="0"/>
                  <w:vAlign w:val="center"/>
                </w:tcPr>
                <w:p w14:paraId="2CDA9C2C">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79AFB820">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氟化物</w:t>
                  </w:r>
                </w:p>
              </w:tc>
              <w:tc>
                <w:tcPr>
                  <w:tcW w:w="600" w:type="pct"/>
                  <w:noWrap w:val="0"/>
                  <w:vAlign w:val="center"/>
                </w:tcPr>
                <w:p w14:paraId="66C631C4">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0.28</w:t>
                  </w:r>
                </w:p>
              </w:tc>
              <w:tc>
                <w:tcPr>
                  <w:tcW w:w="600" w:type="pct"/>
                  <w:noWrap w:val="0"/>
                  <w:vAlign w:val="center"/>
                </w:tcPr>
                <w:p w14:paraId="395B30AB">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0.24</w:t>
                  </w:r>
                </w:p>
              </w:tc>
              <w:tc>
                <w:tcPr>
                  <w:tcW w:w="600" w:type="pct"/>
                  <w:noWrap w:val="0"/>
                  <w:vAlign w:val="center"/>
                </w:tcPr>
                <w:p w14:paraId="4537E739">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0.26</w:t>
                  </w:r>
                </w:p>
              </w:tc>
              <w:tc>
                <w:tcPr>
                  <w:tcW w:w="600" w:type="pct"/>
                  <w:noWrap w:val="0"/>
                  <w:vAlign w:val="center"/>
                </w:tcPr>
                <w:p w14:paraId="1D0C1F39">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0.29</w:t>
                  </w:r>
                </w:p>
              </w:tc>
              <w:tc>
                <w:tcPr>
                  <w:tcW w:w="605" w:type="pct"/>
                  <w:noWrap w:val="0"/>
                  <w:vAlign w:val="center"/>
                </w:tcPr>
                <w:p w14:paraId="35F35B06">
                  <w:pPr>
                    <w:keepNext w:val="0"/>
                    <w:keepLines w:val="0"/>
                    <w:widowControl/>
                    <w:suppressLineNumbers w:val="0"/>
                    <w:spacing w:before="0" w:beforeAutospacing="0" w:after="0" w:afterAutospacing="0"/>
                    <w:ind w:left="0" w:right="0"/>
                    <w:jc w:val="center"/>
                    <w:textAlignment w:val="center"/>
                    <w:rPr>
                      <w:rFonts w:hint="default" w:eastAsia="宋体"/>
                      <w:color w:val="auto"/>
                      <w:szCs w:val="21"/>
                      <w:highlight w:val="none"/>
                      <w:lang w:val="en-US" w:eastAsia="zh-CN"/>
                    </w:rPr>
                  </w:pPr>
                  <w:r>
                    <w:rPr>
                      <w:rFonts w:hint="eastAsia"/>
                      <w:color w:val="auto"/>
                      <w:szCs w:val="21"/>
                      <w:highlight w:val="none"/>
                      <w:lang w:val="en-US" w:eastAsia="zh-CN"/>
                    </w:rPr>
                    <w:t>0.17</w:t>
                  </w:r>
                </w:p>
              </w:tc>
              <w:tc>
                <w:tcPr>
                  <w:tcW w:w="436" w:type="pct"/>
                  <w:noWrap w:val="0"/>
                  <w:vAlign w:val="center"/>
                </w:tcPr>
                <w:p w14:paraId="64B10C71">
                  <w:pPr>
                    <w:keepNext w:val="0"/>
                    <w:keepLines w:val="0"/>
                    <w:suppressLineNumbers w:val="0"/>
                    <w:spacing w:before="0" w:beforeAutospacing="0" w:after="0" w:afterAutospacing="0"/>
                    <w:ind w:left="0" w:right="0"/>
                    <w:jc w:val="center"/>
                    <w:rPr>
                      <w:color w:val="auto"/>
                      <w:kern w:val="0"/>
                      <w:szCs w:val="21"/>
                      <w:highlight w:val="none"/>
                    </w:rPr>
                  </w:pPr>
                  <w:r>
                    <w:rPr>
                      <w:color w:val="auto"/>
                      <w:szCs w:val="21"/>
                      <w:highlight w:val="none"/>
                    </w:rPr>
                    <w:t>mg/L</w:t>
                  </w:r>
                </w:p>
              </w:tc>
            </w:tr>
            <w:tr w14:paraId="72C4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4469A1B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25</w:t>
                  </w:r>
                </w:p>
              </w:tc>
              <w:tc>
                <w:tcPr>
                  <w:tcW w:w="662" w:type="pct"/>
                  <w:noWrap w:val="0"/>
                  <w:vAlign w:val="center"/>
                </w:tcPr>
                <w:p w14:paraId="0190D0F8">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34198EEA">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碘化物</w:t>
                  </w:r>
                </w:p>
              </w:tc>
              <w:tc>
                <w:tcPr>
                  <w:tcW w:w="600" w:type="pct"/>
                  <w:noWrap w:val="0"/>
                  <w:vAlign w:val="center"/>
                </w:tcPr>
                <w:p w14:paraId="7C6A72FA">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&lt;0.025</w:t>
                  </w:r>
                </w:p>
              </w:tc>
              <w:tc>
                <w:tcPr>
                  <w:tcW w:w="600" w:type="pct"/>
                  <w:shd w:val="clear" w:color="auto" w:fill="auto"/>
                  <w:noWrap w:val="0"/>
                  <w:vAlign w:val="center"/>
                </w:tcPr>
                <w:p w14:paraId="03A18CF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&lt;0.025</w:t>
                  </w:r>
                </w:p>
              </w:tc>
              <w:tc>
                <w:tcPr>
                  <w:tcW w:w="959" w:type="dxa"/>
                  <w:noWrap w:val="0"/>
                  <w:vAlign w:val="center"/>
                </w:tcPr>
                <w:p w14:paraId="09F18632">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&lt;0.025</w:t>
                  </w:r>
                </w:p>
              </w:tc>
              <w:tc>
                <w:tcPr>
                  <w:tcW w:w="959" w:type="dxa"/>
                  <w:noWrap w:val="0"/>
                  <w:vAlign w:val="center"/>
                </w:tcPr>
                <w:p w14:paraId="4A3C0B1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&lt;0.025</w:t>
                  </w:r>
                </w:p>
              </w:tc>
              <w:tc>
                <w:tcPr>
                  <w:tcW w:w="967" w:type="dxa"/>
                  <w:noWrap w:val="0"/>
                  <w:vAlign w:val="center"/>
                </w:tcPr>
                <w:p w14:paraId="661D5DCB">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&lt;0.025</w:t>
                  </w:r>
                </w:p>
              </w:tc>
              <w:tc>
                <w:tcPr>
                  <w:tcW w:w="436" w:type="pct"/>
                  <w:noWrap w:val="0"/>
                  <w:vAlign w:val="center"/>
                </w:tcPr>
                <w:p w14:paraId="5BC89E72">
                  <w:pPr>
                    <w:keepNext w:val="0"/>
                    <w:keepLines w:val="0"/>
                    <w:widowControl/>
                    <w:suppressLineNumbers w:val="0"/>
                    <w:adjustRightInd w:val="0"/>
                    <w:snapToGrid w:val="0"/>
                    <w:spacing w:before="0" w:beforeAutospacing="0" w:after="0" w:afterAutospacing="0"/>
                    <w:ind w:left="0" w:right="0"/>
                    <w:jc w:val="center"/>
                    <w:rPr>
                      <w:color w:val="auto"/>
                      <w:szCs w:val="21"/>
                      <w:highlight w:val="none"/>
                    </w:rPr>
                  </w:pPr>
                  <w:r>
                    <w:rPr>
                      <w:color w:val="auto"/>
                      <w:kern w:val="0"/>
                      <w:szCs w:val="21"/>
                      <w:highlight w:val="none"/>
                    </w:rPr>
                    <w:t>mg/L</w:t>
                  </w:r>
                </w:p>
              </w:tc>
            </w:tr>
            <w:tr w14:paraId="4634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4BEDCD0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26</w:t>
                  </w:r>
                </w:p>
              </w:tc>
              <w:tc>
                <w:tcPr>
                  <w:tcW w:w="662" w:type="pct"/>
                  <w:noWrap w:val="0"/>
                  <w:vAlign w:val="center"/>
                </w:tcPr>
                <w:p w14:paraId="2AB4ECB5">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45426FE1">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砷</w:t>
                  </w:r>
                </w:p>
              </w:tc>
              <w:tc>
                <w:tcPr>
                  <w:tcW w:w="600" w:type="pct"/>
                  <w:noWrap w:val="0"/>
                  <w:vAlign w:val="center"/>
                </w:tcPr>
                <w:p w14:paraId="41516F7D">
                  <w:pPr>
                    <w:keepNext w:val="0"/>
                    <w:keepLines w:val="0"/>
                    <w:widowControl/>
                    <w:suppressLineNumbers w:val="0"/>
                    <w:spacing w:before="0" w:beforeAutospacing="0" w:after="0" w:afterAutospacing="0"/>
                    <w:ind w:left="0" w:right="0"/>
                    <w:jc w:val="center"/>
                    <w:textAlignment w:val="center"/>
                    <w:rPr>
                      <w:rFonts w:hint="default"/>
                      <w:color w:val="auto"/>
                      <w:szCs w:val="21"/>
                      <w:highlight w:val="none"/>
                      <w:lang w:val="en-US"/>
                    </w:rPr>
                  </w:pPr>
                  <w:r>
                    <w:rPr>
                      <w:rFonts w:hint="eastAsia"/>
                      <w:color w:val="auto"/>
                      <w:szCs w:val="21"/>
                      <w:highlight w:val="none"/>
                      <w:lang w:val="en-US" w:eastAsia="zh-CN"/>
                    </w:rPr>
                    <w:t>&lt;1.0</w:t>
                  </w:r>
                </w:p>
              </w:tc>
              <w:tc>
                <w:tcPr>
                  <w:tcW w:w="600" w:type="pct"/>
                  <w:shd w:val="clear" w:color="auto" w:fill="auto"/>
                  <w:noWrap w:val="0"/>
                  <w:vAlign w:val="center"/>
                </w:tcPr>
                <w:p w14:paraId="371A7D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&lt;1.0</w:t>
                  </w:r>
                </w:p>
              </w:tc>
              <w:tc>
                <w:tcPr>
                  <w:tcW w:w="959" w:type="dxa"/>
                  <w:noWrap w:val="0"/>
                  <w:vAlign w:val="center"/>
                </w:tcPr>
                <w:p w14:paraId="71017D51">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&lt;1.0</w:t>
                  </w:r>
                </w:p>
              </w:tc>
              <w:tc>
                <w:tcPr>
                  <w:tcW w:w="959" w:type="dxa"/>
                  <w:noWrap w:val="0"/>
                  <w:vAlign w:val="center"/>
                </w:tcPr>
                <w:p w14:paraId="4EEE6258">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&lt;1.0</w:t>
                  </w:r>
                </w:p>
              </w:tc>
              <w:tc>
                <w:tcPr>
                  <w:tcW w:w="967" w:type="dxa"/>
                  <w:noWrap w:val="0"/>
                  <w:vAlign w:val="center"/>
                </w:tcPr>
                <w:p w14:paraId="366FAD3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&lt;1.0</w:t>
                  </w:r>
                </w:p>
              </w:tc>
              <w:tc>
                <w:tcPr>
                  <w:tcW w:w="436" w:type="pct"/>
                  <w:noWrap w:val="0"/>
                  <w:vAlign w:val="center"/>
                </w:tcPr>
                <w:p w14:paraId="560CDC03">
                  <w:pPr>
                    <w:keepNext w:val="0"/>
                    <w:keepLines w:val="0"/>
                    <w:suppressLineNumbers w:val="0"/>
                    <w:spacing w:before="0" w:beforeAutospacing="0" w:after="0" w:afterAutospacing="0"/>
                    <w:ind w:left="0" w:right="0"/>
                    <w:jc w:val="center"/>
                    <w:rPr>
                      <w:color w:val="auto"/>
                      <w:kern w:val="0"/>
                      <w:szCs w:val="21"/>
                      <w:highlight w:val="none"/>
                    </w:rPr>
                  </w:pPr>
                  <w:r>
                    <w:rPr>
                      <w:color w:val="auto"/>
                      <w:szCs w:val="21"/>
                      <w:highlight w:val="none"/>
                    </w:rPr>
                    <w:t>μg/L</w:t>
                  </w:r>
                </w:p>
              </w:tc>
            </w:tr>
            <w:tr w14:paraId="666B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5FB9F128">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27</w:t>
                  </w:r>
                </w:p>
              </w:tc>
              <w:tc>
                <w:tcPr>
                  <w:tcW w:w="662" w:type="pct"/>
                  <w:noWrap w:val="0"/>
                  <w:vAlign w:val="center"/>
                </w:tcPr>
                <w:p w14:paraId="6D57C6B2">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673C4DBB">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汞</w:t>
                  </w:r>
                </w:p>
              </w:tc>
              <w:tc>
                <w:tcPr>
                  <w:tcW w:w="600" w:type="pct"/>
                  <w:noWrap w:val="0"/>
                  <w:vAlign w:val="center"/>
                </w:tcPr>
                <w:p w14:paraId="3C8D1D3D">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&lt;0.1</w:t>
                  </w:r>
                </w:p>
              </w:tc>
              <w:tc>
                <w:tcPr>
                  <w:tcW w:w="600" w:type="pct"/>
                  <w:shd w:val="clear" w:color="auto" w:fill="auto"/>
                  <w:noWrap w:val="0"/>
                  <w:vAlign w:val="center"/>
                </w:tcPr>
                <w:p w14:paraId="45D54543">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&lt;0.1</w:t>
                  </w:r>
                </w:p>
              </w:tc>
              <w:tc>
                <w:tcPr>
                  <w:tcW w:w="959" w:type="dxa"/>
                  <w:noWrap w:val="0"/>
                  <w:vAlign w:val="center"/>
                </w:tcPr>
                <w:p w14:paraId="1AD0C696">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&lt;0.1</w:t>
                  </w:r>
                </w:p>
              </w:tc>
              <w:tc>
                <w:tcPr>
                  <w:tcW w:w="959" w:type="dxa"/>
                  <w:noWrap w:val="0"/>
                  <w:vAlign w:val="center"/>
                </w:tcPr>
                <w:p w14:paraId="1D293234">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&lt;0.1</w:t>
                  </w:r>
                </w:p>
              </w:tc>
              <w:tc>
                <w:tcPr>
                  <w:tcW w:w="967" w:type="dxa"/>
                  <w:noWrap w:val="0"/>
                  <w:vAlign w:val="center"/>
                </w:tcPr>
                <w:p w14:paraId="2EE017CE">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&lt;0.1</w:t>
                  </w:r>
                </w:p>
              </w:tc>
              <w:tc>
                <w:tcPr>
                  <w:tcW w:w="436" w:type="pct"/>
                  <w:noWrap w:val="0"/>
                  <w:vAlign w:val="center"/>
                </w:tcPr>
                <w:p w14:paraId="5B73BF49">
                  <w:pPr>
                    <w:keepNext w:val="0"/>
                    <w:keepLines w:val="0"/>
                    <w:widowControl/>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μg/L</w:t>
                  </w:r>
                </w:p>
              </w:tc>
            </w:tr>
            <w:tr w14:paraId="0DD6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15594CFF">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28</w:t>
                  </w:r>
                </w:p>
              </w:tc>
              <w:tc>
                <w:tcPr>
                  <w:tcW w:w="662" w:type="pct"/>
                  <w:noWrap w:val="0"/>
                  <w:vAlign w:val="center"/>
                </w:tcPr>
                <w:p w14:paraId="05077C0C">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1A38D9FA">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硒</w:t>
                  </w:r>
                </w:p>
              </w:tc>
              <w:tc>
                <w:tcPr>
                  <w:tcW w:w="600" w:type="pct"/>
                  <w:noWrap w:val="0"/>
                  <w:vAlign w:val="center"/>
                </w:tcPr>
                <w:p w14:paraId="1E76D69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&lt;0.4</w:t>
                  </w:r>
                </w:p>
              </w:tc>
              <w:tc>
                <w:tcPr>
                  <w:tcW w:w="600" w:type="pct"/>
                  <w:shd w:val="clear" w:color="auto" w:fill="auto"/>
                  <w:noWrap w:val="0"/>
                  <w:vAlign w:val="center"/>
                </w:tcPr>
                <w:p w14:paraId="454F06CF">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&lt;0.4</w:t>
                  </w:r>
                </w:p>
              </w:tc>
              <w:tc>
                <w:tcPr>
                  <w:tcW w:w="959" w:type="dxa"/>
                  <w:noWrap w:val="0"/>
                  <w:vAlign w:val="center"/>
                </w:tcPr>
                <w:p w14:paraId="1EFD50CA">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&lt;0.4</w:t>
                  </w:r>
                </w:p>
              </w:tc>
              <w:tc>
                <w:tcPr>
                  <w:tcW w:w="959" w:type="dxa"/>
                  <w:noWrap w:val="0"/>
                  <w:vAlign w:val="center"/>
                </w:tcPr>
                <w:p w14:paraId="6C6B608A">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&lt;0.4</w:t>
                  </w:r>
                </w:p>
              </w:tc>
              <w:tc>
                <w:tcPr>
                  <w:tcW w:w="967" w:type="dxa"/>
                  <w:noWrap w:val="0"/>
                  <w:vAlign w:val="center"/>
                </w:tcPr>
                <w:p w14:paraId="19CF89DD">
                  <w:pPr>
                    <w:keepNext w:val="0"/>
                    <w:keepLines w:val="0"/>
                    <w:widowControl/>
                    <w:suppressLineNumbers w:val="0"/>
                    <w:spacing w:before="0" w:beforeAutospacing="0" w:after="0" w:afterAutospacing="0"/>
                    <w:ind w:left="0" w:right="0"/>
                    <w:jc w:val="center"/>
                    <w:textAlignment w:val="center"/>
                    <w:rPr>
                      <w:color w:val="auto"/>
                      <w:highlight w:val="none"/>
                    </w:rPr>
                  </w:pPr>
                  <w:r>
                    <w:rPr>
                      <w:rFonts w:hint="eastAsia"/>
                      <w:color w:val="auto"/>
                      <w:szCs w:val="21"/>
                      <w:highlight w:val="none"/>
                      <w:lang w:val="en-US" w:eastAsia="zh-CN"/>
                    </w:rPr>
                    <w:t>&lt;0.4</w:t>
                  </w:r>
                </w:p>
              </w:tc>
              <w:tc>
                <w:tcPr>
                  <w:tcW w:w="436" w:type="pct"/>
                  <w:noWrap w:val="0"/>
                  <w:vAlign w:val="center"/>
                </w:tcPr>
                <w:p w14:paraId="559E3441">
                  <w:pPr>
                    <w:keepNext w:val="0"/>
                    <w:keepLines w:val="0"/>
                    <w:suppressLineNumbers w:val="0"/>
                    <w:spacing w:before="0" w:beforeAutospacing="0" w:after="0" w:afterAutospacing="0"/>
                    <w:ind w:left="0" w:right="0"/>
                    <w:jc w:val="center"/>
                    <w:rPr>
                      <w:color w:val="auto"/>
                      <w:kern w:val="0"/>
                      <w:szCs w:val="21"/>
                      <w:highlight w:val="none"/>
                    </w:rPr>
                  </w:pPr>
                  <w:r>
                    <w:rPr>
                      <w:color w:val="auto"/>
                      <w:szCs w:val="21"/>
                      <w:highlight w:val="none"/>
                    </w:rPr>
                    <w:t>μg/L.</w:t>
                  </w:r>
                </w:p>
              </w:tc>
            </w:tr>
            <w:tr w14:paraId="0E16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28574292">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29</w:t>
                  </w:r>
                </w:p>
              </w:tc>
              <w:tc>
                <w:tcPr>
                  <w:tcW w:w="662" w:type="pct"/>
                  <w:noWrap w:val="0"/>
                  <w:vAlign w:val="center"/>
                </w:tcPr>
                <w:p w14:paraId="70667F4C">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257160A7">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镉</w:t>
                  </w:r>
                </w:p>
              </w:tc>
              <w:tc>
                <w:tcPr>
                  <w:tcW w:w="600" w:type="pct"/>
                  <w:noWrap w:val="0"/>
                  <w:vAlign w:val="center"/>
                </w:tcPr>
                <w:p w14:paraId="34357742">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&lt;0.5</w:t>
                  </w:r>
                </w:p>
              </w:tc>
              <w:tc>
                <w:tcPr>
                  <w:tcW w:w="600" w:type="pct"/>
                  <w:shd w:val="clear" w:color="auto" w:fill="auto"/>
                  <w:noWrap w:val="0"/>
                  <w:vAlign w:val="center"/>
                </w:tcPr>
                <w:p w14:paraId="272599AF">
                  <w:pPr>
                    <w:keepNext w:val="0"/>
                    <w:keepLines w:val="0"/>
                    <w:widowControl/>
                    <w:suppressLineNumbers w:val="0"/>
                    <w:spacing w:before="0" w:beforeAutospacing="0" w:after="0" w:afterAutospacing="0"/>
                    <w:ind w:left="0" w:right="0"/>
                    <w:jc w:val="center"/>
                    <w:textAlignment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&lt;0.5</w:t>
                  </w:r>
                </w:p>
              </w:tc>
              <w:tc>
                <w:tcPr>
                  <w:tcW w:w="959" w:type="dxa"/>
                  <w:noWrap w:val="0"/>
                  <w:vAlign w:val="center"/>
                </w:tcPr>
                <w:p w14:paraId="0D72CB2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&lt;0.5</w:t>
                  </w:r>
                </w:p>
              </w:tc>
              <w:tc>
                <w:tcPr>
                  <w:tcW w:w="959" w:type="dxa"/>
                  <w:noWrap w:val="0"/>
                  <w:vAlign w:val="center"/>
                </w:tcPr>
                <w:p w14:paraId="036DD74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&lt;0.5</w:t>
                  </w:r>
                </w:p>
              </w:tc>
              <w:tc>
                <w:tcPr>
                  <w:tcW w:w="967" w:type="dxa"/>
                  <w:noWrap w:val="0"/>
                  <w:vAlign w:val="center"/>
                </w:tcPr>
                <w:p w14:paraId="05768C3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&lt;0.5</w:t>
                  </w:r>
                </w:p>
              </w:tc>
              <w:tc>
                <w:tcPr>
                  <w:tcW w:w="436" w:type="pct"/>
                  <w:noWrap w:val="0"/>
                  <w:vAlign w:val="center"/>
                </w:tcPr>
                <w:p w14:paraId="073AB6F9">
                  <w:pPr>
                    <w:keepNext w:val="0"/>
                    <w:keepLines w:val="0"/>
                    <w:suppressLineNumbers w:val="0"/>
                    <w:spacing w:before="0" w:beforeAutospacing="0" w:after="0" w:afterAutospacing="0"/>
                    <w:ind w:left="0" w:right="0"/>
                    <w:jc w:val="center"/>
                    <w:rPr>
                      <w:color w:val="auto"/>
                      <w:kern w:val="0"/>
                      <w:szCs w:val="21"/>
                      <w:highlight w:val="none"/>
                    </w:rPr>
                  </w:pPr>
                  <w:r>
                    <w:rPr>
                      <w:color w:val="auto"/>
                      <w:szCs w:val="21"/>
                      <w:highlight w:val="none"/>
                    </w:rPr>
                    <w:t>μg/L</w:t>
                  </w:r>
                </w:p>
              </w:tc>
            </w:tr>
            <w:tr w14:paraId="1E68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71EFDE13">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30</w:t>
                  </w:r>
                </w:p>
              </w:tc>
              <w:tc>
                <w:tcPr>
                  <w:tcW w:w="662" w:type="pct"/>
                  <w:noWrap w:val="0"/>
                  <w:vAlign w:val="center"/>
                </w:tcPr>
                <w:p w14:paraId="69048398">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7C69B9A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铬</w:t>
                  </w:r>
                </w:p>
              </w:tc>
              <w:tc>
                <w:tcPr>
                  <w:tcW w:w="600" w:type="pct"/>
                  <w:noWrap w:val="0"/>
                  <w:vAlign w:val="center"/>
                </w:tcPr>
                <w:p w14:paraId="605B8AC5">
                  <w:pPr>
                    <w:keepNext w:val="0"/>
                    <w:keepLines w:val="0"/>
                    <w:suppressLineNumbers w:val="0"/>
                    <w:spacing w:before="0" w:beforeAutospacing="0" w:after="0" w:afterAutospacing="0" w:line="300" w:lineRule="exact"/>
                    <w:ind w:left="0" w:right="0"/>
                    <w:jc w:val="center"/>
                    <w:rPr>
                      <w:rFonts w:hint="default"/>
                      <w:color w:val="auto"/>
                      <w:szCs w:val="21"/>
                      <w:highlight w:val="none"/>
                      <w:lang w:val="en-US"/>
                    </w:rPr>
                  </w:pPr>
                  <w:r>
                    <w:rPr>
                      <w:rFonts w:hint="eastAsia"/>
                      <w:color w:val="auto"/>
                      <w:szCs w:val="21"/>
                      <w:highlight w:val="none"/>
                      <w:lang w:val="en-US" w:eastAsia="zh-CN"/>
                    </w:rPr>
                    <w:t>&lt;0.004</w:t>
                  </w:r>
                </w:p>
              </w:tc>
              <w:tc>
                <w:tcPr>
                  <w:tcW w:w="600" w:type="pct"/>
                  <w:shd w:val="clear" w:color="auto" w:fill="auto"/>
                  <w:noWrap w:val="0"/>
                  <w:vAlign w:val="center"/>
                </w:tcPr>
                <w:p w14:paraId="40F478C8">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&lt;0.004</w:t>
                  </w:r>
                </w:p>
              </w:tc>
              <w:tc>
                <w:tcPr>
                  <w:tcW w:w="959" w:type="dxa"/>
                  <w:noWrap w:val="0"/>
                  <w:vAlign w:val="center"/>
                </w:tcPr>
                <w:p w14:paraId="1598A242">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&lt;0.004</w:t>
                  </w:r>
                </w:p>
              </w:tc>
              <w:tc>
                <w:tcPr>
                  <w:tcW w:w="959" w:type="dxa"/>
                  <w:noWrap w:val="0"/>
                  <w:vAlign w:val="center"/>
                </w:tcPr>
                <w:p w14:paraId="1B60F9FA">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&lt;0.004</w:t>
                  </w:r>
                </w:p>
              </w:tc>
              <w:tc>
                <w:tcPr>
                  <w:tcW w:w="967" w:type="dxa"/>
                  <w:noWrap w:val="0"/>
                  <w:vAlign w:val="center"/>
                </w:tcPr>
                <w:p w14:paraId="50F9F89C">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&lt;0.004</w:t>
                  </w:r>
                </w:p>
              </w:tc>
              <w:tc>
                <w:tcPr>
                  <w:tcW w:w="436" w:type="pct"/>
                  <w:noWrap w:val="0"/>
                  <w:vAlign w:val="center"/>
                </w:tcPr>
                <w:p w14:paraId="57F0DA73">
                  <w:pPr>
                    <w:keepNext w:val="0"/>
                    <w:keepLines w:val="0"/>
                    <w:suppressLineNumbers w:val="0"/>
                    <w:spacing w:before="0" w:beforeAutospacing="0" w:after="0" w:afterAutospacing="0"/>
                    <w:ind w:left="0" w:right="0"/>
                    <w:jc w:val="center"/>
                    <w:rPr>
                      <w:color w:val="auto"/>
                      <w:szCs w:val="21"/>
                      <w:highlight w:val="none"/>
                    </w:rPr>
                  </w:pPr>
                  <w:r>
                    <w:rPr>
                      <w:color w:val="auto"/>
                      <w:kern w:val="0"/>
                      <w:szCs w:val="21"/>
                      <w:highlight w:val="none"/>
                    </w:rPr>
                    <w:t>mg/L</w:t>
                  </w:r>
                </w:p>
              </w:tc>
            </w:tr>
            <w:tr w14:paraId="7CE0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024BEDD0">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31</w:t>
                  </w:r>
                </w:p>
              </w:tc>
              <w:tc>
                <w:tcPr>
                  <w:tcW w:w="662" w:type="pct"/>
                  <w:noWrap w:val="0"/>
                  <w:vAlign w:val="center"/>
                </w:tcPr>
                <w:p w14:paraId="1647A512">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29876C1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铅</w:t>
                  </w:r>
                </w:p>
              </w:tc>
              <w:tc>
                <w:tcPr>
                  <w:tcW w:w="600" w:type="pct"/>
                  <w:noWrap w:val="0"/>
                  <w:vAlign w:val="center"/>
                </w:tcPr>
                <w:p w14:paraId="251C613D">
                  <w:pPr>
                    <w:keepNext w:val="0"/>
                    <w:keepLines w:val="0"/>
                    <w:suppressLineNumbers w:val="0"/>
                    <w:spacing w:before="0" w:beforeAutospacing="0" w:after="0" w:afterAutospacing="0" w:line="300" w:lineRule="exact"/>
                    <w:ind w:left="0" w:right="0"/>
                    <w:jc w:val="center"/>
                    <w:rPr>
                      <w:rFonts w:hint="default"/>
                      <w:color w:val="auto"/>
                      <w:szCs w:val="21"/>
                      <w:highlight w:val="none"/>
                      <w:lang w:val="en-US"/>
                    </w:rPr>
                  </w:pPr>
                  <w:r>
                    <w:rPr>
                      <w:rFonts w:hint="eastAsia"/>
                      <w:color w:val="auto"/>
                      <w:szCs w:val="21"/>
                      <w:highlight w:val="none"/>
                      <w:lang w:val="en-US" w:eastAsia="zh-CN"/>
                    </w:rPr>
                    <w:t>&lt;2.5</w:t>
                  </w:r>
                </w:p>
              </w:tc>
              <w:tc>
                <w:tcPr>
                  <w:tcW w:w="600" w:type="pct"/>
                  <w:shd w:val="clear" w:color="auto" w:fill="auto"/>
                  <w:noWrap w:val="0"/>
                  <w:vAlign w:val="center"/>
                </w:tcPr>
                <w:p w14:paraId="1A391228">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&lt;2.5</w:t>
                  </w:r>
                </w:p>
              </w:tc>
              <w:tc>
                <w:tcPr>
                  <w:tcW w:w="959" w:type="dxa"/>
                  <w:noWrap w:val="0"/>
                  <w:vAlign w:val="center"/>
                </w:tcPr>
                <w:p w14:paraId="243F2F28">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&lt;2.5</w:t>
                  </w:r>
                </w:p>
              </w:tc>
              <w:tc>
                <w:tcPr>
                  <w:tcW w:w="959" w:type="dxa"/>
                  <w:noWrap w:val="0"/>
                  <w:vAlign w:val="center"/>
                </w:tcPr>
                <w:p w14:paraId="391B7162">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&lt;2.5</w:t>
                  </w:r>
                </w:p>
              </w:tc>
              <w:tc>
                <w:tcPr>
                  <w:tcW w:w="967" w:type="dxa"/>
                  <w:noWrap w:val="0"/>
                  <w:vAlign w:val="center"/>
                </w:tcPr>
                <w:p w14:paraId="4C24DFFE">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&lt;2.5</w:t>
                  </w:r>
                </w:p>
              </w:tc>
              <w:tc>
                <w:tcPr>
                  <w:tcW w:w="436" w:type="pct"/>
                  <w:noWrap w:val="0"/>
                  <w:vAlign w:val="center"/>
                </w:tcPr>
                <w:p w14:paraId="4C94D344">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μg/L</w:t>
                  </w:r>
                </w:p>
              </w:tc>
            </w:tr>
            <w:tr w14:paraId="6F96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3FEA4580">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32</w:t>
                  </w:r>
                </w:p>
              </w:tc>
              <w:tc>
                <w:tcPr>
                  <w:tcW w:w="662" w:type="pct"/>
                  <w:noWrap w:val="0"/>
                  <w:vAlign w:val="center"/>
                </w:tcPr>
                <w:p w14:paraId="4C5768C7">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6D988B6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三氯甲烷</w:t>
                  </w:r>
                </w:p>
              </w:tc>
              <w:tc>
                <w:tcPr>
                  <w:tcW w:w="600" w:type="pct"/>
                  <w:noWrap w:val="0"/>
                  <w:vAlign w:val="center"/>
                </w:tcPr>
                <w:p w14:paraId="7731E7D2">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&lt;0.2</w:t>
                  </w:r>
                </w:p>
              </w:tc>
              <w:tc>
                <w:tcPr>
                  <w:tcW w:w="600" w:type="pct"/>
                  <w:shd w:val="clear" w:color="auto" w:fill="auto"/>
                  <w:noWrap w:val="0"/>
                  <w:vAlign w:val="center"/>
                </w:tcPr>
                <w:p w14:paraId="172ADFA3">
                  <w:pPr>
                    <w:keepNext w:val="0"/>
                    <w:keepLines w:val="0"/>
                    <w:suppressLineNumbers w:val="0"/>
                    <w:spacing w:before="0" w:beforeAutospacing="0" w:after="0" w:afterAutospacing="0" w:line="300" w:lineRule="exact"/>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&lt;0.2</w:t>
                  </w:r>
                </w:p>
              </w:tc>
              <w:tc>
                <w:tcPr>
                  <w:tcW w:w="959" w:type="dxa"/>
                  <w:noWrap w:val="0"/>
                  <w:vAlign w:val="center"/>
                </w:tcPr>
                <w:p w14:paraId="53F6C9E9">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&lt;0.2</w:t>
                  </w:r>
                </w:p>
              </w:tc>
              <w:tc>
                <w:tcPr>
                  <w:tcW w:w="959" w:type="dxa"/>
                  <w:noWrap w:val="0"/>
                  <w:vAlign w:val="center"/>
                </w:tcPr>
                <w:p w14:paraId="6250E98F">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&lt;0.2</w:t>
                  </w:r>
                </w:p>
              </w:tc>
              <w:tc>
                <w:tcPr>
                  <w:tcW w:w="967" w:type="dxa"/>
                  <w:noWrap w:val="0"/>
                  <w:vAlign w:val="center"/>
                </w:tcPr>
                <w:p w14:paraId="09533D5F">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&lt;0.2</w:t>
                  </w:r>
                </w:p>
              </w:tc>
              <w:tc>
                <w:tcPr>
                  <w:tcW w:w="436" w:type="pct"/>
                  <w:noWrap w:val="0"/>
                  <w:vAlign w:val="center"/>
                </w:tcPr>
                <w:p w14:paraId="130EB7EC">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μg/L</w:t>
                  </w:r>
                </w:p>
              </w:tc>
            </w:tr>
            <w:tr w14:paraId="59D9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0EEE9DEE">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33</w:t>
                  </w:r>
                </w:p>
              </w:tc>
              <w:tc>
                <w:tcPr>
                  <w:tcW w:w="662" w:type="pct"/>
                  <w:noWrap w:val="0"/>
                  <w:vAlign w:val="center"/>
                </w:tcPr>
                <w:p w14:paraId="5F6B6389">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577C10D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四氯化碳</w:t>
                  </w:r>
                </w:p>
              </w:tc>
              <w:tc>
                <w:tcPr>
                  <w:tcW w:w="600" w:type="pct"/>
                  <w:noWrap w:val="0"/>
                  <w:vAlign w:val="center"/>
                </w:tcPr>
                <w:p w14:paraId="5C2060B3">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&lt;0.1</w:t>
                  </w:r>
                </w:p>
              </w:tc>
              <w:tc>
                <w:tcPr>
                  <w:tcW w:w="600" w:type="pct"/>
                  <w:shd w:val="clear" w:color="auto" w:fill="auto"/>
                  <w:noWrap w:val="0"/>
                  <w:vAlign w:val="center"/>
                </w:tcPr>
                <w:p w14:paraId="6B9E3DC7">
                  <w:pPr>
                    <w:keepNext w:val="0"/>
                    <w:keepLines w:val="0"/>
                    <w:suppressLineNumbers w:val="0"/>
                    <w:spacing w:before="0" w:beforeAutospacing="0" w:after="0" w:afterAutospacing="0" w:line="300" w:lineRule="exact"/>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&lt;0.1</w:t>
                  </w:r>
                </w:p>
              </w:tc>
              <w:tc>
                <w:tcPr>
                  <w:tcW w:w="959" w:type="dxa"/>
                  <w:noWrap w:val="0"/>
                  <w:vAlign w:val="center"/>
                </w:tcPr>
                <w:p w14:paraId="4BA858BF">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&lt;0.1</w:t>
                  </w:r>
                </w:p>
              </w:tc>
              <w:tc>
                <w:tcPr>
                  <w:tcW w:w="959" w:type="dxa"/>
                  <w:noWrap w:val="0"/>
                  <w:vAlign w:val="center"/>
                </w:tcPr>
                <w:p w14:paraId="645EBABB">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&lt;0.1</w:t>
                  </w:r>
                </w:p>
              </w:tc>
              <w:tc>
                <w:tcPr>
                  <w:tcW w:w="967" w:type="dxa"/>
                  <w:noWrap w:val="0"/>
                  <w:vAlign w:val="center"/>
                </w:tcPr>
                <w:p w14:paraId="29EAE9C9">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&lt;0.1</w:t>
                  </w:r>
                </w:p>
              </w:tc>
              <w:tc>
                <w:tcPr>
                  <w:tcW w:w="436" w:type="pct"/>
                  <w:noWrap w:val="0"/>
                  <w:vAlign w:val="center"/>
                </w:tcPr>
                <w:p w14:paraId="1BA14C28">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μg/L</w:t>
                  </w:r>
                </w:p>
              </w:tc>
            </w:tr>
            <w:tr w14:paraId="335A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35D06D8A">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34</w:t>
                  </w:r>
                </w:p>
              </w:tc>
              <w:tc>
                <w:tcPr>
                  <w:tcW w:w="662" w:type="pct"/>
                  <w:noWrap w:val="0"/>
                  <w:vAlign w:val="center"/>
                </w:tcPr>
                <w:p w14:paraId="57D82762">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11DDC7BB">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苯</w:t>
                  </w:r>
                </w:p>
              </w:tc>
              <w:tc>
                <w:tcPr>
                  <w:tcW w:w="600" w:type="pct"/>
                  <w:noWrap w:val="0"/>
                  <w:vAlign w:val="center"/>
                </w:tcPr>
                <w:p w14:paraId="1D80B8BA">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1A3E2C48">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0A1B3AB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1F910A41">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5" w:type="pct"/>
                  <w:noWrap w:val="0"/>
                  <w:vAlign w:val="center"/>
                </w:tcPr>
                <w:p w14:paraId="7C828C7F">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436" w:type="pct"/>
                  <w:noWrap w:val="0"/>
                  <w:vAlign w:val="center"/>
                </w:tcPr>
                <w:p w14:paraId="7D3C549B">
                  <w:pPr>
                    <w:keepNext w:val="0"/>
                    <w:keepLines w:val="0"/>
                    <w:suppressLineNumbers w:val="0"/>
                    <w:spacing w:before="0" w:beforeAutospacing="0" w:after="0" w:afterAutospacing="0"/>
                    <w:ind w:left="0" w:right="0"/>
                    <w:jc w:val="center"/>
                    <w:rPr>
                      <w:color w:val="auto"/>
                      <w:szCs w:val="21"/>
                      <w:highlight w:val="none"/>
                    </w:rPr>
                  </w:pPr>
                  <w:r>
                    <w:rPr>
                      <w:color w:val="auto"/>
                      <w:kern w:val="0"/>
                      <w:szCs w:val="21"/>
                      <w:highlight w:val="none"/>
                    </w:rPr>
                    <w:t>mg/L</w:t>
                  </w:r>
                </w:p>
              </w:tc>
            </w:tr>
            <w:tr w14:paraId="338E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179568B6">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35</w:t>
                  </w:r>
                </w:p>
              </w:tc>
              <w:tc>
                <w:tcPr>
                  <w:tcW w:w="662" w:type="pct"/>
                  <w:noWrap w:val="0"/>
                  <w:vAlign w:val="center"/>
                </w:tcPr>
                <w:p w14:paraId="41DCBC7F">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7FEAF848">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甲苯</w:t>
                  </w:r>
                </w:p>
              </w:tc>
              <w:tc>
                <w:tcPr>
                  <w:tcW w:w="600" w:type="pct"/>
                  <w:noWrap w:val="0"/>
                  <w:vAlign w:val="center"/>
                </w:tcPr>
                <w:p w14:paraId="3F1A241B">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33BA7A18">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4C3845A9">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7F2CB5EC">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5" w:type="pct"/>
                  <w:noWrap w:val="0"/>
                  <w:vAlign w:val="center"/>
                </w:tcPr>
                <w:p w14:paraId="0430994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436" w:type="pct"/>
                  <w:noWrap w:val="0"/>
                  <w:vAlign w:val="center"/>
                </w:tcPr>
                <w:p w14:paraId="516309B5">
                  <w:pPr>
                    <w:keepNext w:val="0"/>
                    <w:keepLines w:val="0"/>
                    <w:suppressLineNumbers w:val="0"/>
                    <w:spacing w:before="0" w:beforeAutospacing="0" w:after="0" w:afterAutospacing="0"/>
                    <w:ind w:left="0" w:right="0"/>
                    <w:jc w:val="center"/>
                    <w:rPr>
                      <w:color w:val="auto"/>
                      <w:szCs w:val="21"/>
                      <w:highlight w:val="none"/>
                    </w:rPr>
                  </w:pPr>
                  <w:r>
                    <w:rPr>
                      <w:color w:val="auto"/>
                      <w:kern w:val="0"/>
                      <w:szCs w:val="21"/>
                      <w:highlight w:val="none"/>
                    </w:rPr>
                    <w:t>mg/L</w:t>
                  </w:r>
                </w:p>
              </w:tc>
            </w:tr>
            <w:tr w14:paraId="1438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375B19BC">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36</w:t>
                  </w:r>
                </w:p>
              </w:tc>
              <w:tc>
                <w:tcPr>
                  <w:tcW w:w="662" w:type="pct"/>
                  <w:noWrap w:val="0"/>
                  <w:vAlign w:val="center"/>
                </w:tcPr>
                <w:p w14:paraId="4D7F5D96">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6ED069E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二甲苯</w:t>
                  </w:r>
                </w:p>
              </w:tc>
              <w:tc>
                <w:tcPr>
                  <w:tcW w:w="600" w:type="pct"/>
                  <w:noWrap w:val="0"/>
                  <w:vAlign w:val="center"/>
                </w:tcPr>
                <w:p w14:paraId="04996CDB">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3DE9551A">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5A45163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57905A89">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5" w:type="pct"/>
                  <w:noWrap w:val="0"/>
                  <w:vAlign w:val="center"/>
                </w:tcPr>
                <w:p w14:paraId="123F740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436" w:type="pct"/>
                  <w:noWrap w:val="0"/>
                  <w:vAlign w:val="center"/>
                </w:tcPr>
                <w:p w14:paraId="3163C82B">
                  <w:pPr>
                    <w:keepNext w:val="0"/>
                    <w:keepLines w:val="0"/>
                    <w:suppressLineNumbers w:val="0"/>
                    <w:spacing w:before="0" w:beforeAutospacing="0" w:after="0" w:afterAutospacing="0"/>
                    <w:ind w:left="0" w:right="0"/>
                    <w:jc w:val="center"/>
                    <w:rPr>
                      <w:color w:val="auto"/>
                      <w:szCs w:val="21"/>
                      <w:highlight w:val="none"/>
                    </w:rPr>
                  </w:pPr>
                  <w:r>
                    <w:rPr>
                      <w:color w:val="auto"/>
                      <w:kern w:val="0"/>
                      <w:szCs w:val="21"/>
                      <w:highlight w:val="none"/>
                    </w:rPr>
                    <w:t>mg/L</w:t>
                  </w:r>
                </w:p>
              </w:tc>
            </w:tr>
            <w:tr w14:paraId="4E20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67C8CBDC">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37</w:t>
                  </w:r>
                </w:p>
              </w:tc>
              <w:tc>
                <w:tcPr>
                  <w:tcW w:w="662" w:type="pct"/>
                  <w:noWrap w:val="0"/>
                  <w:vAlign w:val="center"/>
                </w:tcPr>
                <w:p w14:paraId="0C850784">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43B4AEB6">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苯乙烯</w:t>
                  </w:r>
                </w:p>
              </w:tc>
              <w:tc>
                <w:tcPr>
                  <w:tcW w:w="600" w:type="pct"/>
                  <w:noWrap w:val="0"/>
                  <w:vAlign w:val="center"/>
                </w:tcPr>
                <w:p w14:paraId="7E990D74">
                  <w:pPr>
                    <w:keepNext w:val="0"/>
                    <w:keepLines w:val="0"/>
                    <w:suppressLineNumbers w:val="0"/>
                    <w:spacing w:before="0" w:beforeAutospacing="0" w:after="0" w:afterAutospacing="0" w:line="300" w:lineRule="exact"/>
                    <w:ind w:left="0" w:right="0"/>
                    <w:jc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0C4D63BE">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74765AC2">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6AE5F93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5" w:type="pct"/>
                  <w:noWrap w:val="0"/>
                  <w:vAlign w:val="center"/>
                </w:tcPr>
                <w:p w14:paraId="0496FC7C">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436" w:type="pct"/>
                  <w:noWrap w:val="0"/>
                  <w:vAlign w:val="center"/>
                </w:tcPr>
                <w:p w14:paraId="20737527">
                  <w:pPr>
                    <w:keepNext w:val="0"/>
                    <w:keepLines w:val="0"/>
                    <w:suppressLineNumbers w:val="0"/>
                    <w:spacing w:before="0" w:beforeAutospacing="0" w:after="0" w:afterAutospacing="0"/>
                    <w:ind w:left="0" w:right="0"/>
                    <w:jc w:val="center"/>
                    <w:rPr>
                      <w:color w:val="auto"/>
                      <w:szCs w:val="21"/>
                      <w:highlight w:val="none"/>
                    </w:rPr>
                  </w:pPr>
                  <w:r>
                    <w:rPr>
                      <w:color w:val="auto"/>
                      <w:kern w:val="0"/>
                      <w:szCs w:val="21"/>
                      <w:highlight w:val="none"/>
                    </w:rPr>
                    <w:t>mg/L</w:t>
                  </w:r>
                </w:p>
              </w:tc>
            </w:tr>
            <w:tr w14:paraId="5766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09" w:type="pct"/>
                  <w:noWrap w:val="0"/>
                  <w:vAlign w:val="center"/>
                </w:tcPr>
                <w:p w14:paraId="6BB4D4D5">
                  <w:pPr>
                    <w:keepNext w:val="0"/>
                    <w:keepLines w:val="0"/>
                    <w:suppressLineNumbers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38</w:t>
                  </w:r>
                </w:p>
              </w:tc>
              <w:tc>
                <w:tcPr>
                  <w:tcW w:w="662" w:type="pct"/>
                  <w:noWrap w:val="0"/>
                  <w:vAlign w:val="center"/>
                </w:tcPr>
                <w:p w14:paraId="32AD6C10">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202</w:t>
                  </w:r>
                  <w:r>
                    <w:rPr>
                      <w:rFonts w:hint="eastAsia"/>
                      <w:color w:val="auto"/>
                      <w:szCs w:val="21"/>
                      <w:highlight w:val="none"/>
                      <w:lang w:val="en-US" w:eastAsia="zh-CN"/>
                    </w:rPr>
                    <w:t>5.9.13</w:t>
                  </w:r>
                </w:p>
              </w:tc>
              <w:tc>
                <w:tcPr>
                  <w:tcW w:w="586" w:type="pct"/>
                  <w:shd w:val="clear" w:color="auto" w:fill="auto"/>
                  <w:noWrap w:val="0"/>
                  <w:vAlign w:val="center"/>
                </w:tcPr>
                <w:p w14:paraId="3741FF90">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乙烯</w:t>
                  </w:r>
                </w:p>
              </w:tc>
              <w:tc>
                <w:tcPr>
                  <w:tcW w:w="600" w:type="pct"/>
                  <w:noWrap w:val="0"/>
                  <w:vAlign w:val="center"/>
                </w:tcPr>
                <w:p w14:paraId="62D51975">
                  <w:pPr>
                    <w:keepNext w:val="0"/>
                    <w:keepLines w:val="0"/>
                    <w:suppressLineNumbers w:val="0"/>
                    <w:spacing w:before="0" w:beforeAutospacing="0" w:after="0" w:afterAutospacing="0" w:line="300" w:lineRule="exact"/>
                    <w:ind w:left="0" w:right="0"/>
                    <w:jc w:val="center"/>
                    <w:rPr>
                      <w:rFonts w:hint="default"/>
                      <w:color w:val="auto"/>
                      <w:szCs w:val="21"/>
                      <w:highlight w:val="none"/>
                      <w:lang w:val="en-US"/>
                    </w:rPr>
                  </w:pPr>
                  <w:r>
                    <w:rPr>
                      <w:rFonts w:hint="eastAsia"/>
                      <w:color w:val="auto"/>
                      <w:szCs w:val="21"/>
                      <w:highlight w:val="none"/>
                      <w:lang w:val="en-US" w:eastAsia="zh-CN"/>
                    </w:rPr>
                    <w:t>&lt;0.05</w:t>
                  </w:r>
                </w:p>
              </w:tc>
              <w:tc>
                <w:tcPr>
                  <w:tcW w:w="600" w:type="pct"/>
                  <w:noWrap w:val="0"/>
                  <w:vAlign w:val="center"/>
                </w:tcPr>
                <w:p w14:paraId="5B2053E4">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1BBED240">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0" w:type="pct"/>
                  <w:noWrap w:val="0"/>
                  <w:vAlign w:val="center"/>
                </w:tcPr>
                <w:p w14:paraId="6B98AFFD">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605" w:type="pct"/>
                  <w:noWrap w:val="0"/>
                  <w:vAlign w:val="center"/>
                </w:tcPr>
                <w:p w14:paraId="43F921D5">
                  <w:pPr>
                    <w:keepNext w:val="0"/>
                    <w:keepLines w:val="0"/>
                    <w:widowControl/>
                    <w:suppressLineNumbers w:val="0"/>
                    <w:spacing w:before="0" w:beforeAutospacing="0" w:after="0" w:afterAutospacing="0"/>
                    <w:ind w:left="0" w:right="0"/>
                    <w:jc w:val="center"/>
                    <w:textAlignment w:val="center"/>
                    <w:rPr>
                      <w:color w:val="auto"/>
                      <w:szCs w:val="21"/>
                      <w:highlight w:val="none"/>
                    </w:rPr>
                  </w:pPr>
                  <w:r>
                    <w:rPr>
                      <w:rFonts w:hint="eastAsia"/>
                      <w:color w:val="auto"/>
                      <w:szCs w:val="21"/>
                      <w:highlight w:val="none"/>
                      <w:lang w:val="en-US" w:eastAsia="zh-CN"/>
                    </w:rPr>
                    <w:t>&lt;0.05</w:t>
                  </w:r>
                </w:p>
              </w:tc>
              <w:tc>
                <w:tcPr>
                  <w:tcW w:w="436" w:type="pct"/>
                  <w:noWrap w:val="0"/>
                  <w:vAlign w:val="center"/>
                </w:tcPr>
                <w:p w14:paraId="5660E07E">
                  <w:pPr>
                    <w:keepNext w:val="0"/>
                    <w:keepLines w:val="0"/>
                    <w:suppressLineNumbers w:val="0"/>
                    <w:spacing w:before="0" w:beforeAutospacing="0" w:after="0" w:afterAutospacing="0"/>
                    <w:ind w:left="0" w:right="0"/>
                    <w:jc w:val="center"/>
                    <w:rPr>
                      <w:color w:val="auto"/>
                      <w:szCs w:val="21"/>
                      <w:highlight w:val="none"/>
                    </w:rPr>
                  </w:pPr>
                  <w:r>
                    <w:rPr>
                      <w:color w:val="auto"/>
                      <w:kern w:val="0"/>
                      <w:szCs w:val="21"/>
                      <w:highlight w:val="none"/>
                    </w:rPr>
                    <w:t>mg/L</w:t>
                  </w:r>
                </w:p>
              </w:tc>
            </w:tr>
          </w:tbl>
          <w:p w14:paraId="4D634C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b/>
                <w:bCs/>
                <w:color w:val="auto"/>
                <w:sz w:val="24"/>
                <w:highlight w:val="none"/>
              </w:rPr>
            </w:pPr>
            <w:r>
              <w:rPr>
                <w:rFonts w:hint="eastAsia"/>
                <w:bCs/>
                <w:color w:val="auto"/>
                <w:sz w:val="24"/>
                <w:highlight w:val="none"/>
              </w:rPr>
              <w:t>监测及评价结果表明：地下水监测数据各项监测指标均符合《地下水质量标准》（GB/T14848-2017）III类标准，地下水水质较好。</w:t>
            </w:r>
          </w:p>
          <w:p w14:paraId="0BAB66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left"/>
              <w:textAlignment w:val="auto"/>
              <w:rPr>
                <w:rFonts w:hint="eastAsia"/>
                <w:b/>
                <w:bCs/>
                <w:color w:val="auto"/>
                <w:sz w:val="24"/>
                <w:highlight w:val="none"/>
              </w:rPr>
            </w:pPr>
            <w:r>
              <w:rPr>
                <w:rFonts w:hint="eastAsia"/>
                <w:b/>
                <w:bCs/>
                <w:color w:val="auto"/>
                <w:sz w:val="24"/>
                <w:highlight w:val="none"/>
                <w:lang w:val="en-US" w:eastAsia="zh-CN"/>
              </w:rPr>
              <w:t>5、</w:t>
            </w:r>
            <w:r>
              <w:rPr>
                <w:rFonts w:hint="eastAsia"/>
                <w:b/>
                <w:bCs/>
                <w:color w:val="auto"/>
                <w:sz w:val="24"/>
                <w:highlight w:val="none"/>
              </w:rPr>
              <w:t>土壤</w:t>
            </w:r>
          </w:p>
          <w:p w14:paraId="351CC4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FF0000"/>
                <w:sz w:val="24"/>
                <w:highlight w:val="none"/>
              </w:rPr>
              <w:t>本项目在充分考虑土</w:t>
            </w:r>
            <w:r>
              <w:rPr>
                <w:rFonts w:hint="eastAsia" w:ascii="Times New Roman" w:hAnsi="Times New Roman" w:eastAsia="宋体" w:cs="Times New Roman"/>
                <w:bCs/>
                <w:color w:val="auto"/>
                <w:sz w:val="24"/>
                <w:highlight w:val="none"/>
              </w:rPr>
              <w:t>地利用类型及土壤类型基础上，共布设了</w:t>
            </w:r>
            <w:r>
              <w:rPr>
                <w:rFonts w:hint="eastAsia" w:cs="Times New Roman"/>
                <w:bCs/>
                <w:color w:val="auto"/>
                <w:sz w:val="24"/>
                <w:highlight w:val="none"/>
                <w:lang w:val="en-US" w:eastAsia="zh-CN"/>
              </w:rPr>
              <w:t>5</w:t>
            </w:r>
            <w:r>
              <w:rPr>
                <w:rFonts w:hint="eastAsia" w:ascii="Times New Roman" w:hAnsi="Times New Roman" w:eastAsia="宋体" w:cs="Times New Roman"/>
                <w:bCs/>
                <w:color w:val="auto"/>
                <w:sz w:val="24"/>
                <w:highlight w:val="none"/>
              </w:rPr>
              <w:t>个土壤监测点，汉圣化工（抚顺）有限公司于2025年9月13日委托辽宁创宁生态环境科技对厂区</w:t>
            </w:r>
            <w:r>
              <w:rPr>
                <w:rFonts w:hint="eastAsia" w:cs="Times New Roman"/>
                <w:bCs/>
                <w:color w:val="auto"/>
                <w:sz w:val="24"/>
                <w:highlight w:val="none"/>
                <w:lang w:val="en-US" w:eastAsia="zh-CN"/>
              </w:rPr>
              <w:t>土壤</w:t>
            </w:r>
            <w:r>
              <w:rPr>
                <w:rFonts w:hint="eastAsia" w:ascii="Times New Roman" w:hAnsi="Times New Roman" w:eastAsia="宋体" w:cs="Times New Roman"/>
                <w:bCs/>
                <w:color w:val="auto"/>
                <w:sz w:val="24"/>
                <w:highlight w:val="none"/>
              </w:rPr>
              <w:t>环境进行检测，检测文号：CNHJ-WT-2508141，检测结果详见下表。</w:t>
            </w:r>
          </w:p>
          <w:p w14:paraId="24D08B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①监测点位：</w:t>
            </w:r>
            <w:r>
              <w:rPr>
                <w:rFonts w:hint="eastAsia" w:ascii="Times New Roman" w:hAnsi="Times New Roman" w:eastAsia="宋体" w:cs="Times New Roman"/>
                <w:color w:val="auto"/>
                <w:sz w:val="24"/>
                <w:highlight w:val="none"/>
                <w:lang w:val="en-US" w:eastAsia="zh-CN"/>
              </w:rPr>
              <w:t>1#</w:t>
            </w:r>
            <w:r>
              <w:rPr>
                <w:rFonts w:hint="eastAsia" w:ascii="Times New Roman" w:hAnsi="Times New Roman" w:eastAsia="宋体" w:cs="Times New Roman"/>
                <w:color w:val="auto"/>
                <w:sz w:val="24"/>
                <w:highlight w:val="none"/>
              </w:rPr>
              <w:t>罐区</w:t>
            </w:r>
            <w:r>
              <w:rPr>
                <w:rFonts w:hint="eastAsia" w:ascii="Times New Roman" w:hAnsi="Times New Roman" w:eastAsia="宋体" w:cs="Times New Roman"/>
                <w:color w:val="auto"/>
                <w:sz w:val="24"/>
                <w:highlight w:val="none"/>
                <w:lang w:val="en-US" w:eastAsia="zh-CN"/>
              </w:rPr>
              <w:t>东侧、2#</w:t>
            </w:r>
            <w:r>
              <w:rPr>
                <w:rFonts w:hint="eastAsia" w:ascii="Times New Roman" w:hAnsi="Times New Roman" w:eastAsia="宋体" w:cs="Times New Roman"/>
                <w:color w:val="auto"/>
                <w:sz w:val="24"/>
                <w:highlight w:val="none"/>
              </w:rPr>
              <w:t>生产车间西侧</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3#</w:t>
            </w:r>
            <w:r>
              <w:rPr>
                <w:rFonts w:hint="eastAsia" w:ascii="Times New Roman" w:hAnsi="Times New Roman" w:eastAsia="宋体" w:cs="Times New Roman"/>
                <w:color w:val="auto"/>
                <w:sz w:val="24"/>
                <w:highlight w:val="none"/>
              </w:rPr>
              <w:t>地下事故池西侧</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4#</w:t>
            </w:r>
            <w:r>
              <w:rPr>
                <w:rFonts w:hint="eastAsia" w:ascii="Times New Roman" w:hAnsi="Times New Roman" w:eastAsia="宋体" w:cs="Times New Roman"/>
                <w:color w:val="auto"/>
                <w:sz w:val="24"/>
                <w:highlight w:val="none"/>
              </w:rPr>
              <w:t>成品库房及原料库房西侧</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5#</w:t>
            </w:r>
            <w:r>
              <w:rPr>
                <w:rFonts w:hint="eastAsia" w:ascii="Times New Roman" w:hAnsi="Times New Roman" w:eastAsia="宋体" w:cs="Times New Roman"/>
                <w:color w:val="auto"/>
                <w:sz w:val="24"/>
                <w:highlight w:val="none"/>
              </w:rPr>
              <w:t>厂区中心东南侧1483m处</w:t>
            </w:r>
          </w:p>
          <w:p w14:paraId="2F7FC4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lang w:val="en-US" w:eastAsia="zh-CN"/>
              </w:rPr>
              <w:t>②</w:t>
            </w:r>
            <w:r>
              <w:rPr>
                <w:rFonts w:hint="eastAsia" w:ascii="Times New Roman" w:hAnsi="Times New Roman" w:eastAsia="宋体" w:cs="Times New Roman"/>
                <w:bCs/>
                <w:color w:val="auto"/>
                <w:sz w:val="24"/>
                <w:highlight w:val="none"/>
              </w:rPr>
              <w:t>监测分析方法</w:t>
            </w:r>
          </w:p>
          <w:p w14:paraId="3B2D5CA9">
            <w:pPr>
              <w:keepNext w:val="0"/>
              <w:keepLines w:val="0"/>
              <w:suppressLineNumbers w:val="0"/>
              <w:spacing w:before="0" w:beforeAutospacing="0" w:after="0" w:afterAutospacing="0" w:line="360" w:lineRule="exact"/>
              <w:ind w:left="0" w:right="0"/>
              <w:jc w:val="center"/>
              <w:rPr>
                <w:color w:val="auto"/>
                <w:sz w:val="24"/>
                <w:szCs w:val="22"/>
                <w:highlight w:val="none"/>
              </w:rPr>
            </w:pPr>
            <w:r>
              <w:rPr>
                <w:color w:val="auto"/>
                <w:sz w:val="24"/>
                <w:highlight w:val="none"/>
              </w:rPr>
              <w:t>表</w:t>
            </w:r>
            <w:r>
              <w:rPr>
                <w:rFonts w:hint="eastAsia"/>
                <w:color w:val="auto"/>
                <w:sz w:val="24"/>
                <w:highlight w:val="none"/>
                <w:lang w:val="en-US" w:eastAsia="zh-CN"/>
              </w:rPr>
              <w:t>3-7</w:t>
            </w:r>
            <w:r>
              <w:rPr>
                <w:rFonts w:hint="eastAsia"/>
                <w:color w:val="auto"/>
                <w:sz w:val="24"/>
                <w:highlight w:val="none"/>
              </w:rPr>
              <w:t xml:space="preserve">  </w:t>
            </w:r>
            <w:r>
              <w:rPr>
                <w:color w:val="auto"/>
                <w:sz w:val="24"/>
                <w:highlight w:val="none"/>
              </w:rPr>
              <w:t>土壤监测方法一览表</w:t>
            </w:r>
          </w:p>
          <w:tbl>
            <w:tblPr>
              <w:tblStyle w:val="27"/>
              <w:tblW w:w="7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95"/>
              <w:gridCol w:w="3301"/>
              <w:gridCol w:w="1302"/>
              <w:gridCol w:w="1226"/>
            </w:tblGrid>
            <w:tr w14:paraId="5F2E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1741AF17">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序号</w:t>
                  </w:r>
                </w:p>
              </w:tc>
              <w:tc>
                <w:tcPr>
                  <w:tcW w:w="1495" w:type="dxa"/>
                  <w:noWrap w:val="0"/>
                  <w:vAlign w:val="center"/>
                </w:tcPr>
                <w:p w14:paraId="17DDB1A0">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检测项目</w:t>
                  </w:r>
                </w:p>
              </w:tc>
              <w:tc>
                <w:tcPr>
                  <w:tcW w:w="3301" w:type="dxa"/>
                  <w:noWrap w:val="0"/>
                  <w:vAlign w:val="center"/>
                </w:tcPr>
                <w:p w14:paraId="4AFA960A">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分析方法及标准号</w:t>
                  </w:r>
                </w:p>
              </w:tc>
              <w:tc>
                <w:tcPr>
                  <w:tcW w:w="1302" w:type="dxa"/>
                  <w:noWrap w:val="0"/>
                  <w:vAlign w:val="center"/>
                </w:tcPr>
                <w:p w14:paraId="7F181F70">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分析仪器名称及型号</w:t>
                  </w:r>
                </w:p>
              </w:tc>
              <w:tc>
                <w:tcPr>
                  <w:tcW w:w="1226" w:type="dxa"/>
                  <w:noWrap w:val="0"/>
                  <w:vAlign w:val="center"/>
                </w:tcPr>
                <w:p w14:paraId="5E689C1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检出限</w:t>
                  </w:r>
                </w:p>
              </w:tc>
            </w:tr>
            <w:tr w14:paraId="13DC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23DE9609">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1</w:t>
                  </w:r>
                </w:p>
              </w:tc>
              <w:tc>
                <w:tcPr>
                  <w:tcW w:w="1495" w:type="dxa"/>
                  <w:noWrap w:val="0"/>
                  <w:vAlign w:val="center"/>
                </w:tcPr>
                <w:p w14:paraId="1222D22B">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pH</w:t>
                  </w:r>
                </w:p>
              </w:tc>
              <w:tc>
                <w:tcPr>
                  <w:tcW w:w="3301" w:type="dxa"/>
                  <w:noWrap w:val="0"/>
                  <w:vAlign w:val="center"/>
                </w:tcPr>
                <w:p w14:paraId="4D809511">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土壤 pH 值的测定 电位法（HJ 962-2018）</w:t>
                  </w:r>
                </w:p>
              </w:tc>
              <w:tc>
                <w:tcPr>
                  <w:tcW w:w="1302" w:type="dxa"/>
                  <w:noWrap w:val="0"/>
                  <w:vAlign w:val="center"/>
                </w:tcPr>
                <w:p w14:paraId="0990D87A">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color w:val="auto"/>
                      <w:szCs w:val="21"/>
                      <w:highlight w:val="none"/>
                    </w:rPr>
                    <w:t>PHS-3</w:t>
                  </w:r>
                  <w:r>
                    <w:rPr>
                      <w:rFonts w:hint="eastAsia"/>
                      <w:color w:val="auto"/>
                      <w:szCs w:val="21"/>
                      <w:highlight w:val="none"/>
                      <w:lang w:val="en-US" w:eastAsia="zh-CN"/>
                    </w:rPr>
                    <w:t>E型pH计</w:t>
                  </w:r>
                </w:p>
              </w:tc>
              <w:tc>
                <w:tcPr>
                  <w:tcW w:w="1226" w:type="dxa"/>
                  <w:noWrap w:val="0"/>
                  <w:vAlign w:val="center"/>
                </w:tcPr>
                <w:p w14:paraId="228E3B4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w:t>
                  </w:r>
                </w:p>
              </w:tc>
            </w:tr>
            <w:tr w14:paraId="6892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1EBFD20B">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2</w:t>
                  </w:r>
                </w:p>
              </w:tc>
              <w:tc>
                <w:tcPr>
                  <w:tcW w:w="1495" w:type="dxa"/>
                  <w:noWrap w:val="0"/>
                  <w:vAlign w:val="center"/>
                </w:tcPr>
                <w:p w14:paraId="207636AF">
                  <w:pPr>
                    <w:keepNext w:val="0"/>
                    <w:keepLines w:val="0"/>
                    <w:suppressLineNumbers w:val="0"/>
                    <w:spacing w:before="0" w:beforeAutospacing="0" w:after="0" w:afterAutospacing="0"/>
                    <w:ind w:left="0" w:right="0"/>
                    <w:jc w:val="center"/>
                    <w:rPr>
                      <w:color w:val="auto"/>
                      <w:szCs w:val="21"/>
                      <w:highlight w:val="none"/>
                    </w:rPr>
                  </w:pPr>
                  <w:r>
                    <w:rPr>
                      <w:color w:val="auto"/>
                      <w:highlight w:val="none"/>
                    </w:rPr>
                    <w:t>砷</w:t>
                  </w:r>
                </w:p>
              </w:tc>
              <w:tc>
                <w:tcPr>
                  <w:tcW w:w="3301" w:type="dxa"/>
                  <w:noWrap w:val="0"/>
                  <w:vAlign w:val="center"/>
                </w:tcPr>
                <w:p w14:paraId="24D00281">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土壤质量 总汞、总砷、总铅的测定 原子荧光法 第 2 部分：土壤中总砷的测定（GB/T 22105.2-2008）</w:t>
                  </w:r>
                </w:p>
              </w:tc>
              <w:tc>
                <w:tcPr>
                  <w:tcW w:w="1302" w:type="dxa"/>
                  <w:noWrap w:val="0"/>
                  <w:vAlign w:val="center"/>
                </w:tcPr>
                <w:p w14:paraId="2396ED9F">
                  <w:pPr>
                    <w:keepNext w:val="0"/>
                    <w:keepLines w:val="0"/>
                    <w:suppressLineNumbers w:val="0"/>
                    <w:spacing w:before="0" w:beforeAutospacing="0" w:after="0" w:afterAutospacing="0"/>
                    <w:ind w:left="0" w:right="0"/>
                    <w:jc w:val="center"/>
                    <w:rPr>
                      <w:color w:val="auto"/>
                      <w:szCs w:val="21"/>
                      <w:highlight w:val="none"/>
                    </w:rPr>
                  </w:pPr>
                  <w:r>
                    <w:rPr>
                      <w:rFonts w:hint="eastAsia"/>
                      <w:color w:val="auto"/>
                      <w:kern w:val="0"/>
                      <w:szCs w:val="21"/>
                      <w:highlight w:val="none"/>
                      <w:lang w:val="en-US" w:eastAsia="zh-CN"/>
                    </w:rPr>
                    <w:t>GGX-830型原子吸收分光光度计</w:t>
                  </w:r>
                </w:p>
              </w:tc>
              <w:tc>
                <w:tcPr>
                  <w:tcW w:w="1226" w:type="dxa"/>
                  <w:noWrap w:val="0"/>
                  <w:vAlign w:val="center"/>
                </w:tcPr>
                <w:p w14:paraId="6D16E618">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0.01mg/kg</w:t>
                  </w:r>
                </w:p>
              </w:tc>
            </w:tr>
            <w:tr w14:paraId="4AE6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28705157">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3</w:t>
                  </w:r>
                </w:p>
              </w:tc>
              <w:tc>
                <w:tcPr>
                  <w:tcW w:w="1495" w:type="dxa"/>
                  <w:noWrap w:val="0"/>
                  <w:vAlign w:val="center"/>
                </w:tcPr>
                <w:p w14:paraId="6A1169B5">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镉</w:t>
                  </w:r>
                </w:p>
              </w:tc>
              <w:tc>
                <w:tcPr>
                  <w:tcW w:w="3301" w:type="dxa"/>
                  <w:noWrap w:val="0"/>
                  <w:vAlign w:val="center"/>
                </w:tcPr>
                <w:p w14:paraId="206BF105">
                  <w:pPr>
                    <w:keepNext w:val="0"/>
                    <w:keepLines w:val="0"/>
                    <w:suppressLineNumbers w:val="0"/>
                    <w:spacing w:before="0" w:beforeAutospacing="0" w:after="0" w:afterAutospacing="0"/>
                    <w:ind w:left="0" w:right="0"/>
                    <w:jc w:val="center"/>
                    <w:rPr>
                      <w:color w:val="auto"/>
                      <w:szCs w:val="21"/>
                      <w:highlight w:val="none"/>
                    </w:rPr>
                  </w:pPr>
                  <w:r>
                    <w:rPr>
                      <w:color w:val="auto"/>
                      <w:highlight w:val="none"/>
                    </w:rPr>
                    <w:t>土壤质量</w:t>
                  </w:r>
                  <w:r>
                    <w:rPr>
                      <w:color w:val="auto"/>
                      <w:spacing w:val="2"/>
                      <w:highlight w:val="none"/>
                    </w:rPr>
                    <w:t xml:space="preserve"> </w:t>
                  </w:r>
                  <w:r>
                    <w:rPr>
                      <w:color w:val="auto"/>
                      <w:highlight w:val="none"/>
                    </w:rPr>
                    <w:t>铅、镉的测定</w:t>
                  </w:r>
                  <w:r>
                    <w:rPr>
                      <w:color w:val="auto"/>
                      <w:spacing w:val="-1"/>
                      <w:highlight w:val="none"/>
                    </w:rPr>
                    <w:t xml:space="preserve"> </w:t>
                  </w:r>
                  <w:r>
                    <w:rPr>
                      <w:color w:val="auto"/>
                      <w:highlight w:val="none"/>
                    </w:rPr>
                    <w:t>石墨炉原子吸收分光光度</w:t>
                  </w:r>
                  <w:r>
                    <w:rPr>
                      <w:color w:val="auto"/>
                      <w:spacing w:val="-14"/>
                      <w:highlight w:val="none"/>
                    </w:rPr>
                    <w:t>法（</w:t>
                  </w:r>
                  <w:r>
                    <w:rPr>
                      <w:color w:val="auto"/>
                      <w:highlight w:val="none"/>
                    </w:rPr>
                    <w:t>GB/T</w:t>
                  </w:r>
                  <w:r>
                    <w:rPr>
                      <w:color w:val="auto"/>
                      <w:spacing w:val="-5"/>
                      <w:highlight w:val="none"/>
                    </w:rPr>
                    <w:t xml:space="preserve"> </w:t>
                  </w:r>
                  <w:r>
                    <w:rPr>
                      <w:color w:val="auto"/>
                      <w:highlight w:val="none"/>
                    </w:rPr>
                    <w:t>17141-1997</w:t>
                  </w:r>
                  <w:r>
                    <w:rPr>
                      <w:color w:val="auto"/>
                      <w:spacing w:val="-14"/>
                      <w:highlight w:val="none"/>
                    </w:rPr>
                    <w:t>）</w:t>
                  </w:r>
                </w:p>
              </w:tc>
              <w:tc>
                <w:tcPr>
                  <w:tcW w:w="1302" w:type="dxa"/>
                  <w:noWrap w:val="0"/>
                  <w:vAlign w:val="center"/>
                </w:tcPr>
                <w:p w14:paraId="7B0FBE8A">
                  <w:pPr>
                    <w:keepNext w:val="0"/>
                    <w:keepLines w:val="0"/>
                    <w:suppressLineNumbers w:val="0"/>
                    <w:spacing w:before="0" w:beforeAutospacing="0" w:after="0" w:afterAutospacing="0"/>
                    <w:ind w:left="0" w:right="0"/>
                    <w:jc w:val="center"/>
                    <w:rPr>
                      <w:color w:val="auto"/>
                      <w:highlight w:val="none"/>
                    </w:rPr>
                  </w:pPr>
                  <w:r>
                    <w:rPr>
                      <w:rFonts w:hint="eastAsia"/>
                      <w:color w:val="auto"/>
                      <w:kern w:val="0"/>
                      <w:szCs w:val="21"/>
                      <w:highlight w:val="none"/>
                      <w:lang w:val="en-US" w:eastAsia="zh-CN"/>
                    </w:rPr>
                    <w:t>GGX-830型原子吸收分光光度计</w:t>
                  </w:r>
                </w:p>
              </w:tc>
              <w:tc>
                <w:tcPr>
                  <w:tcW w:w="1226" w:type="dxa"/>
                  <w:noWrap w:val="0"/>
                  <w:vAlign w:val="center"/>
                </w:tcPr>
                <w:p w14:paraId="6CFF654E">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0.01mg/kg</w:t>
                  </w:r>
                </w:p>
              </w:tc>
            </w:tr>
            <w:tr w14:paraId="154E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485ED8EE">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4</w:t>
                  </w:r>
                </w:p>
              </w:tc>
              <w:tc>
                <w:tcPr>
                  <w:tcW w:w="1495" w:type="dxa"/>
                  <w:noWrap w:val="0"/>
                  <w:vAlign w:val="center"/>
                </w:tcPr>
                <w:p w14:paraId="4BBB69C8">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铬（六价）</w:t>
                  </w:r>
                </w:p>
              </w:tc>
              <w:tc>
                <w:tcPr>
                  <w:tcW w:w="3301" w:type="dxa"/>
                  <w:noWrap w:val="0"/>
                  <w:vAlign w:val="center"/>
                </w:tcPr>
                <w:p w14:paraId="3E54B866">
                  <w:pPr>
                    <w:keepNext w:val="0"/>
                    <w:keepLines w:val="0"/>
                    <w:suppressLineNumbers w:val="0"/>
                    <w:spacing w:before="0" w:beforeAutospacing="0" w:after="0" w:afterAutospacing="0"/>
                    <w:ind w:left="0" w:right="0"/>
                    <w:jc w:val="center"/>
                    <w:rPr>
                      <w:color w:val="auto"/>
                      <w:szCs w:val="21"/>
                      <w:highlight w:val="none"/>
                    </w:rPr>
                  </w:pPr>
                  <w:r>
                    <w:rPr>
                      <w:color w:val="auto"/>
                      <w:spacing w:val="-1"/>
                      <w:highlight w:val="none"/>
                    </w:rPr>
                    <w:t>土壤和沉积物 六价铬的测定 碱溶液提取</w:t>
                  </w:r>
                  <w:r>
                    <w:rPr>
                      <w:color w:val="auto"/>
                      <w:highlight w:val="none"/>
                    </w:rPr>
                    <w:t>-</w:t>
                  </w:r>
                  <w:r>
                    <w:rPr>
                      <w:color w:val="auto"/>
                      <w:spacing w:val="-2"/>
                      <w:highlight w:val="none"/>
                    </w:rPr>
                    <w:t>火焰原子吸收分光光度法（</w:t>
                  </w:r>
                  <w:r>
                    <w:rPr>
                      <w:color w:val="auto"/>
                      <w:highlight w:val="none"/>
                    </w:rPr>
                    <w:t>HJ 1082-2019</w:t>
                  </w:r>
                  <w:r>
                    <w:rPr>
                      <w:color w:val="auto"/>
                      <w:spacing w:val="-2"/>
                      <w:highlight w:val="none"/>
                    </w:rPr>
                    <w:t>）</w:t>
                  </w:r>
                </w:p>
              </w:tc>
              <w:tc>
                <w:tcPr>
                  <w:tcW w:w="1302" w:type="dxa"/>
                  <w:noWrap w:val="0"/>
                  <w:vAlign w:val="center"/>
                </w:tcPr>
                <w:p w14:paraId="18330D34">
                  <w:pPr>
                    <w:keepNext w:val="0"/>
                    <w:keepLines w:val="0"/>
                    <w:suppressLineNumbers w:val="0"/>
                    <w:spacing w:before="0" w:beforeAutospacing="0" w:after="0" w:afterAutospacing="0"/>
                    <w:ind w:left="0" w:right="0"/>
                    <w:jc w:val="center"/>
                    <w:rPr>
                      <w:color w:val="auto"/>
                      <w:highlight w:val="none"/>
                    </w:rPr>
                  </w:pPr>
                  <w:r>
                    <w:rPr>
                      <w:rFonts w:hint="eastAsia"/>
                      <w:color w:val="auto"/>
                      <w:kern w:val="0"/>
                      <w:szCs w:val="21"/>
                      <w:highlight w:val="none"/>
                      <w:lang w:val="en-US" w:eastAsia="zh-CN"/>
                    </w:rPr>
                    <w:t>GGX-830型原子吸收分光光度计</w:t>
                  </w:r>
                </w:p>
              </w:tc>
              <w:tc>
                <w:tcPr>
                  <w:tcW w:w="1226" w:type="dxa"/>
                  <w:noWrap w:val="0"/>
                  <w:vAlign w:val="center"/>
                </w:tcPr>
                <w:p w14:paraId="51BD42B6">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0.5mg/kg</w:t>
                  </w:r>
                </w:p>
              </w:tc>
            </w:tr>
            <w:tr w14:paraId="2799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4DF79E52">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5</w:t>
                  </w:r>
                </w:p>
              </w:tc>
              <w:tc>
                <w:tcPr>
                  <w:tcW w:w="1495" w:type="dxa"/>
                  <w:noWrap w:val="0"/>
                  <w:vAlign w:val="center"/>
                </w:tcPr>
                <w:p w14:paraId="5A52F82F">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铜</w:t>
                  </w:r>
                </w:p>
              </w:tc>
              <w:tc>
                <w:tcPr>
                  <w:tcW w:w="3301" w:type="dxa"/>
                  <w:vMerge w:val="restart"/>
                  <w:noWrap w:val="0"/>
                  <w:vAlign w:val="center"/>
                </w:tcPr>
                <w:p w14:paraId="1E64174A">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土壤和沉积物 铜、锌、铅、镍、铬的测定 火焰原子吸收分光光度法（HJ 491-2019 ）</w:t>
                  </w:r>
                </w:p>
              </w:tc>
              <w:tc>
                <w:tcPr>
                  <w:tcW w:w="1302" w:type="dxa"/>
                  <w:vMerge w:val="restart"/>
                  <w:noWrap w:val="0"/>
                  <w:vAlign w:val="center"/>
                </w:tcPr>
                <w:p w14:paraId="276D3853">
                  <w:pPr>
                    <w:keepNext w:val="0"/>
                    <w:keepLines w:val="0"/>
                    <w:suppressLineNumbers w:val="0"/>
                    <w:spacing w:before="0" w:beforeAutospacing="0" w:after="0" w:afterAutospacing="0"/>
                    <w:ind w:left="0" w:right="0"/>
                    <w:jc w:val="center"/>
                    <w:rPr>
                      <w:color w:val="auto"/>
                      <w:highlight w:val="none"/>
                    </w:rPr>
                  </w:pPr>
                  <w:r>
                    <w:rPr>
                      <w:rFonts w:hint="eastAsia"/>
                      <w:color w:val="auto"/>
                      <w:kern w:val="0"/>
                      <w:szCs w:val="21"/>
                      <w:highlight w:val="none"/>
                      <w:lang w:val="en-US" w:eastAsia="zh-CN"/>
                    </w:rPr>
                    <w:t>GGX-830型原子吸收分光光度计</w:t>
                  </w:r>
                </w:p>
              </w:tc>
              <w:tc>
                <w:tcPr>
                  <w:tcW w:w="1226" w:type="dxa"/>
                  <w:noWrap w:val="0"/>
                  <w:vAlign w:val="center"/>
                </w:tcPr>
                <w:p w14:paraId="41F7D0AA">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1mg/kg</w:t>
                  </w:r>
                </w:p>
              </w:tc>
            </w:tr>
            <w:tr w14:paraId="44A7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2F86B8F8">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6</w:t>
                  </w:r>
                </w:p>
              </w:tc>
              <w:tc>
                <w:tcPr>
                  <w:tcW w:w="1495" w:type="dxa"/>
                  <w:noWrap w:val="0"/>
                  <w:vAlign w:val="center"/>
                </w:tcPr>
                <w:p w14:paraId="66AA2908">
                  <w:pPr>
                    <w:keepNext w:val="0"/>
                    <w:keepLines w:val="0"/>
                    <w:suppressLineNumbers w:val="0"/>
                    <w:spacing w:before="0" w:beforeAutospacing="0" w:after="0" w:afterAutospacing="0"/>
                    <w:ind w:left="0" w:right="0"/>
                    <w:jc w:val="center"/>
                    <w:rPr>
                      <w:color w:val="auto"/>
                      <w:szCs w:val="21"/>
                      <w:highlight w:val="none"/>
                    </w:rPr>
                  </w:pPr>
                  <w:r>
                    <w:rPr>
                      <w:color w:val="auto"/>
                      <w:highlight w:val="none"/>
                    </w:rPr>
                    <w:t>铅</w:t>
                  </w:r>
                </w:p>
              </w:tc>
              <w:tc>
                <w:tcPr>
                  <w:tcW w:w="3301" w:type="dxa"/>
                  <w:vMerge w:val="continue"/>
                  <w:noWrap w:val="0"/>
                  <w:vAlign w:val="center"/>
                </w:tcPr>
                <w:p w14:paraId="78F56168">
                  <w:pPr>
                    <w:keepNext w:val="0"/>
                    <w:keepLines w:val="0"/>
                    <w:suppressLineNumbers w:val="0"/>
                    <w:spacing w:before="0" w:beforeAutospacing="0" w:after="0" w:afterAutospacing="0"/>
                    <w:ind w:left="0" w:right="0"/>
                    <w:jc w:val="center"/>
                    <w:rPr>
                      <w:color w:val="auto"/>
                      <w:szCs w:val="21"/>
                      <w:highlight w:val="none"/>
                    </w:rPr>
                  </w:pPr>
                </w:p>
              </w:tc>
              <w:tc>
                <w:tcPr>
                  <w:tcW w:w="1302" w:type="dxa"/>
                  <w:vMerge w:val="continue"/>
                  <w:noWrap w:val="0"/>
                  <w:vAlign w:val="center"/>
                </w:tcPr>
                <w:p w14:paraId="314B12A6">
                  <w:pPr>
                    <w:keepNext w:val="0"/>
                    <w:keepLines w:val="0"/>
                    <w:suppressLineNumbers w:val="0"/>
                    <w:spacing w:before="0" w:beforeAutospacing="0" w:after="0" w:afterAutospacing="0"/>
                    <w:ind w:left="0" w:right="0"/>
                    <w:jc w:val="center"/>
                    <w:rPr>
                      <w:color w:val="auto"/>
                      <w:spacing w:val="-1"/>
                      <w:highlight w:val="none"/>
                    </w:rPr>
                  </w:pPr>
                </w:p>
              </w:tc>
              <w:tc>
                <w:tcPr>
                  <w:tcW w:w="1226" w:type="dxa"/>
                  <w:noWrap w:val="0"/>
                  <w:vAlign w:val="center"/>
                </w:tcPr>
                <w:p w14:paraId="5BB66837">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10mg/kg</w:t>
                  </w:r>
                </w:p>
              </w:tc>
            </w:tr>
            <w:tr w14:paraId="69F6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4FDCFF47">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7</w:t>
                  </w:r>
                </w:p>
              </w:tc>
              <w:tc>
                <w:tcPr>
                  <w:tcW w:w="1495" w:type="dxa"/>
                  <w:noWrap w:val="0"/>
                  <w:vAlign w:val="center"/>
                </w:tcPr>
                <w:p w14:paraId="5150FE6E">
                  <w:pPr>
                    <w:keepNext w:val="0"/>
                    <w:keepLines w:val="0"/>
                    <w:suppressLineNumbers w:val="0"/>
                    <w:spacing w:before="0" w:beforeAutospacing="0" w:after="0" w:afterAutospacing="0"/>
                    <w:ind w:left="0" w:right="0"/>
                    <w:jc w:val="center"/>
                    <w:rPr>
                      <w:color w:val="auto"/>
                      <w:szCs w:val="21"/>
                      <w:highlight w:val="none"/>
                    </w:rPr>
                  </w:pPr>
                  <w:r>
                    <w:rPr>
                      <w:color w:val="auto"/>
                      <w:highlight w:val="none"/>
                    </w:rPr>
                    <w:t>镍</w:t>
                  </w:r>
                </w:p>
              </w:tc>
              <w:tc>
                <w:tcPr>
                  <w:tcW w:w="3301" w:type="dxa"/>
                  <w:vMerge w:val="continue"/>
                  <w:noWrap w:val="0"/>
                  <w:vAlign w:val="center"/>
                </w:tcPr>
                <w:p w14:paraId="3BE1C106">
                  <w:pPr>
                    <w:keepNext w:val="0"/>
                    <w:keepLines w:val="0"/>
                    <w:suppressLineNumbers w:val="0"/>
                    <w:spacing w:before="0" w:beforeAutospacing="0" w:after="0" w:afterAutospacing="0"/>
                    <w:ind w:left="0" w:right="0"/>
                    <w:jc w:val="center"/>
                    <w:rPr>
                      <w:color w:val="auto"/>
                      <w:szCs w:val="21"/>
                      <w:highlight w:val="none"/>
                    </w:rPr>
                  </w:pPr>
                </w:p>
              </w:tc>
              <w:tc>
                <w:tcPr>
                  <w:tcW w:w="1302" w:type="dxa"/>
                  <w:vMerge w:val="continue"/>
                  <w:noWrap w:val="0"/>
                  <w:vAlign w:val="center"/>
                </w:tcPr>
                <w:p w14:paraId="7B5202EA">
                  <w:pPr>
                    <w:keepNext w:val="0"/>
                    <w:keepLines w:val="0"/>
                    <w:suppressLineNumbers w:val="0"/>
                    <w:spacing w:before="0" w:beforeAutospacing="0" w:after="0" w:afterAutospacing="0"/>
                    <w:ind w:left="0" w:right="0"/>
                    <w:jc w:val="center"/>
                    <w:rPr>
                      <w:color w:val="auto"/>
                      <w:spacing w:val="-1"/>
                      <w:highlight w:val="none"/>
                    </w:rPr>
                  </w:pPr>
                </w:p>
              </w:tc>
              <w:tc>
                <w:tcPr>
                  <w:tcW w:w="1226" w:type="dxa"/>
                  <w:noWrap w:val="0"/>
                  <w:vAlign w:val="center"/>
                </w:tcPr>
                <w:p w14:paraId="4321E8A8">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3mg/kg</w:t>
                  </w:r>
                </w:p>
              </w:tc>
            </w:tr>
            <w:tr w14:paraId="6488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71" w:type="dxa"/>
                  <w:noWrap w:val="0"/>
                  <w:vAlign w:val="center"/>
                </w:tcPr>
                <w:p w14:paraId="06B43605">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8</w:t>
                  </w:r>
                </w:p>
              </w:tc>
              <w:tc>
                <w:tcPr>
                  <w:tcW w:w="1495" w:type="dxa"/>
                  <w:noWrap w:val="0"/>
                  <w:vAlign w:val="center"/>
                </w:tcPr>
                <w:p w14:paraId="63BDF2C0">
                  <w:pPr>
                    <w:keepNext w:val="0"/>
                    <w:keepLines w:val="0"/>
                    <w:suppressLineNumbers w:val="0"/>
                    <w:spacing w:before="0" w:beforeAutospacing="0" w:after="0" w:afterAutospacing="0"/>
                    <w:ind w:left="0" w:right="0"/>
                    <w:jc w:val="center"/>
                    <w:rPr>
                      <w:color w:val="auto"/>
                      <w:szCs w:val="21"/>
                      <w:highlight w:val="none"/>
                    </w:rPr>
                  </w:pPr>
                  <w:r>
                    <w:rPr>
                      <w:color w:val="auto"/>
                      <w:highlight w:val="none"/>
                    </w:rPr>
                    <w:t>汞</w:t>
                  </w:r>
                </w:p>
              </w:tc>
              <w:tc>
                <w:tcPr>
                  <w:tcW w:w="3301" w:type="dxa"/>
                  <w:noWrap w:val="0"/>
                  <w:vAlign w:val="center"/>
                </w:tcPr>
                <w:p w14:paraId="55972654">
                  <w:pPr>
                    <w:keepNext w:val="0"/>
                    <w:keepLines w:val="0"/>
                    <w:suppressLineNumbers w:val="0"/>
                    <w:spacing w:before="0" w:beforeAutospacing="0" w:after="0" w:afterAutospacing="0"/>
                    <w:ind w:left="0" w:right="0"/>
                    <w:jc w:val="center"/>
                    <w:rPr>
                      <w:color w:val="auto"/>
                      <w:szCs w:val="21"/>
                      <w:highlight w:val="none"/>
                    </w:rPr>
                  </w:pPr>
                  <w:r>
                    <w:rPr>
                      <w:color w:val="auto"/>
                      <w:spacing w:val="-4"/>
                      <w:highlight w:val="none"/>
                    </w:rPr>
                    <w:t xml:space="preserve">土壤质量 总汞、总砷、总铅的测定 原子荧光法 第 </w:t>
                  </w:r>
                  <w:r>
                    <w:rPr>
                      <w:color w:val="auto"/>
                      <w:highlight w:val="none"/>
                    </w:rPr>
                    <w:t xml:space="preserve">1 </w:t>
                  </w:r>
                  <w:r>
                    <w:rPr>
                      <w:color w:val="auto"/>
                      <w:spacing w:val="-2"/>
                      <w:highlight w:val="none"/>
                    </w:rPr>
                    <w:t>部分：土壤中总汞的测定（</w:t>
                  </w:r>
                  <w:r>
                    <w:rPr>
                      <w:color w:val="auto"/>
                      <w:highlight w:val="none"/>
                    </w:rPr>
                    <w:t>GB/T 22105.1-2008</w:t>
                  </w:r>
                  <w:r>
                    <w:rPr>
                      <w:color w:val="auto"/>
                      <w:spacing w:val="-2"/>
                      <w:highlight w:val="none"/>
                    </w:rPr>
                    <w:t>）</w:t>
                  </w:r>
                </w:p>
              </w:tc>
              <w:tc>
                <w:tcPr>
                  <w:tcW w:w="1302" w:type="dxa"/>
                  <w:noWrap w:val="0"/>
                  <w:vAlign w:val="center"/>
                </w:tcPr>
                <w:p w14:paraId="718E0B31">
                  <w:pPr>
                    <w:keepNext w:val="0"/>
                    <w:keepLines w:val="0"/>
                    <w:suppressLineNumbers w:val="0"/>
                    <w:spacing w:before="0" w:beforeAutospacing="0" w:after="0" w:afterAutospacing="0"/>
                    <w:ind w:left="0" w:right="0"/>
                    <w:jc w:val="center"/>
                    <w:rPr>
                      <w:color w:val="auto"/>
                      <w:spacing w:val="-1"/>
                      <w:highlight w:val="none"/>
                    </w:rPr>
                  </w:pPr>
                  <w:r>
                    <w:rPr>
                      <w:rFonts w:hint="eastAsia"/>
                      <w:color w:val="auto"/>
                      <w:kern w:val="0"/>
                      <w:szCs w:val="21"/>
                      <w:highlight w:val="none"/>
                      <w:lang w:val="en-US" w:eastAsia="zh-CN"/>
                    </w:rPr>
                    <w:t>GGX-830型原子吸收分光光度计</w:t>
                  </w:r>
                </w:p>
              </w:tc>
              <w:tc>
                <w:tcPr>
                  <w:tcW w:w="1226" w:type="dxa"/>
                  <w:noWrap w:val="0"/>
                  <w:vAlign w:val="center"/>
                </w:tcPr>
                <w:p w14:paraId="53B9FAE6">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rPr>
                    <w:t>0.002mg/kg</w:t>
                  </w:r>
                </w:p>
              </w:tc>
            </w:tr>
          </w:tbl>
          <w:p w14:paraId="16255A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eastAsia="宋体"/>
                <w:bCs/>
                <w:color w:val="auto"/>
                <w:sz w:val="24"/>
                <w:highlight w:val="none"/>
                <w:lang w:val="en-US" w:eastAsia="zh-CN"/>
              </w:rPr>
            </w:pPr>
            <w:r>
              <w:rPr>
                <w:rFonts w:hint="eastAsia"/>
                <w:bCs/>
                <w:color w:val="auto"/>
                <w:sz w:val="24"/>
                <w:highlight w:val="none"/>
                <w:lang w:val="en-US" w:eastAsia="zh-CN"/>
              </w:rPr>
              <w:t>③监测结果</w:t>
            </w:r>
          </w:p>
          <w:p w14:paraId="78A6C1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color w:val="auto"/>
                <w:sz w:val="24"/>
                <w:highlight w:val="none"/>
              </w:rPr>
            </w:pPr>
            <w:r>
              <w:rPr>
                <w:rFonts w:hint="eastAsia"/>
                <w:bCs/>
                <w:color w:val="auto"/>
                <w:sz w:val="24"/>
                <w:highlight w:val="none"/>
              </w:rPr>
              <w:t>监测结果详见下表。</w:t>
            </w:r>
          </w:p>
          <w:p w14:paraId="75B2B624">
            <w:pPr>
              <w:keepNext w:val="0"/>
              <w:keepLines w:val="0"/>
              <w:suppressLineNumbers w:val="0"/>
              <w:spacing w:before="0" w:beforeAutospacing="0" w:after="0" w:afterAutospacing="0" w:line="360" w:lineRule="exact"/>
              <w:ind w:left="0" w:right="0"/>
              <w:jc w:val="center"/>
              <w:rPr>
                <w:color w:val="auto"/>
                <w:sz w:val="24"/>
                <w:highlight w:val="none"/>
              </w:rPr>
            </w:pPr>
            <w:r>
              <w:rPr>
                <w:color w:val="auto"/>
                <w:sz w:val="24"/>
                <w:highlight w:val="none"/>
              </w:rPr>
              <w:t>表</w:t>
            </w:r>
            <w:r>
              <w:rPr>
                <w:rFonts w:hint="eastAsia"/>
                <w:color w:val="auto"/>
                <w:sz w:val="24"/>
                <w:highlight w:val="none"/>
                <w:lang w:val="en-US" w:eastAsia="zh-CN"/>
              </w:rPr>
              <w:t>3-8</w:t>
            </w:r>
            <w:r>
              <w:rPr>
                <w:rFonts w:hint="eastAsia"/>
                <w:color w:val="auto"/>
                <w:sz w:val="24"/>
                <w:highlight w:val="none"/>
              </w:rPr>
              <w:t xml:space="preserve">  </w:t>
            </w:r>
            <w:r>
              <w:rPr>
                <w:color w:val="auto"/>
                <w:sz w:val="24"/>
                <w:highlight w:val="none"/>
              </w:rPr>
              <w:t>土壤环境现状监测结果</w:t>
            </w:r>
          </w:p>
          <w:tbl>
            <w:tblPr>
              <w:tblStyle w:val="27"/>
              <w:tblW w:w="799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61"/>
              <w:gridCol w:w="1105"/>
              <w:gridCol w:w="799"/>
              <w:gridCol w:w="799"/>
              <w:gridCol w:w="799"/>
              <w:gridCol w:w="799"/>
              <w:gridCol w:w="799"/>
              <w:gridCol w:w="884"/>
              <w:gridCol w:w="884"/>
              <w:gridCol w:w="663"/>
            </w:tblGrid>
            <w:tr w14:paraId="0168A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461" w:type="dxa"/>
                  <w:vMerge w:val="restart"/>
                  <w:noWrap w:val="0"/>
                  <w:vAlign w:val="center"/>
                </w:tcPr>
                <w:p w14:paraId="48008D09">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序号</w:t>
                  </w:r>
                </w:p>
              </w:tc>
              <w:tc>
                <w:tcPr>
                  <w:tcW w:w="1105" w:type="dxa"/>
                  <w:vMerge w:val="restart"/>
                  <w:noWrap w:val="0"/>
                  <w:vAlign w:val="center"/>
                </w:tcPr>
                <w:p w14:paraId="158540B9">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项目</w:t>
                  </w:r>
                </w:p>
              </w:tc>
              <w:tc>
                <w:tcPr>
                  <w:tcW w:w="3995" w:type="dxa"/>
                  <w:gridSpan w:val="5"/>
                  <w:noWrap w:val="0"/>
                  <w:vAlign w:val="center"/>
                </w:tcPr>
                <w:p w14:paraId="4CB84A44">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检测结果</w:t>
                  </w:r>
                </w:p>
              </w:tc>
              <w:tc>
                <w:tcPr>
                  <w:tcW w:w="884" w:type="dxa"/>
                  <w:vMerge w:val="restart"/>
                  <w:noWrap w:val="0"/>
                  <w:vAlign w:val="center"/>
                </w:tcPr>
                <w:p w14:paraId="6C135136">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标准限值</w:t>
                  </w:r>
                </w:p>
                <w:p w14:paraId="1D435782">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占地范围内</w:t>
                  </w:r>
                </w:p>
              </w:tc>
              <w:tc>
                <w:tcPr>
                  <w:tcW w:w="884" w:type="dxa"/>
                  <w:vMerge w:val="restart"/>
                  <w:noWrap w:val="0"/>
                  <w:vAlign w:val="center"/>
                </w:tcPr>
                <w:p w14:paraId="3FC900B0">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标准限值</w:t>
                  </w:r>
                </w:p>
                <w:p w14:paraId="6AD22257">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占地范围外</w:t>
                  </w:r>
                </w:p>
              </w:tc>
              <w:tc>
                <w:tcPr>
                  <w:tcW w:w="663" w:type="dxa"/>
                  <w:vMerge w:val="restart"/>
                  <w:noWrap w:val="0"/>
                  <w:vAlign w:val="center"/>
                </w:tcPr>
                <w:p w14:paraId="53DB0383">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是否达标</w:t>
                  </w:r>
                </w:p>
              </w:tc>
            </w:tr>
            <w:tr w14:paraId="4594A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461" w:type="dxa"/>
                  <w:vMerge w:val="continue"/>
                  <w:noWrap w:val="0"/>
                  <w:vAlign w:val="center"/>
                </w:tcPr>
                <w:p w14:paraId="3AA7D31B">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p>
              </w:tc>
              <w:tc>
                <w:tcPr>
                  <w:tcW w:w="1105" w:type="dxa"/>
                  <w:vMerge w:val="continue"/>
                  <w:noWrap w:val="0"/>
                  <w:vAlign w:val="center"/>
                </w:tcPr>
                <w:p w14:paraId="126ECFBB">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p>
              </w:tc>
              <w:tc>
                <w:tcPr>
                  <w:tcW w:w="799" w:type="dxa"/>
                  <w:noWrap w:val="0"/>
                  <w:vAlign w:val="center"/>
                </w:tcPr>
                <w:p w14:paraId="781E7DCB">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799" w:type="dxa"/>
                  <w:noWrap w:val="0"/>
                  <w:vAlign w:val="center"/>
                </w:tcPr>
                <w:p w14:paraId="4C7FB08A">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799" w:type="dxa"/>
                  <w:noWrap w:val="0"/>
                  <w:vAlign w:val="center"/>
                </w:tcPr>
                <w:p w14:paraId="0A510635">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799" w:type="dxa"/>
                  <w:noWrap w:val="0"/>
                  <w:vAlign w:val="center"/>
                </w:tcPr>
                <w:p w14:paraId="7F2CB84D">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eastAsia" w:ascii="Times New Roman" w:hAnsi="Times New Roman" w:cs="Times New Roman"/>
                      <w:bCs/>
                      <w:color w:val="auto"/>
                      <w:sz w:val="21"/>
                      <w:szCs w:val="21"/>
                      <w:highlight w:val="none"/>
                      <w:lang w:val="en-US" w:eastAsia="zh-CN"/>
                    </w:rPr>
                    <w:t>4</w:t>
                  </w:r>
                  <w:r>
                    <w:rPr>
                      <w:rFonts w:hint="default" w:ascii="Times New Roman" w:hAnsi="Times New Roman" w:cs="Times New Roman"/>
                      <w:bCs/>
                      <w:color w:val="auto"/>
                      <w:sz w:val="21"/>
                      <w:szCs w:val="21"/>
                      <w:highlight w:val="none"/>
                    </w:rPr>
                    <w:t>#</w:t>
                  </w:r>
                </w:p>
              </w:tc>
              <w:tc>
                <w:tcPr>
                  <w:tcW w:w="799" w:type="dxa"/>
                  <w:noWrap w:val="0"/>
                  <w:vAlign w:val="center"/>
                </w:tcPr>
                <w:p w14:paraId="7CC60A4F">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eastAsia" w:ascii="Times New Roman" w:hAnsi="Times New Roman" w:cs="Times New Roman"/>
                      <w:bCs/>
                      <w:color w:val="auto"/>
                      <w:sz w:val="21"/>
                      <w:szCs w:val="21"/>
                      <w:highlight w:val="none"/>
                      <w:lang w:val="en-US" w:eastAsia="zh-CN"/>
                    </w:rPr>
                    <w:t>5</w:t>
                  </w:r>
                  <w:r>
                    <w:rPr>
                      <w:rFonts w:hint="default" w:ascii="Times New Roman" w:hAnsi="Times New Roman" w:cs="Times New Roman"/>
                      <w:bCs/>
                      <w:color w:val="auto"/>
                      <w:sz w:val="21"/>
                      <w:szCs w:val="21"/>
                      <w:highlight w:val="none"/>
                    </w:rPr>
                    <w:t>#</w:t>
                  </w:r>
                </w:p>
              </w:tc>
              <w:tc>
                <w:tcPr>
                  <w:tcW w:w="884" w:type="dxa"/>
                  <w:vMerge w:val="continue"/>
                  <w:noWrap w:val="0"/>
                  <w:vAlign w:val="center"/>
                </w:tcPr>
                <w:p w14:paraId="38A8ACBC">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p>
              </w:tc>
              <w:tc>
                <w:tcPr>
                  <w:tcW w:w="884" w:type="dxa"/>
                  <w:vMerge w:val="continue"/>
                  <w:noWrap w:val="0"/>
                  <w:vAlign w:val="center"/>
                </w:tcPr>
                <w:p w14:paraId="37E4CE08">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p>
              </w:tc>
              <w:tc>
                <w:tcPr>
                  <w:tcW w:w="663" w:type="dxa"/>
                  <w:vMerge w:val="continue"/>
                  <w:noWrap w:val="0"/>
                  <w:vAlign w:val="center"/>
                </w:tcPr>
                <w:p w14:paraId="4B7A2703">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p>
              </w:tc>
            </w:tr>
            <w:tr w14:paraId="794F3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61" w:type="dxa"/>
                  <w:noWrap w:val="0"/>
                  <w:vAlign w:val="center"/>
                </w:tcPr>
                <w:p w14:paraId="1CE15656">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105" w:type="dxa"/>
                  <w:noWrap w:val="0"/>
                  <w:vAlign w:val="center"/>
                </w:tcPr>
                <w:p w14:paraId="24A8033D">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pH</w:t>
                  </w:r>
                </w:p>
              </w:tc>
              <w:tc>
                <w:tcPr>
                  <w:tcW w:w="799" w:type="dxa"/>
                  <w:shd w:val="clear" w:color="auto" w:fill="auto"/>
                  <w:noWrap w:val="0"/>
                  <w:vAlign w:val="center"/>
                </w:tcPr>
                <w:p w14:paraId="53844A4B">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7.53</w:t>
                  </w:r>
                </w:p>
              </w:tc>
              <w:tc>
                <w:tcPr>
                  <w:tcW w:w="799" w:type="dxa"/>
                  <w:shd w:val="clear" w:color="auto" w:fill="auto"/>
                  <w:noWrap w:val="0"/>
                  <w:vAlign w:val="center"/>
                </w:tcPr>
                <w:p w14:paraId="31C06FCB">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7.56</w:t>
                  </w:r>
                </w:p>
              </w:tc>
              <w:tc>
                <w:tcPr>
                  <w:tcW w:w="799" w:type="dxa"/>
                  <w:noWrap w:val="0"/>
                  <w:vAlign w:val="center"/>
                </w:tcPr>
                <w:p w14:paraId="5659913B">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7.44</w:t>
                  </w:r>
                </w:p>
              </w:tc>
              <w:tc>
                <w:tcPr>
                  <w:tcW w:w="799" w:type="dxa"/>
                  <w:noWrap w:val="0"/>
                  <w:vAlign w:val="center"/>
                </w:tcPr>
                <w:p w14:paraId="6893BBD4">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7.58</w:t>
                  </w:r>
                </w:p>
              </w:tc>
              <w:tc>
                <w:tcPr>
                  <w:tcW w:w="799" w:type="dxa"/>
                  <w:shd w:val="clear" w:color="auto" w:fill="auto"/>
                  <w:noWrap w:val="0"/>
                  <w:vAlign w:val="center"/>
                </w:tcPr>
                <w:p w14:paraId="6C9D62FD">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7.88</w:t>
                  </w:r>
                </w:p>
              </w:tc>
              <w:tc>
                <w:tcPr>
                  <w:tcW w:w="884" w:type="dxa"/>
                  <w:noWrap w:val="0"/>
                  <w:vAlign w:val="center"/>
                </w:tcPr>
                <w:p w14:paraId="48817861">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w:t>
                  </w:r>
                </w:p>
              </w:tc>
              <w:tc>
                <w:tcPr>
                  <w:tcW w:w="884" w:type="dxa"/>
                  <w:noWrap w:val="0"/>
                  <w:vAlign w:val="center"/>
                </w:tcPr>
                <w:p w14:paraId="2BE044D7">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w:t>
                  </w:r>
                </w:p>
              </w:tc>
              <w:tc>
                <w:tcPr>
                  <w:tcW w:w="663" w:type="dxa"/>
                  <w:noWrap w:val="0"/>
                  <w:vAlign w:val="center"/>
                </w:tcPr>
                <w:p w14:paraId="5C9C6D1F">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w:t>
                  </w:r>
                </w:p>
              </w:tc>
            </w:tr>
            <w:tr w14:paraId="56636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61" w:type="dxa"/>
                  <w:noWrap w:val="0"/>
                  <w:vAlign w:val="center"/>
                </w:tcPr>
                <w:p w14:paraId="2D6862A4">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105" w:type="dxa"/>
                  <w:noWrap w:val="0"/>
                  <w:vAlign w:val="center"/>
                </w:tcPr>
                <w:p w14:paraId="137BA03F">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砷</w:t>
                  </w:r>
                </w:p>
              </w:tc>
              <w:tc>
                <w:tcPr>
                  <w:tcW w:w="799" w:type="dxa"/>
                  <w:shd w:val="clear" w:color="auto" w:fill="auto"/>
                  <w:noWrap w:val="0"/>
                  <w:vAlign w:val="center"/>
                </w:tcPr>
                <w:p w14:paraId="2299C07E">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5.11</w:t>
                  </w:r>
                </w:p>
              </w:tc>
              <w:tc>
                <w:tcPr>
                  <w:tcW w:w="799" w:type="dxa"/>
                  <w:shd w:val="clear" w:color="auto" w:fill="auto"/>
                  <w:noWrap w:val="0"/>
                  <w:vAlign w:val="center"/>
                </w:tcPr>
                <w:p w14:paraId="0C4D8175">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10.0</w:t>
                  </w:r>
                </w:p>
              </w:tc>
              <w:tc>
                <w:tcPr>
                  <w:tcW w:w="799" w:type="dxa"/>
                  <w:noWrap w:val="0"/>
                  <w:vAlign w:val="center"/>
                </w:tcPr>
                <w:p w14:paraId="276C19D0">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4.44</w:t>
                  </w:r>
                </w:p>
              </w:tc>
              <w:tc>
                <w:tcPr>
                  <w:tcW w:w="799" w:type="dxa"/>
                  <w:noWrap w:val="0"/>
                  <w:vAlign w:val="center"/>
                </w:tcPr>
                <w:p w14:paraId="18F9D0A7">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7.30</w:t>
                  </w:r>
                </w:p>
              </w:tc>
              <w:tc>
                <w:tcPr>
                  <w:tcW w:w="799" w:type="dxa"/>
                  <w:shd w:val="clear" w:color="auto" w:fill="auto"/>
                  <w:noWrap w:val="0"/>
                  <w:vAlign w:val="center"/>
                </w:tcPr>
                <w:p w14:paraId="42F2290B">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4.04</w:t>
                  </w:r>
                </w:p>
              </w:tc>
              <w:tc>
                <w:tcPr>
                  <w:tcW w:w="884" w:type="dxa"/>
                  <w:noWrap w:val="0"/>
                  <w:vAlign w:val="center"/>
                </w:tcPr>
                <w:p w14:paraId="243FCDFB">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60</w:t>
                  </w:r>
                </w:p>
              </w:tc>
              <w:tc>
                <w:tcPr>
                  <w:tcW w:w="884" w:type="dxa"/>
                  <w:noWrap w:val="0"/>
                  <w:vAlign w:val="center"/>
                </w:tcPr>
                <w:p w14:paraId="7E80AD06">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25</w:t>
                  </w:r>
                </w:p>
              </w:tc>
              <w:tc>
                <w:tcPr>
                  <w:tcW w:w="663" w:type="dxa"/>
                  <w:noWrap w:val="0"/>
                  <w:vAlign w:val="center"/>
                </w:tcPr>
                <w:p w14:paraId="3131C5B6">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达标</w:t>
                  </w:r>
                </w:p>
              </w:tc>
            </w:tr>
            <w:tr w14:paraId="4DB84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61" w:type="dxa"/>
                  <w:noWrap w:val="0"/>
                  <w:vAlign w:val="center"/>
                </w:tcPr>
                <w:p w14:paraId="5F1B3744">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1105" w:type="dxa"/>
                  <w:noWrap w:val="0"/>
                  <w:vAlign w:val="center"/>
                </w:tcPr>
                <w:p w14:paraId="0A845622">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镉</w:t>
                  </w:r>
                </w:p>
              </w:tc>
              <w:tc>
                <w:tcPr>
                  <w:tcW w:w="799" w:type="dxa"/>
                  <w:shd w:val="clear" w:color="auto" w:fill="auto"/>
                  <w:noWrap w:val="0"/>
                  <w:vAlign w:val="center"/>
                </w:tcPr>
                <w:p w14:paraId="2FAC40DA">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0.12</w:t>
                  </w:r>
                </w:p>
              </w:tc>
              <w:tc>
                <w:tcPr>
                  <w:tcW w:w="799" w:type="dxa"/>
                  <w:shd w:val="clear" w:color="auto" w:fill="auto"/>
                  <w:noWrap w:val="0"/>
                  <w:vAlign w:val="center"/>
                </w:tcPr>
                <w:p w14:paraId="1EDF88DC">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0.19</w:t>
                  </w:r>
                </w:p>
              </w:tc>
              <w:tc>
                <w:tcPr>
                  <w:tcW w:w="799" w:type="dxa"/>
                  <w:noWrap w:val="0"/>
                  <w:vAlign w:val="center"/>
                </w:tcPr>
                <w:p w14:paraId="071888BE">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0.15</w:t>
                  </w:r>
                </w:p>
              </w:tc>
              <w:tc>
                <w:tcPr>
                  <w:tcW w:w="799" w:type="dxa"/>
                  <w:noWrap w:val="0"/>
                  <w:vAlign w:val="center"/>
                </w:tcPr>
                <w:p w14:paraId="03F92A49">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0.43</w:t>
                  </w:r>
                </w:p>
              </w:tc>
              <w:tc>
                <w:tcPr>
                  <w:tcW w:w="799" w:type="dxa"/>
                  <w:shd w:val="clear" w:color="auto" w:fill="auto"/>
                  <w:noWrap w:val="0"/>
                  <w:vAlign w:val="center"/>
                </w:tcPr>
                <w:p w14:paraId="596B9A24">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0.21</w:t>
                  </w:r>
                </w:p>
              </w:tc>
              <w:tc>
                <w:tcPr>
                  <w:tcW w:w="884" w:type="dxa"/>
                  <w:noWrap w:val="0"/>
                  <w:vAlign w:val="center"/>
                </w:tcPr>
                <w:p w14:paraId="31FA7AB5">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65</w:t>
                  </w:r>
                </w:p>
              </w:tc>
              <w:tc>
                <w:tcPr>
                  <w:tcW w:w="884" w:type="dxa"/>
                  <w:noWrap w:val="0"/>
                  <w:vAlign w:val="center"/>
                </w:tcPr>
                <w:p w14:paraId="0F764219">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0.6</w:t>
                  </w:r>
                </w:p>
              </w:tc>
              <w:tc>
                <w:tcPr>
                  <w:tcW w:w="663" w:type="dxa"/>
                  <w:noWrap w:val="0"/>
                  <w:vAlign w:val="center"/>
                </w:tcPr>
                <w:p w14:paraId="2F7EB54C">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达标</w:t>
                  </w:r>
                </w:p>
              </w:tc>
            </w:tr>
            <w:tr w14:paraId="6D518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61" w:type="dxa"/>
                  <w:noWrap w:val="0"/>
                  <w:vAlign w:val="center"/>
                </w:tcPr>
                <w:p w14:paraId="04C5B113">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w:t>
                  </w:r>
                </w:p>
              </w:tc>
              <w:tc>
                <w:tcPr>
                  <w:tcW w:w="1105" w:type="dxa"/>
                  <w:noWrap w:val="0"/>
                  <w:vAlign w:val="center"/>
                </w:tcPr>
                <w:p w14:paraId="3693AD9B">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铬(六价)</w:t>
                  </w:r>
                </w:p>
              </w:tc>
              <w:tc>
                <w:tcPr>
                  <w:tcW w:w="799" w:type="dxa"/>
                  <w:shd w:val="clear" w:color="auto" w:fill="auto"/>
                  <w:noWrap w:val="0"/>
                  <w:vAlign w:val="center"/>
                </w:tcPr>
                <w:p w14:paraId="709701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kern w:val="2"/>
                      <w:sz w:val="21"/>
                      <w:szCs w:val="24"/>
                      <w:highlight w:val="none"/>
                      <w:lang w:val="en-US" w:eastAsia="zh-CN" w:bidi="ar-SA"/>
                    </w:rPr>
                    <w:t>&lt;0.5</w:t>
                  </w:r>
                </w:p>
              </w:tc>
              <w:tc>
                <w:tcPr>
                  <w:tcW w:w="799" w:type="dxa"/>
                  <w:shd w:val="clear" w:color="auto" w:fill="auto"/>
                  <w:noWrap w:val="0"/>
                  <w:vAlign w:val="center"/>
                </w:tcPr>
                <w:p w14:paraId="67653C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kern w:val="2"/>
                      <w:sz w:val="21"/>
                      <w:szCs w:val="24"/>
                      <w:highlight w:val="none"/>
                      <w:lang w:val="en-US" w:eastAsia="zh-CN" w:bidi="ar-SA"/>
                    </w:rPr>
                    <w:t>&lt;0.5</w:t>
                  </w:r>
                </w:p>
              </w:tc>
              <w:tc>
                <w:tcPr>
                  <w:tcW w:w="799" w:type="dxa"/>
                  <w:noWrap w:val="0"/>
                  <w:vAlign w:val="center"/>
                </w:tcPr>
                <w:p w14:paraId="15651DF7">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kern w:val="2"/>
                      <w:sz w:val="21"/>
                      <w:szCs w:val="24"/>
                      <w:highlight w:val="none"/>
                      <w:lang w:val="en-US" w:eastAsia="zh-CN" w:bidi="ar-SA"/>
                    </w:rPr>
                    <w:t>&lt;0.5</w:t>
                  </w:r>
                </w:p>
              </w:tc>
              <w:tc>
                <w:tcPr>
                  <w:tcW w:w="799" w:type="dxa"/>
                  <w:noWrap w:val="0"/>
                  <w:vAlign w:val="center"/>
                </w:tcPr>
                <w:p w14:paraId="639557A2">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kern w:val="2"/>
                      <w:sz w:val="21"/>
                      <w:szCs w:val="24"/>
                      <w:highlight w:val="none"/>
                      <w:lang w:val="en-US" w:eastAsia="zh-CN" w:bidi="ar-SA"/>
                    </w:rPr>
                    <w:t>&lt;0.5</w:t>
                  </w:r>
                </w:p>
              </w:tc>
              <w:tc>
                <w:tcPr>
                  <w:tcW w:w="799" w:type="dxa"/>
                  <w:shd w:val="clear" w:color="auto" w:fill="auto"/>
                  <w:noWrap w:val="0"/>
                  <w:vAlign w:val="center"/>
                </w:tcPr>
                <w:p w14:paraId="1ABC30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kern w:val="2"/>
                      <w:sz w:val="21"/>
                      <w:szCs w:val="24"/>
                      <w:highlight w:val="none"/>
                      <w:lang w:val="en-US" w:eastAsia="zh-CN" w:bidi="ar-SA"/>
                    </w:rPr>
                    <w:t>&lt;0.5</w:t>
                  </w:r>
                </w:p>
              </w:tc>
              <w:tc>
                <w:tcPr>
                  <w:tcW w:w="884" w:type="dxa"/>
                  <w:noWrap w:val="0"/>
                  <w:vAlign w:val="center"/>
                </w:tcPr>
                <w:p w14:paraId="0E519DEC">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5.7</w:t>
                  </w:r>
                </w:p>
              </w:tc>
              <w:tc>
                <w:tcPr>
                  <w:tcW w:w="884" w:type="dxa"/>
                  <w:noWrap w:val="0"/>
                  <w:vAlign w:val="center"/>
                </w:tcPr>
                <w:p w14:paraId="6BFF141E">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w:t>
                  </w:r>
                </w:p>
              </w:tc>
              <w:tc>
                <w:tcPr>
                  <w:tcW w:w="663" w:type="dxa"/>
                  <w:noWrap w:val="0"/>
                  <w:vAlign w:val="center"/>
                </w:tcPr>
                <w:p w14:paraId="228CA4DA">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达标</w:t>
                  </w:r>
                </w:p>
              </w:tc>
            </w:tr>
            <w:tr w14:paraId="5D352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461" w:type="dxa"/>
                  <w:noWrap w:val="0"/>
                  <w:vAlign w:val="center"/>
                </w:tcPr>
                <w:p w14:paraId="5042D3CC">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1105" w:type="dxa"/>
                  <w:noWrap w:val="0"/>
                  <w:vAlign w:val="center"/>
                </w:tcPr>
                <w:p w14:paraId="555071C1">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铜</w:t>
                  </w:r>
                </w:p>
              </w:tc>
              <w:tc>
                <w:tcPr>
                  <w:tcW w:w="799" w:type="dxa"/>
                  <w:shd w:val="clear" w:color="auto" w:fill="auto"/>
                  <w:noWrap w:val="0"/>
                  <w:vAlign w:val="center"/>
                </w:tcPr>
                <w:p w14:paraId="1034A761">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33</w:t>
                  </w:r>
                </w:p>
              </w:tc>
              <w:tc>
                <w:tcPr>
                  <w:tcW w:w="799" w:type="dxa"/>
                  <w:shd w:val="clear" w:color="auto" w:fill="auto"/>
                  <w:noWrap w:val="0"/>
                  <w:vAlign w:val="center"/>
                </w:tcPr>
                <w:p w14:paraId="6C4647EF">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102</w:t>
                  </w:r>
                </w:p>
              </w:tc>
              <w:tc>
                <w:tcPr>
                  <w:tcW w:w="799" w:type="dxa"/>
                  <w:noWrap w:val="0"/>
                  <w:vAlign w:val="center"/>
                </w:tcPr>
                <w:p w14:paraId="6CFB1FE4">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63</w:t>
                  </w:r>
                </w:p>
              </w:tc>
              <w:tc>
                <w:tcPr>
                  <w:tcW w:w="799" w:type="dxa"/>
                  <w:noWrap w:val="0"/>
                  <w:vAlign w:val="center"/>
                </w:tcPr>
                <w:p w14:paraId="3A6A818A">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119</w:t>
                  </w:r>
                </w:p>
              </w:tc>
              <w:tc>
                <w:tcPr>
                  <w:tcW w:w="799" w:type="dxa"/>
                  <w:shd w:val="clear" w:color="auto" w:fill="auto"/>
                  <w:noWrap w:val="0"/>
                  <w:vAlign w:val="center"/>
                </w:tcPr>
                <w:p w14:paraId="16E96132">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61</w:t>
                  </w:r>
                </w:p>
              </w:tc>
              <w:tc>
                <w:tcPr>
                  <w:tcW w:w="884" w:type="dxa"/>
                  <w:noWrap w:val="0"/>
                  <w:vAlign w:val="center"/>
                </w:tcPr>
                <w:p w14:paraId="39DE649E">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18000</w:t>
                  </w:r>
                </w:p>
              </w:tc>
              <w:tc>
                <w:tcPr>
                  <w:tcW w:w="884" w:type="dxa"/>
                  <w:noWrap w:val="0"/>
                  <w:vAlign w:val="center"/>
                </w:tcPr>
                <w:p w14:paraId="7DC74202">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100</w:t>
                  </w:r>
                </w:p>
              </w:tc>
              <w:tc>
                <w:tcPr>
                  <w:tcW w:w="663" w:type="dxa"/>
                  <w:noWrap w:val="0"/>
                  <w:vAlign w:val="center"/>
                </w:tcPr>
                <w:p w14:paraId="1CFFC542">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达标</w:t>
                  </w:r>
                </w:p>
              </w:tc>
            </w:tr>
            <w:tr w14:paraId="08ABD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61" w:type="dxa"/>
                  <w:noWrap w:val="0"/>
                  <w:vAlign w:val="center"/>
                </w:tcPr>
                <w:p w14:paraId="5344F1EC">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w:t>
                  </w:r>
                </w:p>
              </w:tc>
              <w:tc>
                <w:tcPr>
                  <w:tcW w:w="1105" w:type="dxa"/>
                  <w:noWrap w:val="0"/>
                  <w:vAlign w:val="center"/>
                </w:tcPr>
                <w:p w14:paraId="349CB58B">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铅</w:t>
                  </w:r>
                </w:p>
              </w:tc>
              <w:tc>
                <w:tcPr>
                  <w:tcW w:w="799" w:type="dxa"/>
                  <w:shd w:val="clear" w:color="auto" w:fill="auto"/>
                  <w:noWrap w:val="0"/>
                  <w:vAlign w:val="center"/>
                </w:tcPr>
                <w:p w14:paraId="698ABC38">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41</w:t>
                  </w:r>
                </w:p>
              </w:tc>
              <w:tc>
                <w:tcPr>
                  <w:tcW w:w="799" w:type="dxa"/>
                  <w:shd w:val="clear" w:color="auto" w:fill="auto"/>
                  <w:noWrap w:val="0"/>
                  <w:vAlign w:val="center"/>
                </w:tcPr>
                <w:p w14:paraId="28FF7F73">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75</w:t>
                  </w:r>
                </w:p>
              </w:tc>
              <w:tc>
                <w:tcPr>
                  <w:tcW w:w="799" w:type="dxa"/>
                  <w:noWrap w:val="0"/>
                  <w:vAlign w:val="center"/>
                </w:tcPr>
                <w:p w14:paraId="20A3CC0D">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33</w:t>
                  </w:r>
                </w:p>
              </w:tc>
              <w:tc>
                <w:tcPr>
                  <w:tcW w:w="799" w:type="dxa"/>
                  <w:noWrap w:val="0"/>
                  <w:vAlign w:val="center"/>
                </w:tcPr>
                <w:p w14:paraId="12538593">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87</w:t>
                  </w:r>
                </w:p>
              </w:tc>
              <w:tc>
                <w:tcPr>
                  <w:tcW w:w="799" w:type="dxa"/>
                  <w:shd w:val="clear" w:color="auto" w:fill="auto"/>
                  <w:noWrap w:val="0"/>
                  <w:vAlign w:val="center"/>
                </w:tcPr>
                <w:p w14:paraId="0AA697A0">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62</w:t>
                  </w:r>
                </w:p>
              </w:tc>
              <w:tc>
                <w:tcPr>
                  <w:tcW w:w="884" w:type="dxa"/>
                  <w:noWrap w:val="0"/>
                  <w:vAlign w:val="center"/>
                </w:tcPr>
                <w:p w14:paraId="5C7B8FC9">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800</w:t>
                  </w:r>
                </w:p>
              </w:tc>
              <w:tc>
                <w:tcPr>
                  <w:tcW w:w="884" w:type="dxa"/>
                  <w:noWrap w:val="0"/>
                  <w:vAlign w:val="center"/>
                </w:tcPr>
                <w:p w14:paraId="722992D2">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170</w:t>
                  </w:r>
                </w:p>
              </w:tc>
              <w:tc>
                <w:tcPr>
                  <w:tcW w:w="663" w:type="dxa"/>
                  <w:noWrap w:val="0"/>
                  <w:vAlign w:val="center"/>
                </w:tcPr>
                <w:p w14:paraId="3E9A8224">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达标</w:t>
                  </w:r>
                </w:p>
              </w:tc>
            </w:tr>
            <w:tr w14:paraId="5A3DA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61" w:type="dxa"/>
                  <w:noWrap w:val="0"/>
                  <w:vAlign w:val="center"/>
                </w:tcPr>
                <w:p w14:paraId="0B017522">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w:t>
                  </w:r>
                </w:p>
              </w:tc>
              <w:tc>
                <w:tcPr>
                  <w:tcW w:w="1105" w:type="dxa"/>
                  <w:noWrap w:val="0"/>
                  <w:vAlign w:val="center"/>
                </w:tcPr>
                <w:p w14:paraId="1EB4F7FD">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汞</w:t>
                  </w:r>
                </w:p>
              </w:tc>
              <w:tc>
                <w:tcPr>
                  <w:tcW w:w="799" w:type="dxa"/>
                  <w:shd w:val="clear" w:color="auto" w:fill="auto"/>
                  <w:noWrap w:val="0"/>
                  <w:vAlign w:val="center"/>
                </w:tcPr>
                <w:p w14:paraId="4E6A08AB">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0.127</w:t>
                  </w:r>
                </w:p>
              </w:tc>
              <w:tc>
                <w:tcPr>
                  <w:tcW w:w="799" w:type="dxa"/>
                  <w:shd w:val="clear" w:color="auto" w:fill="auto"/>
                  <w:noWrap w:val="0"/>
                  <w:vAlign w:val="center"/>
                </w:tcPr>
                <w:p w14:paraId="1EA4CB74">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0.141</w:t>
                  </w:r>
                </w:p>
              </w:tc>
              <w:tc>
                <w:tcPr>
                  <w:tcW w:w="799" w:type="dxa"/>
                  <w:noWrap w:val="0"/>
                  <w:vAlign w:val="center"/>
                </w:tcPr>
                <w:p w14:paraId="1850BA26">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0.191</w:t>
                  </w:r>
                </w:p>
              </w:tc>
              <w:tc>
                <w:tcPr>
                  <w:tcW w:w="799" w:type="dxa"/>
                  <w:noWrap w:val="0"/>
                  <w:vAlign w:val="center"/>
                </w:tcPr>
                <w:p w14:paraId="30937760">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0.255</w:t>
                  </w:r>
                </w:p>
              </w:tc>
              <w:tc>
                <w:tcPr>
                  <w:tcW w:w="799" w:type="dxa"/>
                  <w:shd w:val="clear" w:color="auto" w:fill="auto"/>
                  <w:noWrap w:val="0"/>
                  <w:vAlign w:val="center"/>
                </w:tcPr>
                <w:p w14:paraId="67DBCE93">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0.202</w:t>
                  </w:r>
                </w:p>
              </w:tc>
              <w:tc>
                <w:tcPr>
                  <w:tcW w:w="884" w:type="dxa"/>
                  <w:noWrap w:val="0"/>
                  <w:vAlign w:val="center"/>
                </w:tcPr>
                <w:p w14:paraId="510CE25E">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38</w:t>
                  </w:r>
                </w:p>
              </w:tc>
              <w:tc>
                <w:tcPr>
                  <w:tcW w:w="884" w:type="dxa"/>
                  <w:noWrap w:val="0"/>
                  <w:vAlign w:val="center"/>
                </w:tcPr>
                <w:p w14:paraId="15652BAD">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3.4</w:t>
                  </w:r>
                </w:p>
              </w:tc>
              <w:tc>
                <w:tcPr>
                  <w:tcW w:w="663" w:type="dxa"/>
                  <w:noWrap w:val="0"/>
                  <w:vAlign w:val="center"/>
                </w:tcPr>
                <w:p w14:paraId="0BCC5C3E">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达标</w:t>
                  </w:r>
                </w:p>
              </w:tc>
            </w:tr>
            <w:tr w14:paraId="1C839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461" w:type="dxa"/>
                  <w:noWrap w:val="0"/>
                  <w:vAlign w:val="center"/>
                </w:tcPr>
                <w:p w14:paraId="41C31BB0">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w:t>
                  </w:r>
                </w:p>
              </w:tc>
              <w:tc>
                <w:tcPr>
                  <w:tcW w:w="1105" w:type="dxa"/>
                  <w:noWrap w:val="0"/>
                  <w:vAlign w:val="center"/>
                </w:tcPr>
                <w:p w14:paraId="212103E0">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镍</w:t>
                  </w:r>
                </w:p>
              </w:tc>
              <w:tc>
                <w:tcPr>
                  <w:tcW w:w="799" w:type="dxa"/>
                  <w:shd w:val="clear" w:color="auto" w:fill="auto"/>
                  <w:noWrap w:val="0"/>
                  <w:vAlign w:val="center"/>
                </w:tcPr>
                <w:p w14:paraId="7227C41A">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41</w:t>
                  </w:r>
                </w:p>
              </w:tc>
              <w:tc>
                <w:tcPr>
                  <w:tcW w:w="799" w:type="dxa"/>
                  <w:shd w:val="clear" w:color="auto" w:fill="auto"/>
                  <w:noWrap w:val="0"/>
                  <w:vAlign w:val="center"/>
                </w:tcPr>
                <w:p w14:paraId="36A81B84">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57</w:t>
                  </w:r>
                </w:p>
              </w:tc>
              <w:tc>
                <w:tcPr>
                  <w:tcW w:w="799" w:type="dxa"/>
                  <w:noWrap w:val="0"/>
                  <w:vAlign w:val="center"/>
                </w:tcPr>
                <w:p w14:paraId="30BEF401">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78</w:t>
                  </w:r>
                </w:p>
              </w:tc>
              <w:tc>
                <w:tcPr>
                  <w:tcW w:w="799" w:type="dxa"/>
                  <w:noWrap w:val="0"/>
                  <w:vAlign w:val="center"/>
                </w:tcPr>
                <w:p w14:paraId="781643FD">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46</w:t>
                  </w:r>
                </w:p>
              </w:tc>
              <w:tc>
                <w:tcPr>
                  <w:tcW w:w="799" w:type="dxa"/>
                  <w:shd w:val="clear" w:color="auto" w:fill="auto"/>
                  <w:noWrap w:val="0"/>
                  <w:vAlign w:val="center"/>
                </w:tcPr>
                <w:p w14:paraId="2C505A6F">
                  <w:pPr>
                    <w:pStyle w:val="82"/>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cs="Times New Roman"/>
                      <w:bCs/>
                      <w:color w:val="auto"/>
                      <w:kern w:val="2"/>
                      <w:sz w:val="21"/>
                      <w:szCs w:val="21"/>
                      <w:highlight w:val="none"/>
                      <w:lang w:val="en-US" w:eastAsia="zh-CN" w:bidi="ar-SA"/>
                    </w:rPr>
                    <w:t>57</w:t>
                  </w:r>
                </w:p>
              </w:tc>
              <w:tc>
                <w:tcPr>
                  <w:tcW w:w="884" w:type="dxa"/>
                  <w:noWrap w:val="0"/>
                  <w:vAlign w:val="center"/>
                </w:tcPr>
                <w:p w14:paraId="51C9FAA8">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900</w:t>
                  </w:r>
                </w:p>
              </w:tc>
              <w:tc>
                <w:tcPr>
                  <w:tcW w:w="884" w:type="dxa"/>
                  <w:noWrap w:val="0"/>
                  <w:vAlign w:val="center"/>
                </w:tcPr>
                <w:p w14:paraId="6D89E476">
                  <w:pPr>
                    <w:pStyle w:val="82"/>
                    <w:keepNext w:val="0"/>
                    <w:keepLines w:val="0"/>
                    <w:suppressLineNumbers w:val="0"/>
                    <w:spacing w:before="0" w:beforeAutospacing="0" w:after="0" w:afterAutospacing="0"/>
                    <w:ind w:left="0" w:right="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190</w:t>
                  </w:r>
                </w:p>
              </w:tc>
              <w:tc>
                <w:tcPr>
                  <w:tcW w:w="663" w:type="dxa"/>
                  <w:noWrap w:val="0"/>
                  <w:vAlign w:val="center"/>
                </w:tcPr>
                <w:p w14:paraId="73DEBCF2">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达标</w:t>
                  </w:r>
                </w:p>
              </w:tc>
            </w:tr>
          </w:tbl>
          <w:p w14:paraId="0B9A7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bCs/>
                <w:color w:val="auto"/>
                <w:sz w:val="24"/>
                <w:highlight w:val="none"/>
              </w:rPr>
              <w:t>监测结果表明：项目所在地占地范围内1#、2#</w:t>
            </w:r>
            <w:r>
              <w:rPr>
                <w:rFonts w:hint="eastAsia"/>
                <w:bCs/>
                <w:color w:val="auto"/>
                <w:sz w:val="24"/>
                <w:highlight w:val="none"/>
                <w:lang w:eastAsia="zh-CN"/>
              </w:rPr>
              <w:t>、</w:t>
            </w:r>
            <w:r>
              <w:rPr>
                <w:rFonts w:hint="eastAsia"/>
                <w:bCs/>
                <w:color w:val="auto"/>
                <w:sz w:val="24"/>
                <w:highlight w:val="none"/>
                <w:lang w:val="en-US" w:eastAsia="zh-CN"/>
              </w:rPr>
              <w:t>3#、4#</w:t>
            </w:r>
            <w:r>
              <w:rPr>
                <w:rFonts w:hint="eastAsia"/>
                <w:bCs/>
                <w:color w:val="auto"/>
                <w:sz w:val="24"/>
                <w:highlight w:val="none"/>
              </w:rPr>
              <w:t>各项指标均满足《土壤环境质量建设用地土壤污染风险管控标准》（GB36600-2018）中第二类用地风险筛选值；</w:t>
            </w:r>
            <w:r>
              <w:rPr>
                <w:rFonts w:hint="eastAsia"/>
                <w:bCs/>
                <w:color w:val="auto"/>
                <w:sz w:val="24"/>
                <w:highlight w:val="none"/>
                <w:lang w:val="en-US" w:eastAsia="zh-CN"/>
              </w:rPr>
              <w:t>5</w:t>
            </w:r>
            <w:r>
              <w:rPr>
                <w:rFonts w:hint="eastAsia"/>
                <w:bCs/>
                <w:color w:val="auto"/>
                <w:sz w:val="24"/>
                <w:highlight w:val="none"/>
              </w:rPr>
              <w:t>#各项指标均满足《土壤环境质量标准农用地土壤污染风险管控标准》（GB15618-2018）中风险筛选值。</w:t>
            </w:r>
          </w:p>
          <w:p w14:paraId="2DB15D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p>
          <w:p w14:paraId="52175F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p>
          <w:p w14:paraId="131DA9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p>
          <w:p w14:paraId="2C136E02">
            <w:pPr>
              <w:pStyle w:val="18"/>
              <w:keepNext w:val="0"/>
              <w:keepLines w:val="0"/>
              <w:suppressLineNumbers w:val="0"/>
              <w:spacing w:before="0" w:beforeAutospacing="0" w:after="0" w:afterAutospacing="0"/>
              <w:ind w:left="0" w:leftChars="0" w:right="0" w:firstLine="0" w:firstLineChars="0"/>
              <w:rPr>
                <w:rFonts w:hint="default"/>
                <w:color w:val="auto"/>
                <w:highlight w:val="none"/>
                <w:lang w:val="en-US" w:eastAsia="zh-CN"/>
              </w:rPr>
            </w:pPr>
          </w:p>
        </w:tc>
      </w:tr>
      <w:tr w14:paraId="615B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462" w:type="pct"/>
            <w:tcBorders>
              <w:tl2br w:val="nil"/>
              <w:tr2bl w:val="nil"/>
            </w:tcBorders>
            <w:vAlign w:val="center"/>
          </w:tcPr>
          <w:p w14:paraId="25D59299">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环境</w:t>
            </w:r>
          </w:p>
          <w:p w14:paraId="60D56744">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保护</w:t>
            </w:r>
          </w:p>
          <w:p w14:paraId="4716126F">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Cs w:val="21"/>
                <w:highlight w:val="none"/>
              </w:rPr>
              <w:t>目标</w:t>
            </w:r>
          </w:p>
        </w:tc>
        <w:tc>
          <w:tcPr>
            <w:tcW w:w="4537" w:type="pct"/>
            <w:tcBorders>
              <w:tl2br w:val="nil"/>
              <w:tr2bl w:val="nil"/>
            </w:tcBorders>
            <w:vAlign w:val="center"/>
          </w:tcPr>
          <w:p w14:paraId="5191F4D4">
            <w:pPr>
              <w:keepNext w:val="0"/>
              <w:keepLines w:val="0"/>
              <w:suppressLineNumbers w:val="0"/>
              <w:spacing w:before="0" w:beforeAutospacing="0" w:after="0" w:afterAutospacing="0" w:line="360" w:lineRule="auto"/>
              <w:ind w:left="0" w:right="0" w:firstLine="482" w:firstLineChars="200"/>
              <w:rPr>
                <w:b/>
                <w:bCs/>
                <w:color w:val="auto"/>
                <w:sz w:val="24"/>
                <w:highlight w:val="none"/>
              </w:rPr>
            </w:pPr>
            <w:r>
              <w:rPr>
                <w:b/>
                <w:bCs/>
                <w:color w:val="auto"/>
                <w:sz w:val="24"/>
                <w:highlight w:val="none"/>
              </w:rPr>
              <w:t>（1）大气环境</w:t>
            </w:r>
          </w:p>
          <w:p w14:paraId="6A20CB5E">
            <w:pPr>
              <w:keepNext w:val="0"/>
              <w:keepLines w:val="0"/>
              <w:suppressLineNumbers w:val="0"/>
              <w:spacing w:before="0" w:beforeAutospacing="0" w:after="0" w:afterAutospacing="0" w:line="360" w:lineRule="exact"/>
              <w:ind w:left="0" w:right="0"/>
              <w:jc w:val="center"/>
              <w:rPr>
                <w:color w:val="auto"/>
                <w:sz w:val="24"/>
                <w:highlight w:val="none"/>
              </w:rPr>
            </w:pPr>
            <w:r>
              <w:rPr>
                <w:color w:val="auto"/>
                <w:sz w:val="24"/>
                <w:highlight w:val="none"/>
              </w:rPr>
              <w:t>表</w:t>
            </w:r>
            <w:r>
              <w:rPr>
                <w:rFonts w:hint="eastAsia"/>
                <w:color w:val="auto"/>
                <w:sz w:val="24"/>
                <w:highlight w:val="none"/>
              </w:rPr>
              <w:t>3</w:t>
            </w:r>
            <w:r>
              <w:rPr>
                <w:rFonts w:hint="eastAsia"/>
                <w:color w:val="auto"/>
                <w:sz w:val="24"/>
                <w:highlight w:val="none"/>
                <w:lang w:val="en-US" w:eastAsia="zh-CN"/>
              </w:rPr>
              <w:t xml:space="preserve">-9  </w:t>
            </w:r>
            <w:r>
              <w:rPr>
                <w:color w:val="auto"/>
                <w:sz w:val="24"/>
                <w:highlight w:val="none"/>
              </w:rPr>
              <w:t>环境保护目标</w:t>
            </w:r>
          </w:p>
          <w:tbl>
            <w:tblPr>
              <w:tblStyle w:val="2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04"/>
              <w:gridCol w:w="862"/>
              <w:gridCol w:w="834"/>
              <w:gridCol w:w="850"/>
              <w:gridCol w:w="874"/>
              <w:gridCol w:w="748"/>
              <w:gridCol w:w="882"/>
              <w:gridCol w:w="1839"/>
            </w:tblGrid>
            <w:tr w14:paraId="5C90D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104" w:type="dxa"/>
                  <w:vMerge w:val="restart"/>
                  <w:tcMar>
                    <w:top w:w="57" w:type="dxa"/>
                    <w:left w:w="57" w:type="dxa"/>
                    <w:bottom w:w="57" w:type="dxa"/>
                    <w:right w:w="57" w:type="dxa"/>
                  </w:tcMar>
                  <w:vAlign w:val="center"/>
                </w:tcPr>
                <w:p w14:paraId="6FD9BE94">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环境要素</w:t>
                  </w:r>
                </w:p>
              </w:tc>
              <w:tc>
                <w:tcPr>
                  <w:tcW w:w="862" w:type="dxa"/>
                  <w:vMerge w:val="restart"/>
                  <w:tcMar>
                    <w:top w:w="57" w:type="dxa"/>
                    <w:left w:w="57" w:type="dxa"/>
                    <w:bottom w:w="57" w:type="dxa"/>
                    <w:right w:w="57" w:type="dxa"/>
                  </w:tcMar>
                  <w:vAlign w:val="center"/>
                </w:tcPr>
                <w:p w14:paraId="35A89369">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名称</w:t>
                  </w:r>
                </w:p>
              </w:tc>
              <w:tc>
                <w:tcPr>
                  <w:tcW w:w="1684" w:type="dxa"/>
                  <w:gridSpan w:val="2"/>
                  <w:tcMar>
                    <w:top w:w="57" w:type="dxa"/>
                    <w:left w:w="57" w:type="dxa"/>
                    <w:bottom w:w="57" w:type="dxa"/>
                    <w:right w:w="57" w:type="dxa"/>
                  </w:tcMar>
                  <w:vAlign w:val="center"/>
                </w:tcPr>
                <w:p w14:paraId="09D3B8D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坐标/</w:t>
                  </w:r>
                  <w:r>
                    <w:rPr>
                      <w:color w:val="auto"/>
                      <w:szCs w:val="21"/>
                      <w:highlight w:val="none"/>
                    </w:rPr>
                    <w:t>m</w:t>
                  </w:r>
                </w:p>
              </w:tc>
              <w:tc>
                <w:tcPr>
                  <w:tcW w:w="874" w:type="dxa"/>
                  <w:vMerge w:val="restart"/>
                  <w:tcMar>
                    <w:top w:w="57" w:type="dxa"/>
                    <w:left w:w="57" w:type="dxa"/>
                    <w:bottom w:w="57" w:type="dxa"/>
                    <w:right w:w="57" w:type="dxa"/>
                  </w:tcMar>
                  <w:vAlign w:val="center"/>
                </w:tcPr>
                <w:p w14:paraId="218C8839">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保护</w:t>
                  </w:r>
                </w:p>
                <w:p w14:paraId="23A22A46">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对象</w:t>
                  </w:r>
                </w:p>
              </w:tc>
              <w:tc>
                <w:tcPr>
                  <w:tcW w:w="748" w:type="dxa"/>
                  <w:vMerge w:val="restart"/>
                  <w:vAlign w:val="center"/>
                </w:tcPr>
                <w:p w14:paraId="7E2514BD">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相对厂址方位</w:t>
                  </w:r>
                </w:p>
              </w:tc>
              <w:tc>
                <w:tcPr>
                  <w:tcW w:w="882" w:type="dxa"/>
                  <w:vMerge w:val="restart"/>
                  <w:vAlign w:val="center"/>
                </w:tcPr>
                <w:p w14:paraId="0951EE1D">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相对厂界距离/m</w:t>
                  </w:r>
                </w:p>
              </w:tc>
              <w:tc>
                <w:tcPr>
                  <w:tcW w:w="1839" w:type="dxa"/>
                  <w:vMerge w:val="restart"/>
                  <w:vAlign w:val="center"/>
                </w:tcPr>
                <w:p w14:paraId="023C1B7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执行标准</w:t>
                  </w:r>
                </w:p>
              </w:tc>
            </w:tr>
            <w:tr w14:paraId="0BED4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rPr>
              <w:tc>
                <w:tcPr>
                  <w:tcW w:w="1104" w:type="dxa"/>
                  <w:vMerge w:val="continue"/>
                  <w:tcMar>
                    <w:top w:w="57" w:type="dxa"/>
                    <w:left w:w="57" w:type="dxa"/>
                    <w:bottom w:w="57" w:type="dxa"/>
                    <w:right w:w="57" w:type="dxa"/>
                  </w:tcMar>
                  <w:vAlign w:val="center"/>
                </w:tcPr>
                <w:p w14:paraId="6B9B8A24">
                  <w:pPr>
                    <w:keepNext w:val="0"/>
                    <w:keepLines w:val="0"/>
                    <w:suppressLineNumbers w:val="0"/>
                    <w:spacing w:before="0" w:beforeAutospacing="0" w:after="0" w:afterAutospacing="0"/>
                    <w:ind w:left="0" w:right="0"/>
                    <w:jc w:val="center"/>
                    <w:rPr>
                      <w:color w:val="auto"/>
                      <w:szCs w:val="21"/>
                      <w:highlight w:val="none"/>
                    </w:rPr>
                  </w:pPr>
                </w:p>
              </w:tc>
              <w:tc>
                <w:tcPr>
                  <w:tcW w:w="862" w:type="dxa"/>
                  <w:vMerge w:val="continue"/>
                  <w:tcMar>
                    <w:top w:w="57" w:type="dxa"/>
                    <w:left w:w="57" w:type="dxa"/>
                    <w:bottom w:w="57" w:type="dxa"/>
                    <w:right w:w="57" w:type="dxa"/>
                  </w:tcMar>
                  <w:vAlign w:val="center"/>
                </w:tcPr>
                <w:p w14:paraId="79D4AAEB">
                  <w:pPr>
                    <w:keepNext w:val="0"/>
                    <w:keepLines w:val="0"/>
                    <w:suppressLineNumbers w:val="0"/>
                    <w:spacing w:before="0" w:beforeAutospacing="0" w:after="0" w:afterAutospacing="0"/>
                    <w:ind w:left="0" w:right="0"/>
                    <w:jc w:val="center"/>
                    <w:rPr>
                      <w:color w:val="auto"/>
                      <w:szCs w:val="21"/>
                      <w:highlight w:val="none"/>
                    </w:rPr>
                  </w:pPr>
                </w:p>
              </w:tc>
              <w:tc>
                <w:tcPr>
                  <w:tcW w:w="834" w:type="dxa"/>
                  <w:tcMar>
                    <w:top w:w="57" w:type="dxa"/>
                    <w:left w:w="57" w:type="dxa"/>
                    <w:bottom w:w="57" w:type="dxa"/>
                    <w:right w:w="57" w:type="dxa"/>
                  </w:tcMar>
                  <w:vAlign w:val="center"/>
                </w:tcPr>
                <w:p w14:paraId="72F6512F">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X</w:t>
                  </w:r>
                </w:p>
              </w:tc>
              <w:tc>
                <w:tcPr>
                  <w:tcW w:w="850" w:type="dxa"/>
                  <w:tcMar>
                    <w:top w:w="57" w:type="dxa"/>
                    <w:left w:w="57" w:type="dxa"/>
                    <w:bottom w:w="57" w:type="dxa"/>
                    <w:right w:w="57" w:type="dxa"/>
                  </w:tcMar>
                  <w:vAlign w:val="center"/>
                </w:tcPr>
                <w:p w14:paraId="4352813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Y</w:t>
                  </w:r>
                </w:p>
              </w:tc>
              <w:tc>
                <w:tcPr>
                  <w:tcW w:w="874" w:type="dxa"/>
                  <w:vMerge w:val="continue"/>
                  <w:tcMar>
                    <w:top w:w="57" w:type="dxa"/>
                    <w:left w:w="57" w:type="dxa"/>
                    <w:bottom w:w="57" w:type="dxa"/>
                    <w:right w:w="57" w:type="dxa"/>
                  </w:tcMar>
                  <w:vAlign w:val="center"/>
                </w:tcPr>
                <w:p w14:paraId="52DC95BA">
                  <w:pPr>
                    <w:keepNext w:val="0"/>
                    <w:keepLines w:val="0"/>
                    <w:suppressLineNumbers w:val="0"/>
                    <w:spacing w:before="0" w:beforeAutospacing="0" w:after="0" w:afterAutospacing="0"/>
                    <w:ind w:left="0" w:right="0"/>
                    <w:jc w:val="center"/>
                    <w:rPr>
                      <w:color w:val="auto"/>
                      <w:szCs w:val="21"/>
                      <w:highlight w:val="none"/>
                    </w:rPr>
                  </w:pPr>
                </w:p>
              </w:tc>
              <w:tc>
                <w:tcPr>
                  <w:tcW w:w="748" w:type="dxa"/>
                  <w:vMerge w:val="continue"/>
                  <w:vAlign w:val="center"/>
                </w:tcPr>
                <w:p w14:paraId="2AAA3EE4">
                  <w:pPr>
                    <w:keepNext w:val="0"/>
                    <w:keepLines w:val="0"/>
                    <w:suppressLineNumbers w:val="0"/>
                    <w:spacing w:before="0" w:beforeAutospacing="0" w:after="0" w:afterAutospacing="0"/>
                    <w:ind w:left="0" w:right="0"/>
                    <w:jc w:val="center"/>
                    <w:rPr>
                      <w:color w:val="auto"/>
                      <w:szCs w:val="21"/>
                      <w:highlight w:val="none"/>
                    </w:rPr>
                  </w:pPr>
                </w:p>
              </w:tc>
              <w:tc>
                <w:tcPr>
                  <w:tcW w:w="882" w:type="dxa"/>
                  <w:vMerge w:val="continue"/>
                  <w:vAlign w:val="center"/>
                </w:tcPr>
                <w:p w14:paraId="55F2D2F2">
                  <w:pPr>
                    <w:keepNext w:val="0"/>
                    <w:keepLines w:val="0"/>
                    <w:suppressLineNumbers w:val="0"/>
                    <w:spacing w:before="0" w:beforeAutospacing="0" w:after="0" w:afterAutospacing="0"/>
                    <w:ind w:left="0" w:right="0"/>
                    <w:jc w:val="center"/>
                    <w:rPr>
                      <w:color w:val="auto"/>
                      <w:szCs w:val="21"/>
                      <w:highlight w:val="none"/>
                    </w:rPr>
                  </w:pPr>
                </w:p>
              </w:tc>
              <w:tc>
                <w:tcPr>
                  <w:tcW w:w="1839" w:type="dxa"/>
                  <w:vMerge w:val="continue"/>
                  <w:vAlign w:val="center"/>
                </w:tcPr>
                <w:p w14:paraId="29BC8CF0">
                  <w:pPr>
                    <w:keepNext w:val="0"/>
                    <w:keepLines w:val="0"/>
                    <w:suppressLineNumbers w:val="0"/>
                    <w:spacing w:before="0" w:beforeAutospacing="0" w:after="0" w:afterAutospacing="0"/>
                    <w:ind w:left="0" w:right="0"/>
                    <w:jc w:val="center"/>
                    <w:rPr>
                      <w:color w:val="auto"/>
                      <w:szCs w:val="21"/>
                      <w:highlight w:val="none"/>
                    </w:rPr>
                  </w:pPr>
                </w:p>
              </w:tc>
            </w:tr>
            <w:tr w14:paraId="64942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1" w:hRule="atLeast"/>
              </w:trPr>
              <w:tc>
                <w:tcPr>
                  <w:tcW w:w="1104" w:type="dxa"/>
                  <w:tcMar>
                    <w:top w:w="57" w:type="dxa"/>
                    <w:left w:w="57" w:type="dxa"/>
                    <w:bottom w:w="57" w:type="dxa"/>
                    <w:right w:w="57" w:type="dxa"/>
                  </w:tcMar>
                  <w:vAlign w:val="center"/>
                </w:tcPr>
                <w:p w14:paraId="006F2F47">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环境空气/环境风险</w:t>
                  </w:r>
                </w:p>
              </w:tc>
              <w:tc>
                <w:tcPr>
                  <w:tcW w:w="862" w:type="dxa"/>
                  <w:tcMar>
                    <w:top w:w="57" w:type="dxa"/>
                    <w:left w:w="57" w:type="dxa"/>
                    <w:bottom w:w="57" w:type="dxa"/>
                    <w:right w:w="57" w:type="dxa"/>
                  </w:tcMar>
                  <w:vAlign w:val="center"/>
                </w:tcPr>
                <w:p w14:paraId="669E14E7">
                  <w:pPr>
                    <w:keepNext w:val="0"/>
                    <w:keepLines w:val="0"/>
                    <w:suppressLineNumbers w:val="0"/>
                    <w:spacing w:before="50" w:beforeAutospacing="0" w:after="0" w:afterAutospacing="0"/>
                    <w:ind w:left="0" w:right="0"/>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碾盘乡及碾盘乡派出所</w:t>
                  </w:r>
                </w:p>
              </w:tc>
              <w:tc>
                <w:tcPr>
                  <w:tcW w:w="834" w:type="dxa"/>
                  <w:tcMar>
                    <w:top w:w="57" w:type="dxa"/>
                    <w:left w:w="57" w:type="dxa"/>
                    <w:bottom w:w="57" w:type="dxa"/>
                    <w:right w:w="57" w:type="dxa"/>
                  </w:tcMar>
                  <w:vAlign w:val="center"/>
                </w:tcPr>
                <w:p w14:paraId="166C06DA">
                  <w:pPr>
                    <w:keepNext w:val="0"/>
                    <w:keepLines w:val="0"/>
                    <w:suppressLineNumbers w:val="0"/>
                    <w:spacing w:before="5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586393</w:t>
                  </w:r>
                </w:p>
              </w:tc>
              <w:tc>
                <w:tcPr>
                  <w:tcW w:w="850" w:type="dxa"/>
                  <w:tcMar>
                    <w:top w:w="57" w:type="dxa"/>
                    <w:left w:w="57" w:type="dxa"/>
                    <w:bottom w:w="57" w:type="dxa"/>
                    <w:right w:w="57" w:type="dxa"/>
                  </w:tcMar>
                  <w:vAlign w:val="center"/>
                </w:tcPr>
                <w:p w14:paraId="188C07AE">
                  <w:pPr>
                    <w:keepNext w:val="0"/>
                    <w:keepLines w:val="0"/>
                    <w:suppressLineNumbers w:val="0"/>
                    <w:spacing w:before="5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4629442</w:t>
                  </w:r>
                </w:p>
              </w:tc>
              <w:tc>
                <w:tcPr>
                  <w:tcW w:w="874" w:type="dxa"/>
                  <w:tcMar>
                    <w:top w:w="57" w:type="dxa"/>
                    <w:left w:w="57" w:type="dxa"/>
                    <w:bottom w:w="57" w:type="dxa"/>
                    <w:right w:w="57" w:type="dxa"/>
                  </w:tcMar>
                  <w:vAlign w:val="center"/>
                </w:tcPr>
                <w:p w14:paraId="13FD3C13">
                  <w:pPr>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居民</w:t>
                  </w:r>
                </w:p>
                <w:p w14:paraId="57201C7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约</w:t>
                  </w:r>
                  <w:r>
                    <w:rPr>
                      <w:rFonts w:hint="eastAsia"/>
                      <w:color w:val="auto"/>
                      <w:szCs w:val="21"/>
                      <w:highlight w:val="none"/>
                      <w:lang w:val="en-US" w:eastAsia="zh-CN"/>
                    </w:rPr>
                    <w:t>8479</w:t>
                  </w:r>
                  <w:r>
                    <w:rPr>
                      <w:rFonts w:hint="eastAsia"/>
                      <w:color w:val="auto"/>
                      <w:szCs w:val="21"/>
                      <w:highlight w:val="none"/>
                    </w:rPr>
                    <w:t>人</w:t>
                  </w:r>
                </w:p>
              </w:tc>
              <w:tc>
                <w:tcPr>
                  <w:tcW w:w="748" w:type="dxa"/>
                  <w:vAlign w:val="center"/>
                </w:tcPr>
                <w:p w14:paraId="71C2817E">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西南</w:t>
                  </w:r>
                </w:p>
              </w:tc>
              <w:tc>
                <w:tcPr>
                  <w:tcW w:w="882" w:type="dxa"/>
                  <w:vAlign w:val="center"/>
                </w:tcPr>
                <w:p w14:paraId="456C8AA3">
                  <w:pPr>
                    <w:keepNext w:val="0"/>
                    <w:keepLines w:val="0"/>
                    <w:suppressLineNumbers w:val="0"/>
                    <w:spacing w:before="5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410</w:t>
                  </w:r>
                </w:p>
              </w:tc>
              <w:tc>
                <w:tcPr>
                  <w:tcW w:w="1839" w:type="dxa"/>
                  <w:vAlign w:val="center"/>
                </w:tcPr>
                <w:p w14:paraId="4050A96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《环境空气质量标准》（GB3095-2026）</w:t>
                  </w:r>
                </w:p>
              </w:tc>
            </w:tr>
          </w:tbl>
          <w:p w14:paraId="0382AF99">
            <w:pPr>
              <w:keepNext w:val="0"/>
              <w:keepLines w:val="0"/>
              <w:suppressLineNumbers w:val="0"/>
              <w:spacing w:before="0" w:beforeAutospacing="0" w:after="0" w:afterAutospacing="0" w:line="360" w:lineRule="auto"/>
              <w:ind w:left="0" w:right="0" w:firstLine="482" w:firstLineChars="200"/>
              <w:rPr>
                <w:b/>
                <w:bCs/>
                <w:color w:val="auto"/>
                <w:sz w:val="24"/>
                <w:highlight w:val="none"/>
              </w:rPr>
            </w:pPr>
            <w:r>
              <w:rPr>
                <w:rFonts w:hint="eastAsia"/>
                <w:b/>
                <w:bCs/>
                <w:color w:val="auto"/>
                <w:sz w:val="24"/>
                <w:highlight w:val="none"/>
              </w:rPr>
              <w:t>（2）声环境</w:t>
            </w:r>
          </w:p>
          <w:p w14:paraId="6AACCC48">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项目厂界外50米内无声环境保护目标。</w:t>
            </w:r>
          </w:p>
          <w:p w14:paraId="4BB28863">
            <w:pPr>
              <w:keepNext w:val="0"/>
              <w:keepLines w:val="0"/>
              <w:suppressLineNumbers w:val="0"/>
              <w:spacing w:before="0" w:beforeAutospacing="0" w:after="0" w:afterAutospacing="0" w:line="360" w:lineRule="auto"/>
              <w:ind w:left="0" w:right="0" w:firstLine="482" w:firstLineChars="200"/>
              <w:rPr>
                <w:b/>
                <w:bCs/>
                <w:color w:val="auto"/>
                <w:sz w:val="24"/>
                <w:highlight w:val="none"/>
              </w:rPr>
            </w:pPr>
            <w:r>
              <w:rPr>
                <w:rFonts w:hint="eastAsia"/>
                <w:b/>
                <w:bCs/>
                <w:color w:val="auto"/>
                <w:sz w:val="24"/>
                <w:highlight w:val="none"/>
              </w:rPr>
              <w:t>（3）地下水环境、土壤</w:t>
            </w:r>
          </w:p>
          <w:p w14:paraId="30C913CD">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无地下水环境、土壤保护目标。</w:t>
            </w:r>
          </w:p>
          <w:p w14:paraId="33DD51BF">
            <w:pPr>
              <w:keepNext w:val="0"/>
              <w:keepLines w:val="0"/>
              <w:suppressLineNumbers w:val="0"/>
              <w:spacing w:before="0" w:beforeAutospacing="0" w:after="0" w:afterAutospacing="0" w:line="360" w:lineRule="auto"/>
              <w:ind w:left="0" w:right="0" w:firstLine="482" w:firstLineChars="200"/>
              <w:rPr>
                <w:b/>
                <w:bCs/>
                <w:color w:val="auto"/>
                <w:sz w:val="24"/>
                <w:highlight w:val="none"/>
              </w:rPr>
            </w:pPr>
            <w:r>
              <w:rPr>
                <w:rFonts w:hint="eastAsia"/>
                <w:b/>
                <w:bCs/>
                <w:color w:val="auto"/>
                <w:sz w:val="24"/>
                <w:highlight w:val="none"/>
              </w:rPr>
              <w:t>（4）生态环境</w:t>
            </w:r>
          </w:p>
          <w:p w14:paraId="69160713">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本项目位于</w:t>
            </w:r>
            <w:r>
              <w:rPr>
                <w:rFonts w:hint="eastAsia"/>
                <w:bCs/>
                <w:color w:val="auto"/>
                <w:sz w:val="24"/>
                <w:highlight w:val="none"/>
                <w:lang w:val="en-US" w:eastAsia="zh-CN"/>
              </w:rPr>
              <w:t>抚顺</w:t>
            </w:r>
            <w:r>
              <w:rPr>
                <w:rFonts w:hint="eastAsia"/>
                <w:bCs/>
                <w:color w:val="auto"/>
                <w:sz w:val="24"/>
                <w:highlight w:val="none"/>
              </w:rPr>
              <w:t>高新技术产业开发区，属于产业园区。项目占地范围内未发现有国家或地方法定保护的野生动、植物等生态环境保护目标分布。</w:t>
            </w:r>
          </w:p>
        </w:tc>
      </w:tr>
      <w:tr w14:paraId="2986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62" w:type="pct"/>
            <w:tcBorders>
              <w:tl2br w:val="nil"/>
              <w:tr2bl w:val="nil"/>
            </w:tcBorders>
            <w:tcMar>
              <w:left w:w="28" w:type="dxa"/>
              <w:right w:w="28" w:type="dxa"/>
            </w:tcMar>
            <w:vAlign w:val="center"/>
          </w:tcPr>
          <w:p w14:paraId="2FBD5F5D">
            <w:pPr>
              <w:keepNext w:val="0"/>
              <w:keepLines w:val="0"/>
              <w:suppressLineNumbers w:val="0"/>
              <w:adjustRightInd w:val="0"/>
              <w:snapToGrid w:val="0"/>
              <w:spacing w:before="0" w:beforeAutospacing="0" w:after="0" w:afterAutospacing="0"/>
              <w:ind w:left="0" w:right="0"/>
              <w:jc w:val="center"/>
              <w:rPr>
                <w:color w:val="auto"/>
                <w:kern w:val="0"/>
                <w:sz w:val="24"/>
                <w:highlight w:val="none"/>
              </w:rPr>
            </w:pPr>
            <w:r>
              <w:rPr>
                <w:color w:val="auto"/>
                <w:kern w:val="0"/>
                <w:sz w:val="24"/>
                <w:highlight w:val="none"/>
              </w:rPr>
              <w:t>污染</w:t>
            </w:r>
          </w:p>
          <w:p w14:paraId="52CC748A">
            <w:pPr>
              <w:keepNext w:val="0"/>
              <w:keepLines w:val="0"/>
              <w:suppressLineNumbers w:val="0"/>
              <w:adjustRightInd w:val="0"/>
              <w:snapToGrid w:val="0"/>
              <w:spacing w:before="0" w:beforeAutospacing="0" w:after="0" w:afterAutospacing="0"/>
              <w:ind w:left="0" w:right="0"/>
              <w:jc w:val="center"/>
              <w:rPr>
                <w:color w:val="auto"/>
                <w:kern w:val="0"/>
                <w:sz w:val="24"/>
                <w:highlight w:val="none"/>
              </w:rPr>
            </w:pPr>
            <w:r>
              <w:rPr>
                <w:color w:val="auto"/>
                <w:kern w:val="0"/>
                <w:sz w:val="24"/>
                <w:highlight w:val="none"/>
              </w:rPr>
              <w:t>物排</w:t>
            </w:r>
          </w:p>
          <w:p w14:paraId="0B256FCE">
            <w:pPr>
              <w:keepNext w:val="0"/>
              <w:keepLines w:val="0"/>
              <w:suppressLineNumbers w:val="0"/>
              <w:adjustRightInd w:val="0"/>
              <w:snapToGrid w:val="0"/>
              <w:spacing w:before="0" w:beforeAutospacing="0" w:after="0" w:afterAutospacing="0"/>
              <w:ind w:left="0" w:right="0"/>
              <w:jc w:val="center"/>
              <w:rPr>
                <w:color w:val="auto"/>
                <w:kern w:val="0"/>
                <w:sz w:val="24"/>
                <w:highlight w:val="none"/>
              </w:rPr>
            </w:pPr>
            <w:r>
              <w:rPr>
                <w:color w:val="auto"/>
                <w:kern w:val="0"/>
                <w:sz w:val="24"/>
                <w:highlight w:val="none"/>
              </w:rPr>
              <w:t>放控</w:t>
            </w:r>
          </w:p>
          <w:p w14:paraId="53A7DBB6">
            <w:pPr>
              <w:keepNext w:val="0"/>
              <w:keepLines w:val="0"/>
              <w:suppressLineNumbers w:val="0"/>
              <w:adjustRightInd w:val="0"/>
              <w:snapToGrid w:val="0"/>
              <w:spacing w:before="0" w:beforeAutospacing="0" w:after="0" w:afterAutospacing="0"/>
              <w:ind w:left="0" w:right="0"/>
              <w:jc w:val="center"/>
              <w:rPr>
                <w:color w:val="auto"/>
                <w:kern w:val="0"/>
                <w:sz w:val="24"/>
                <w:highlight w:val="none"/>
              </w:rPr>
            </w:pPr>
            <w:r>
              <w:rPr>
                <w:color w:val="auto"/>
                <w:kern w:val="0"/>
                <w:sz w:val="24"/>
                <w:highlight w:val="none"/>
              </w:rPr>
              <w:t>制标</w:t>
            </w:r>
          </w:p>
          <w:p w14:paraId="0B2833B6">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 w:val="24"/>
                <w:highlight w:val="none"/>
              </w:rPr>
              <w:t>准</w:t>
            </w:r>
          </w:p>
        </w:tc>
        <w:tc>
          <w:tcPr>
            <w:tcW w:w="4537" w:type="pct"/>
            <w:tcBorders>
              <w:tl2br w:val="nil"/>
              <w:tr2bl w:val="nil"/>
            </w:tcBorders>
            <w:vAlign w:val="center"/>
          </w:tcPr>
          <w:p w14:paraId="7D657894">
            <w:pPr>
              <w:keepNext w:val="0"/>
              <w:keepLines w:val="0"/>
              <w:suppressLineNumbers w:val="0"/>
              <w:spacing w:before="0" w:beforeAutospacing="0" w:after="0" w:afterAutospacing="0" w:line="360" w:lineRule="auto"/>
              <w:ind w:left="0" w:right="0" w:firstLine="482" w:firstLineChars="200"/>
              <w:rPr>
                <w:b/>
                <w:bCs/>
                <w:color w:val="auto"/>
                <w:sz w:val="24"/>
                <w:highlight w:val="none"/>
              </w:rPr>
            </w:pPr>
            <w:r>
              <w:rPr>
                <w:b/>
                <w:bCs/>
                <w:color w:val="auto"/>
                <w:sz w:val="24"/>
                <w:highlight w:val="none"/>
              </w:rPr>
              <w:t>（1）废气排放标准</w:t>
            </w:r>
          </w:p>
          <w:p w14:paraId="4EB2E917">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①施工期</w:t>
            </w:r>
          </w:p>
          <w:p w14:paraId="518E451D">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项目施工过程中产生的粉尘执行《施工及堆料场地扬尘排放标准》（DB21/2642-2016）中扬尘排放浓度限值，详见下表。</w:t>
            </w:r>
          </w:p>
          <w:p w14:paraId="499908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bCs/>
                <w:color w:val="auto"/>
                <w:sz w:val="24"/>
                <w:highlight w:val="none"/>
              </w:rPr>
            </w:pPr>
            <w:r>
              <w:rPr>
                <w:rFonts w:hint="eastAsia"/>
                <w:bCs/>
                <w:color w:val="auto"/>
                <w:sz w:val="24"/>
                <w:highlight w:val="none"/>
              </w:rPr>
              <w:t>表3-</w:t>
            </w:r>
            <w:r>
              <w:rPr>
                <w:rFonts w:hint="eastAsia"/>
                <w:bCs/>
                <w:color w:val="auto"/>
                <w:sz w:val="24"/>
                <w:highlight w:val="none"/>
                <w:lang w:val="en-US" w:eastAsia="zh-CN"/>
              </w:rPr>
              <w:t>10</w:t>
            </w:r>
            <w:r>
              <w:rPr>
                <w:rFonts w:hint="eastAsia"/>
                <w:bCs/>
                <w:color w:val="auto"/>
                <w:sz w:val="24"/>
                <w:highlight w:val="none"/>
              </w:rPr>
              <w:t xml:space="preserve">  《施工及堆场地扬尘排放标准》（DB21/2642-2016）</w:t>
            </w:r>
          </w:p>
          <w:tbl>
            <w:tblPr>
              <w:tblStyle w:val="28"/>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997"/>
              <w:gridCol w:w="1997"/>
              <w:gridCol w:w="1997"/>
              <w:gridCol w:w="1999"/>
            </w:tblGrid>
            <w:tr w14:paraId="386D6F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1249" w:type="pct"/>
                  <w:vAlign w:val="center"/>
                </w:tcPr>
                <w:p w14:paraId="5122CEA9">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污染物</w:t>
                  </w:r>
                </w:p>
              </w:tc>
              <w:tc>
                <w:tcPr>
                  <w:tcW w:w="1249" w:type="pct"/>
                  <w:vAlign w:val="center"/>
                </w:tcPr>
                <w:p w14:paraId="47C9B53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区域</w:t>
                  </w:r>
                </w:p>
              </w:tc>
              <w:tc>
                <w:tcPr>
                  <w:tcW w:w="1249" w:type="pct"/>
                  <w:vAlign w:val="center"/>
                </w:tcPr>
                <w:p w14:paraId="04BDA528">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单位</w:t>
                  </w:r>
                </w:p>
              </w:tc>
              <w:tc>
                <w:tcPr>
                  <w:tcW w:w="1250" w:type="pct"/>
                  <w:vAlign w:val="center"/>
                </w:tcPr>
                <w:p w14:paraId="0A5D050A">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浓度限值</w:t>
                  </w:r>
                </w:p>
              </w:tc>
            </w:tr>
            <w:tr w14:paraId="05468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1249" w:type="pct"/>
                  <w:vAlign w:val="center"/>
                </w:tcPr>
                <w:p w14:paraId="66C544C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颗粒物</w:t>
                  </w:r>
                </w:p>
              </w:tc>
              <w:tc>
                <w:tcPr>
                  <w:tcW w:w="1249" w:type="pct"/>
                  <w:vAlign w:val="center"/>
                </w:tcPr>
                <w:p w14:paraId="602A8D07">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城镇建成区</w:t>
                  </w:r>
                </w:p>
              </w:tc>
              <w:tc>
                <w:tcPr>
                  <w:tcW w:w="1249" w:type="pct"/>
                  <w:vAlign w:val="center"/>
                </w:tcPr>
                <w:p w14:paraId="282D40D9">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mg/m</w:t>
                  </w:r>
                  <w:r>
                    <w:rPr>
                      <w:rFonts w:hint="eastAsia"/>
                      <w:color w:val="auto"/>
                      <w:szCs w:val="21"/>
                      <w:highlight w:val="none"/>
                      <w:vertAlign w:val="superscript"/>
                    </w:rPr>
                    <w:t>3</w:t>
                  </w:r>
                </w:p>
              </w:tc>
              <w:tc>
                <w:tcPr>
                  <w:tcW w:w="1250" w:type="pct"/>
                  <w:vAlign w:val="center"/>
                </w:tcPr>
                <w:p w14:paraId="556CEFB4">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0.8</w:t>
                  </w:r>
                </w:p>
              </w:tc>
            </w:tr>
          </w:tbl>
          <w:p w14:paraId="1E1E3682">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bCs/>
                <w:color w:val="auto"/>
                <w:sz w:val="24"/>
                <w:highlight w:val="none"/>
              </w:rPr>
              <w:t>②</w:t>
            </w:r>
            <w:r>
              <w:rPr>
                <w:rFonts w:hint="eastAsia"/>
                <w:bCs/>
                <w:color w:val="auto"/>
                <w:sz w:val="24"/>
                <w:highlight w:val="none"/>
              </w:rPr>
              <w:t>运营</w:t>
            </w:r>
            <w:r>
              <w:rPr>
                <w:bCs/>
                <w:color w:val="auto"/>
                <w:sz w:val="24"/>
                <w:highlight w:val="none"/>
              </w:rPr>
              <w:t>期</w:t>
            </w:r>
          </w:p>
          <w:p w14:paraId="252CB43F">
            <w:pPr>
              <w:keepNext w:val="0"/>
              <w:keepLines w:val="0"/>
              <w:suppressLineNumbers w:val="0"/>
              <w:spacing w:before="0" w:beforeAutospacing="0" w:after="0" w:afterAutospacing="0" w:line="360" w:lineRule="auto"/>
              <w:ind w:left="0" w:right="0" w:firstLine="480" w:firstLineChars="200"/>
              <w:rPr>
                <w:rFonts w:hint="default" w:eastAsia="宋体"/>
                <w:color w:val="auto"/>
                <w:sz w:val="24"/>
                <w:highlight w:val="none"/>
                <w:lang w:val="en-US" w:eastAsia="zh-CN"/>
              </w:rPr>
            </w:pPr>
            <w:r>
              <w:rPr>
                <w:rFonts w:hint="eastAsia"/>
                <w:color w:val="auto"/>
                <w:sz w:val="24"/>
                <w:highlight w:val="none"/>
                <w:lang w:val="en-US" w:eastAsia="zh-CN"/>
              </w:rPr>
              <w:t>建设单位2013年报批的《汉圣化工年产10万t特种蜡项目环境影响报告书》中要求企业边界非甲烷总烃执行《大气污染物综合排放标准》（GB16297-1996）中相关限值。根据</w:t>
            </w:r>
            <w:r>
              <w:rPr>
                <w:rFonts w:hint="eastAsia"/>
                <w:color w:val="FF0000"/>
                <w:sz w:val="24"/>
                <w:highlight w:val="none"/>
                <w:lang w:val="en-US" w:eastAsia="zh-CN"/>
              </w:rPr>
              <w:t>环境影响</w:t>
            </w:r>
            <w:r>
              <w:rPr>
                <w:rFonts w:hint="eastAsia"/>
                <w:color w:val="auto"/>
                <w:sz w:val="24"/>
                <w:highlight w:val="none"/>
                <w:lang w:val="en-US" w:eastAsia="zh-CN"/>
              </w:rPr>
              <w:t>评价相关法律法规，有行业标准的优先执行行业标准，同时后法优先原则，本项目属于C2511原油加工及石油制品制造，因此</w:t>
            </w:r>
            <w:r>
              <w:rPr>
                <w:rFonts w:hint="eastAsia"/>
                <w:b/>
                <w:bCs/>
                <w:color w:val="auto"/>
                <w:sz w:val="24"/>
                <w:highlight w:val="none"/>
                <w:lang w:val="en-US" w:eastAsia="zh-CN"/>
              </w:rPr>
              <w:t>企业边界</w:t>
            </w:r>
            <w:r>
              <w:rPr>
                <w:rFonts w:hint="eastAsia"/>
                <w:color w:val="auto"/>
                <w:sz w:val="24"/>
                <w:highlight w:val="none"/>
                <w:lang w:val="en-US" w:eastAsia="zh-CN"/>
              </w:rPr>
              <w:t>非甲烷总烃污染物浓度限值执行《石油化学工业污染物排放标准》（GB31571-2015）（含2024年修改单）中相关标准限值。</w:t>
            </w:r>
          </w:p>
          <w:p w14:paraId="4F01B8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表3-</w:t>
            </w:r>
            <w:r>
              <w:rPr>
                <w:rFonts w:hint="eastAsia" w:ascii="Times New Roman" w:hAnsi="Times New Roman" w:eastAsia="宋体" w:cs="Times New Roman"/>
                <w:bCs/>
                <w:color w:val="auto"/>
                <w:sz w:val="24"/>
                <w:highlight w:val="none"/>
                <w:lang w:val="en-US" w:eastAsia="zh-CN"/>
              </w:rPr>
              <w:t>1</w:t>
            </w:r>
            <w:r>
              <w:rPr>
                <w:rFonts w:hint="eastAsia" w:cs="Times New Roman"/>
                <w:bCs/>
                <w:color w:val="auto"/>
                <w:sz w:val="24"/>
                <w:highlight w:val="none"/>
                <w:lang w:val="en-US" w:eastAsia="zh-CN"/>
              </w:rPr>
              <w:t>1</w:t>
            </w:r>
            <w:r>
              <w:rPr>
                <w:rFonts w:hint="eastAsia" w:ascii="Times New Roman" w:hAnsi="Times New Roman" w:eastAsia="宋体" w:cs="Times New Roman"/>
                <w:bCs/>
                <w:color w:val="auto"/>
                <w:sz w:val="24"/>
                <w:highlight w:val="none"/>
                <w:lang w:val="en-US" w:eastAsia="zh-CN"/>
              </w:rPr>
              <w:t xml:space="preserve">  </w:t>
            </w:r>
            <w:r>
              <w:rPr>
                <w:rFonts w:hint="eastAsia" w:ascii="Times New Roman" w:hAnsi="Times New Roman" w:eastAsia="宋体" w:cs="Times New Roman"/>
                <w:bCs/>
                <w:color w:val="auto"/>
                <w:sz w:val="24"/>
                <w:highlight w:val="none"/>
              </w:rPr>
              <w:t>大气污染物标准</w:t>
            </w:r>
            <w:r>
              <w:rPr>
                <w:rFonts w:hint="eastAsia" w:ascii="Times New Roman" w:hAnsi="Times New Roman" w:eastAsia="宋体" w:cs="Times New Roman"/>
                <w:bCs/>
                <w:color w:val="auto"/>
                <w:sz w:val="24"/>
                <w:highlight w:val="none"/>
                <w:lang w:val="en-US" w:eastAsia="zh-CN"/>
              </w:rPr>
              <w:t>限</w:t>
            </w:r>
            <w:r>
              <w:rPr>
                <w:rFonts w:hint="eastAsia" w:ascii="Times New Roman" w:hAnsi="Times New Roman" w:eastAsia="宋体" w:cs="Times New Roman"/>
                <w:bCs/>
                <w:color w:val="auto"/>
                <w:sz w:val="24"/>
                <w:highlight w:val="none"/>
              </w:rPr>
              <w:t>值</w:t>
            </w:r>
          </w:p>
          <w:tbl>
            <w:tblPr>
              <w:tblStyle w:val="27"/>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19"/>
              <w:gridCol w:w="2337"/>
              <w:gridCol w:w="2540"/>
            </w:tblGrid>
            <w:tr w14:paraId="7AC10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950" w:type="pct"/>
                  <w:vMerge w:val="restart"/>
                  <w:tcBorders>
                    <w:tl2br w:val="nil"/>
                    <w:tr2bl w:val="nil"/>
                  </w:tcBorders>
                  <w:vAlign w:val="center"/>
                </w:tcPr>
                <w:p w14:paraId="1006C998">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kern w:val="0"/>
                      <w:sz w:val="21"/>
                      <w:szCs w:val="21"/>
                      <w:highlight w:val="none"/>
                    </w:rPr>
                    <w:t>污染物</w:t>
                  </w:r>
                </w:p>
              </w:tc>
              <w:tc>
                <w:tcPr>
                  <w:tcW w:w="3049" w:type="pct"/>
                  <w:gridSpan w:val="2"/>
                  <w:tcBorders>
                    <w:tl2br w:val="nil"/>
                    <w:tr2bl w:val="nil"/>
                  </w:tcBorders>
                  <w:vAlign w:val="center"/>
                </w:tcPr>
                <w:p w14:paraId="7998ECCA">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无组织排放监控浓度限值</w:t>
                  </w:r>
                </w:p>
              </w:tc>
            </w:tr>
            <w:tr w14:paraId="3E20E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950" w:type="pct"/>
                  <w:vMerge w:val="continue"/>
                  <w:tcBorders>
                    <w:tl2br w:val="nil"/>
                    <w:tr2bl w:val="nil"/>
                  </w:tcBorders>
                  <w:vAlign w:val="center"/>
                </w:tcPr>
                <w:p w14:paraId="5A8EBBFE">
                  <w:pPr>
                    <w:keepNext w:val="0"/>
                    <w:keepLines w:val="0"/>
                    <w:widowControl/>
                    <w:suppressLineNumbers w:val="0"/>
                    <w:spacing w:before="0" w:beforeAutospacing="0" w:after="0" w:afterAutospacing="0" w:line="240" w:lineRule="exact"/>
                    <w:ind w:left="0" w:right="0"/>
                    <w:jc w:val="center"/>
                    <w:textAlignment w:val="center"/>
                    <w:rPr>
                      <w:color w:val="auto"/>
                      <w:kern w:val="0"/>
                      <w:sz w:val="21"/>
                      <w:szCs w:val="21"/>
                      <w:highlight w:val="none"/>
                    </w:rPr>
                  </w:pPr>
                </w:p>
              </w:tc>
              <w:tc>
                <w:tcPr>
                  <w:tcW w:w="1461" w:type="pct"/>
                  <w:tcBorders>
                    <w:tl2br w:val="nil"/>
                    <w:tr2bl w:val="nil"/>
                  </w:tcBorders>
                  <w:vAlign w:val="center"/>
                </w:tcPr>
                <w:p w14:paraId="1ADB7F2E">
                  <w:pPr>
                    <w:keepNext w:val="0"/>
                    <w:keepLines w:val="0"/>
                    <w:widowControl/>
                    <w:suppressLineNumbers w:val="0"/>
                    <w:spacing w:before="0" w:beforeAutospacing="0" w:after="0" w:afterAutospacing="0" w:line="240" w:lineRule="exact"/>
                    <w:ind w:left="0" w:right="0"/>
                    <w:jc w:val="center"/>
                    <w:textAlignment w:val="center"/>
                    <w:rPr>
                      <w:color w:val="auto"/>
                      <w:kern w:val="0"/>
                      <w:sz w:val="21"/>
                      <w:szCs w:val="21"/>
                      <w:highlight w:val="none"/>
                    </w:rPr>
                  </w:pPr>
                  <w:r>
                    <w:rPr>
                      <w:rFonts w:hint="eastAsia"/>
                      <w:color w:val="auto"/>
                      <w:kern w:val="0"/>
                      <w:sz w:val="21"/>
                      <w:szCs w:val="21"/>
                      <w:highlight w:val="none"/>
                    </w:rPr>
                    <w:t>监控点</w:t>
                  </w:r>
                </w:p>
              </w:tc>
              <w:tc>
                <w:tcPr>
                  <w:tcW w:w="1587" w:type="pct"/>
                  <w:tcBorders>
                    <w:tl2br w:val="nil"/>
                    <w:tr2bl w:val="nil"/>
                  </w:tcBorders>
                  <w:vAlign w:val="center"/>
                </w:tcPr>
                <w:p w14:paraId="71AABCFB">
                  <w:pPr>
                    <w:keepNext w:val="0"/>
                    <w:keepLines w:val="0"/>
                    <w:widowControl/>
                    <w:suppressLineNumbers w:val="0"/>
                    <w:spacing w:before="0" w:beforeAutospacing="0" w:after="0" w:afterAutospacing="0" w:line="240" w:lineRule="exact"/>
                    <w:ind w:left="0" w:right="0"/>
                    <w:jc w:val="center"/>
                    <w:textAlignment w:val="center"/>
                    <w:rPr>
                      <w:color w:val="auto"/>
                      <w:kern w:val="0"/>
                      <w:sz w:val="21"/>
                      <w:szCs w:val="21"/>
                      <w:highlight w:val="none"/>
                    </w:rPr>
                  </w:pPr>
                  <w:r>
                    <w:rPr>
                      <w:rFonts w:hint="eastAsia"/>
                      <w:color w:val="auto"/>
                      <w:kern w:val="0"/>
                      <w:sz w:val="21"/>
                      <w:szCs w:val="21"/>
                      <w:highlight w:val="none"/>
                    </w:rPr>
                    <w:t>浓度限值（mg/m</w:t>
                  </w:r>
                  <w:r>
                    <w:rPr>
                      <w:rFonts w:hint="eastAsia"/>
                      <w:color w:val="auto"/>
                      <w:kern w:val="0"/>
                      <w:sz w:val="21"/>
                      <w:szCs w:val="21"/>
                      <w:highlight w:val="none"/>
                      <w:vertAlign w:val="superscript"/>
                    </w:rPr>
                    <w:t>3</w:t>
                  </w:r>
                  <w:r>
                    <w:rPr>
                      <w:rFonts w:hint="eastAsia"/>
                      <w:color w:val="auto"/>
                      <w:kern w:val="0"/>
                      <w:sz w:val="21"/>
                      <w:szCs w:val="21"/>
                      <w:highlight w:val="none"/>
                    </w:rPr>
                    <w:t>）</w:t>
                  </w:r>
                </w:p>
              </w:tc>
            </w:tr>
            <w:tr w14:paraId="1AEA0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950" w:type="pct"/>
                  <w:tcBorders>
                    <w:tl2br w:val="nil"/>
                    <w:tr2bl w:val="nil"/>
                  </w:tcBorders>
                  <w:vAlign w:val="center"/>
                </w:tcPr>
                <w:p w14:paraId="107DE317">
                  <w:pPr>
                    <w:keepNext w:val="0"/>
                    <w:keepLines w:val="0"/>
                    <w:widowControl/>
                    <w:suppressLineNumbers w:val="0"/>
                    <w:spacing w:before="0" w:beforeAutospacing="0" w:after="0" w:afterAutospacing="0" w:line="240" w:lineRule="exact"/>
                    <w:ind w:left="0" w:right="0"/>
                    <w:jc w:val="center"/>
                    <w:textAlignment w:val="center"/>
                    <w:rPr>
                      <w:color w:val="auto"/>
                      <w:kern w:val="0"/>
                      <w:sz w:val="21"/>
                      <w:szCs w:val="21"/>
                      <w:highlight w:val="none"/>
                    </w:rPr>
                  </w:pPr>
                  <w:r>
                    <w:rPr>
                      <w:rFonts w:hint="eastAsia"/>
                      <w:color w:val="auto"/>
                      <w:kern w:val="0"/>
                      <w:sz w:val="21"/>
                      <w:szCs w:val="21"/>
                      <w:highlight w:val="none"/>
                    </w:rPr>
                    <w:t>非甲烷总烃</w:t>
                  </w:r>
                </w:p>
              </w:tc>
              <w:tc>
                <w:tcPr>
                  <w:tcW w:w="1461" w:type="pct"/>
                  <w:tcBorders>
                    <w:tl2br w:val="nil"/>
                    <w:tr2bl w:val="nil"/>
                  </w:tcBorders>
                  <w:vAlign w:val="center"/>
                </w:tcPr>
                <w:p w14:paraId="14BA0262">
                  <w:pPr>
                    <w:keepNext w:val="0"/>
                    <w:keepLines w:val="0"/>
                    <w:widowControl/>
                    <w:suppressLineNumbers w:val="0"/>
                    <w:spacing w:before="0" w:beforeAutospacing="0" w:after="0" w:afterAutospacing="0" w:line="240" w:lineRule="exact"/>
                    <w:ind w:left="0" w:right="0"/>
                    <w:jc w:val="center"/>
                    <w:textAlignment w:val="center"/>
                    <w:rPr>
                      <w:color w:val="auto"/>
                      <w:kern w:val="0"/>
                      <w:sz w:val="21"/>
                      <w:szCs w:val="21"/>
                      <w:highlight w:val="none"/>
                    </w:rPr>
                  </w:pPr>
                  <w:r>
                    <w:rPr>
                      <w:rFonts w:hint="eastAsia"/>
                      <w:color w:val="auto"/>
                      <w:kern w:val="0"/>
                      <w:sz w:val="21"/>
                      <w:szCs w:val="21"/>
                      <w:highlight w:val="none"/>
                    </w:rPr>
                    <w:t>周界外最高点</w:t>
                  </w:r>
                </w:p>
              </w:tc>
              <w:tc>
                <w:tcPr>
                  <w:tcW w:w="1587" w:type="pct"/>
                  <w:tcBorders>
                    <w:tl2br w:val="nil"/>
                    <w:tr2bl w:val="nil"/>
                  </w:tcBorders>
                  <w:vAlign w:val="center"/>
                </w:tcPr>
                <w:p w14:paraId="3EFA1450">
                  <w:pPr>
                    <w:keepNext w:val="0"/>
                    <w:keepLines w:val="0"/>
                    <w:widowControl/>
                    <w:suppressLineNumbers w:val="0"/>
                    <w:spacing w:before="0" w:beforeAutospacing="0" w:after="0" w:afterAutospacing="0" w:line="240" w:lineRule="exact"/>
                    <w:ind w:left="0" w:right="0"/>
                    <w:jc w:val="center"/>
                    <w:textAlignment w:val="center"/>
                    <w:rPr>
                      <w:color w:val="auto"/>
                      <w:kern w:val="0"/>
                      <w:sz w:val="21"/>
                      <w:szCs w:val="21"/>
                      <w:highlight w:val="none"/>
                    </w:rPr>
                  </w:pPr>
                  <w:r>
                    <w:rPr>
                      <w:rFonts w:hint="eastAsia"/>
                      <w:color w:val="auto"/>
                      <w:kern w:val="0"/>
                      <w:sz w:val="21"/>
                      <w:szCs w:val="21"/>
                      <w:highlight w:val="none"/>
                    </w:rPr>
                    <w:t>4.0</w:t>
                  </w:r>
                </w:p>
              </w:tc>
            </w:tr>
          </w:tbl>
          <w:p w14:paraId="1F6AC0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color w:val="auto"/>
                <w:sz w:val="24"/>
                <w:highlight w:val="none"/>
              </w:rPr>
            </w:pPr>
            <w:r>
              <w:rPr>
                <w:b/>
                <w:bCs/>
                <w:color w:val="auto"/>
                <w:sz w:val="24"/>
                <w:highlight w:val="none"/>
              </w:rPr>
              <w:t>企业厂区内</w:t>
            </w:r>
            <w:r>
              <w:rPr>
                <w:color w:val="auto"/>
                <w:sz w:val="24"/>
                <w:highlight w:val="none"/>
              </w:rPr>
              <w:t>无组织排放监控点浓度执行《挥发性有机物无组织排放控制标准》（GB37822-2019）表 A.1 标准。</w:t>
            </w:r>
          </w:p>
          <w:p w14:paraId="5D62C5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表3-</w:t>
            </w:r>
            <w:r>
              <w:rPr>
                <w:rFonts w:hint="eastAsia" w:ascii="Times New Roman" w:hAnsi="Times New Roman" w:eastAsia="宋体" w:cs="Times New Roman"/>
                <w:bCs/>
                <w:color w:val="auto"/>
                <w:sz w:val="24"/>
                <w:highlight w:val="none"/>
                <w:lang w:val="en-US" w:eastAsia="zh-CN"/>
              </w:rPr>
              <w:t>1</w:t>
            </w:r>
            <w:r>
              <w:rPr>
                <w:rFonts w:hint="eastAsia" w:cs="Times New Roman"/>
                <w:bCs/>
                <w:color w:val="auto"/>
                <w:sz w:val="24"/>
                <w:highlight w:val="none"/>
                <w:lang w:val="en-US" w:eastAsia="zh-CN"/>
              </w:rPr>
              <w:t>2</w:t>
            </w:r>
            <w:r>
              <w:rPr>
                <w:rFonts w:hint="eastAsia" w:ascii="Times New Roman" w:hAnsi="Times New Roman" w:eastAsia="宋体" w:cs="Times New Roman"/>
                <w:bCs/>
                <w:color w:val="auto"/>
                <w:sz w:val="24"/>
                <w:highlight w:val="none"/>
                <w:lang w:val="en-US" w:eastAsia="zh-CN"/>
              </w:rPr>
              <w:t xml:space="preserve">  </w:t>
            </w:r>
            <w:r>
              <w:rPr>
                <w:rFonts w:hint="eastAsia" w:ascii="Times New Roman" w:hAnsi="Times New Roman" w:eastAsia="宋体" w:cs="Times New Roman"/>
                <w:bCs/>
                <w:color w:val="auto"/>
                <w:sz w:val="24"/>
                <w:highlight w:val="none"/>
              </w:rPr>
              <w:t>挥发性有机物无组织排放控制标准</w:t>
            </w:r>
            <w:r>
              <w:rPr>
                <w:rFonts w:hint="eastAsia" w:ascii="Times New Roman" w:hAnsi="Times New Roman" w:eastAsia="宋体" w:cs="Times New Roman"/>
                <w:bCs/>
                <w:color w:val="auto"/>
                <w:sz w:val="24"/>
                <w:highlight w:val="none"/>
                <w:lang w:val="en-US" w:eastAsia="zh-CN"/>
              </w:rPr>
              <w:t xml:space="preserve">  </w:t>
            </w:r>
            <w:r>
              <w:rPr>
                <w:rFonts w:hint="eastAsia" w:ascii="Times New Roman" w:hAnsi="Times New Roman" w:eastAsia="宋体" w:cs="Times New Roman"/>
                <w:bCs/>
                <w:color w:val="auto"/>
                <w:sz w:val="24"/>
                <w:highlight w:val="none"/>
              </w:rPr>
              <w:t>单位</w:t>
            </w:r>
            <w:r>
              <w:rPr>
                <w:rFonts w:hint="eastAsia" w:ascii="Times New Roman" w:hAnsi="Times New Roman" w:eastAsia="宋体" w:cs="Times New Roman"/>
                <w:bCs/>
                <w:color w:val="auto"/>
                <w:sz w:val="24"/>
                <w:highlight w:val="none"/>
                <w:lang w:eastAsia="zh-CN"/>
              </w:rPr>
              <w:t>：</w:t>
            </w:r>
            <w:r>
              <w:rPr>
                <w:rFonts w:hint="eastAsia" w:ascii="Times New Roman" w:hAnsi="Times New Roman" w:eastAsia="宋体" w:cs="Times New Roman"/>
                <w:bCs/>
                <w:color w:val="auto"/>
                <w:sz w:val="24"/>
                <w:highlight w:val="none"/>
              </w:rPr>
              <w:t>mg/m</w:t>
            </w:r>
            <w:r>
              <w:rPr>
                <w:rFonts w:hint="eastAsia" w:ascii="Times New Roman" w:hAnsi="Times New Roman" w:eastAsia="宋体" w:cs="Times New Roman"/>
                <w:bCs/>
                <w:color w:val="auto"/>
                <w:sz w:val="24"/>
                <w:highlight w:val="none"/>
                <w:vertAlign w:val="superscript"/>
              </w:rPr>
              <w:t>3</w:t>
            </w:r>
          </w:p>
          <w:tbl>
            <w:tblPr>
              <w:tblStyle w:val="2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8"/>
              <w:gridCol w:w="1857"/>
              <w:gridCol w:w="2644"/>
              <w:gridCol w:w="2226"/>
            </w:tblGrid>
            <w:tr w14:paraId="775EE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 w:hRule="atLeast"/>
                <w:jc w:val="center"/>
              </w:trPr>
              <w:tc>
                <w:tcPr>
                  <w:tcW w:w="793" w:type="pct"/>
                  <w:tcBorders>
                    <w:tl2br w:val="nil"/>
                    <w:tr2bl w:val="nil"/>
                  </w:tcBorders>
                  <w:vAlign w:val="center"/>
                </w:tcPr>
                <w:p w14:paraId="3136A9DB">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kern w:val="0"/>
                      <w:sz w:val="21"/>
                      <w:szCs w:val="21"/>
                      <w:highlight w:val="none"/>
                    </w:rPr>
                    <w:t>污染物</w:t>
                  </w:r>
                </w:p>
              </w:tc>
              <w:tc>
                <w:tcPr>
                  <w:tcW w:w="1161" w:type="pct"/>
                  <w:tcBorders>
                    <w:tl2br w:val="nil"/>
                    <w:tr2bl w:val="nil"/>
                  </w:tcBorders>
                  <w:vAlign w:val="center"/>
                </w:tcPr>
                <w:p w14:paraId="191EFC78">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特别排放限值</w:t>
                  </w:r>
                </w:p>
              </w:tc>
              <w:tc>
                <w:tcPr>
                  <w:tcW w:w="1653" w:type="pct"/>
                  <w:tcBorders>
                    <w:tl2br w:val="nil"/>
                    <w:tr2bl w:val="nil"/>
                  </w:tcBorders>
                  <w:vAlign w:val="center"/>
                </w:tcPr>
                <w:p w14:paraId="54C84D20">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限值含义</w:t>
                  </w:r>
                </w:p>
              </w:tc>
              <w:tc>
                <w:tcPr>
                  <w:tcW w:w="1391" w:type="pct"/>
                  <w:tcBorders>
                    <w:tl2br w:val="nil"/>
                    <w:tr2bl w:val="nil"/>
                  </w:tcBorders>
                  <w:vAlign w:val="center"/>
                </w:tcPr>
                <w:p w14:paraId="2343B40C">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无组织排放监控点位</w:t>
                  </w:r>
                </w:p>
              </w:tc>
            </w:tr>
            <w:tr w14:paraId="30A5A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 w:hRule="atLeast"/>
                <w:jc w:val="center"/>
              </w:trPr>
              <w:tc>
                <w:tcPr>
                  <w:tcW w:w="793" w:type="pct"/>
                  <w:vMerge w:val="restart"/>
                  <w:tcBorders>
                    <w:tl2br w:val="nil"/>
                    <w:tr2bl w:val="nil"/>
                  </w:tcBorders>
                  <w:vAlign w:val="center"/>
                </w:tcPr>
                <w:p w14:paraId="0EE9F3D2">
                  <w:pPr>
                    <w:keepNext w:val="0"/>
                    <w:keepLines w:val="0"/>
                    <w:widowControl/>
                    <w:suppressLineNumbers w:val="0"/>
                    <w:spacing w:before="0" w:beforeAutospacing="0" w:after="0" w:afterAutospacing="0"/>
                    <w:ind w:left="0" w:right="0"/>
                    <w:jc w:val="center"/>
                    <w:textAlignment w:val="center"/>
                    <w:rPr>
                      <w:color w:val="auto"/>
                      <w:sz w:val="21"/>
                      <w:szCs w:val="21"/>
                      <w:highlight w:val="none"/>
                    </w:rPr>
                  </w:pPr>
                  <w:r>
                    <w:rPr>
                      <w:rFonts w:hint="eastAsia"/>
                      <w:color w:val="auto"/>
                      <w:kern w:val="0"/>
                      <w:sz w:val="21"/>
                      <w:szCs w:val="21"/>
                      <w:highlight w:val="none"/>
                    </w:rPr>
                    <w:t>NMHC</w:t>
                  </w:r>
                </w:p>
              </w:tc>
              <w:tc>
                <w:tcPr>
                  <w:tcW w:w="1161" w:type="pct"/>
                  <w:tcBorders>
                    <w:tl2br w:val="nil"/>
                    <w:tr2bl w:val="nil"/>
                  </w:tcBorders>
                  <w:vAlign w:val="center"/>
                </w:tcPr>
                <w:p w14:paraId="403B8665">
                  <w:pPr>
                    <w:keepNext w:val="0"/>
                    <w:keepLines w:val="0"/>
                    <w:widowControl/>
                    <w:suppressLineNumbers w:val="0"/>
                    <w:spacing w:before="0" w:beforeAutospacing="0" w:after="0" w:afterAutospacing="0"/>
                    <w:ind w:left="0" w:right="0"/>
                    <w:jc w:val="center"/>
                    <w:textAlignment w:val="center"/>
                    <w:rPr>
                      <w:color w:val="auto"/>
                      <w:sz w:val="21"/>
                      <w:szCs w:val="21"/>
                      <w:highlight w:val="none"/>
                    </w:rPr>
                  </w:pPr>
                  <w:r>
                    <w:rPr>
                      <w:rFonts w:hint="eastAsia"/>
                      <w:color w:val="auto"/>
                      <w:sz w:val="21"/>
                      <w:szCs w:val="21"/>
                      <w:highlight w:val="none"/>
                    </w:rPr>
                    <w:t>6</w:t>
                  </w:r>
                </w:p>
              </w:tc>
              <w:tc>
                <w:tcPr>
                  <w:tcW w:w="1653" w:type="pct"/>
                  <w:tcBorders>
                    <w:tl2br w:val="nil"/>
                    <w:tr2bl w:val="nil"/>
                  </w:tcBorders>
                  <w:vAlign w:val="center"/>
                </w:tcPr>
                <w:p w14:paraId="469FB8FE">
                  <w:pPr>
                    <w:keepNext w:val="0"/>
                    <w:keepLines w:val="0"/>
                    <w:widowControl/>
                    <w:suppressLineNumbers w:val="0"/>
                    <w:spacing w:before="0" w:beforeAutospacing="0" w:after="0" w:afterAutospacing="0"/>
                    <w:ind w:left="0" w:right="0"/>
                    <w:jc w:val="center"/>
                    <w:textAlignment w:val="center"/>
                    <w:rPr>
                      <w:color w:val="auto"/>
                      <w:sz w:val="21"/>
                      <w:szCs w:val="21"/>
                      <w:highlight w:val="none"/>
                    </w:rPr>
                  </w:pPr>
                  <w:r>
                    <w:rPr>
                      <w:color w:val="auto"/>
                      <w:sz w:val="21"/>
                      <w:szCs w:val="21"/>
                      <w:highlight w:val="none"/>
                    </w:rPr>
                    <w:t>监控点处1h平均浓度值</w:t>
                  </w:r>
                </w:p>
              </w:tc>
              <w:tc>
                <w:tcPr>
                  <w:tcW w:w="1391" w:type="pct"/>
                  <w:vMerge w:val="restart"/>
                  <w:tcBorders>
                    <w:tl2br w:val="nil"/>
                    <w:tr2bl w:val="nil"/>
                  </w:tcBorders>
                  <w:vAlign w:val="center"/>
                </w:tcPr>
                <w:p w14:paraId="7888BC1D">
                  <w:pPr>
                    <w:keepNext w:val="0"/>
                    <w:keepLines w:val="0"/>
                    <w:widowControl/>
                    <w:suppressLineNumbers w:val="0"/>
                    <w:spacing w:before="0" w:beforeAutospacing="0" w:after="0" w:afterAutospacing="0"/>
                    <w:ind w:left="0" w:right="0"/>
                    <w:jc w:val="center"/>
                    <w:textAlignment w:val="center"/>
                    <w:rPr>
                      <w:color w:val="auto"/>
                      <w:sz w:val="21"/>
                      <w:szCs w:val="21"/>
                      <w:highlight w:val="none"/>
                    </w:rPr>
                  </w:pPr>
                  <w:r>
                    <w:rPr>
                      <w:color w:val="auto"/>
                      <w:sz w:val="21"/>
                      <w:szCs w:val="21"/>
                      <w:highlight w:val="none"/>
                    </w:rPr>
                    <w:t>在厂房外设置监控点</w:t>
                  </w:r>
                </w:p>
              </w:tc>
            </w:tr>
            <w:tr w14:paraId="1ABC2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0" w:hRule="atLeast"/>
                <w:jc w:val="center"/>
              </w:trPr>
              <w:tc>
                <w:tcPr>
                  <w:tcW w:w="793" w:type="pct"/>
                  <w:vMerge w:val="continue"/>
                  <w:tcBorders>
                    <w:tl2br w:val="nil"/>
                    <w:tr2bl w:val="nil"/>
                  </w:tcBorders>
                  <w:vAlign w:val="center"/>
                </w:tcPr>
                <w:p w14:paraId="5F26478A">
                  <w:pPr>
                    <w:keepNext w:val="0"/>
                    <w:keepLines w:val="0"/>
                    <w:suppressLineNumbers w:val="0"/>
                    <w:spacing w:before="0" w:beforeAutospacing="0" w:after="0" w:afterAutospacing="0"/>
                    <w:ind w:left="0" w:right="0"/>
                    <w:jc w:val="center"/>
                    <w:rPr>
                      <w:color w:val="auto"/>
                      <w:sz w:val="21"/>
                      <w:szCs w:val="21"/>
                      <w:highlight w:val="none"/>
                    </w:rPr>
                  </w:pPr>
                </w:p>
              </w:tc>
              <w:tc>
                <w:tcPr>
                  <w:tcW w:w="1161" w:type="pct"/>
                  <w:tcBorders>
                    <w:tl2br w:val="nil"/>
                    <w:tr2bl w:val="nil"/>
                  </w:tcBorders>
                  <w:vAlign w:val="center"/>
                </w:tcPr>
                <w:p w14:paraId="5A935DAF">
                  <w:pPr>
                    <w:keepNext w:val="0"/>
                    <w:keepLines w:val="0"/>
                    <w:widowControl/>
                    <w:suppressLineNumbers w:val="0"/>
                    <w:spacing w:before="0" w:beforeAutospacing="0" w:after="0" w:afterAutospacing="0"/>
                    <w:ind w:left="0" w:right="0"/>
                    <w:jc w:val="center"/>
                    <w:textAlignment w:val="center"/>
                    <w:rPr>
                      <w:color w:val="auto"/>
                      <w:sz w:val="21"/>
                      <w:szCs w:val="21"/>
                      <w:highlight w:val="none"/>
                    </w:rPr>
                  </w:pPr>
                  <w:r>
                    <w:rPr>
                      <w:rFonts w:hint="eastAsia"/>
                      <w:color w:val="auto"/>
                      <w:sz w:val="21"/>
                      <w:szCs w:val="21"/>
                      <w:highlight w:val="none"/>
                    </w:rPr>
                    <w:t>20</w:t>
                  </w:r>
                </w:p>
              </w:tc>
              <w:tc>
                <w:tcPr>
                  <w:tcW w:w="1653" w:type="pct"/>
                  <w:tcBorders>
                    <w:tl2br w:val="nil"/>
                    <w:tr2bl w:val="nil"/>
                  </w:tcBorders>
                  <w:vAlign w:val="center"/>
                </w:tcPr>
                <w:p w14:paraId="627DF9A2">
                  <w:pPr>
                    <w:keepNext w:val="0"/>
                    <w:keepLines w:val="0"/>
                    <w:widowControl/>
                    <w:suppressLineNumbers w:val="0"/>
                    <w:spacing w:before="0" w:beforeAutospacing="0" w:after="0" w:afterAutospacing="0"/>
                    <w:ind w:left="0" w:right="0"/>
                    <w:jc w:val="center"/>
                    <w:textAlignment w:val="center"/>
                    <w:rPr>
                      <w:color w:val="auto"/>
                      <w:sz w:val="21"/>
                      <w:szCs w:val="21"/>
                      <w:highlight w:val="none"/>
                    </w:rPr>
                  </w:pPr>
                  <w:r>
                    <w:rPr>
                      <w:color w:val="auto"/>
                      <w:sz w:val="21"/>
                      <w:szCs w:val="21"/>
                      <w:highlight w:val="none"/>
                    </w:rPr>
                    <w:t>监控点处任意一次浓度值</w:t>
                  </w:r>
                </w:p>
              </w:tc>
              <w:tc>
                <w:tcPr>
                  <w:tcW w:w="1391" w:type="pct"/>
                  <w:vMerge w:val="continue"/>
                  <w:tcBorders>
                    <w:tl2br w:val="nil"/>
                    <w:tr2bl w:val="nil"/>
                  </w:tcBorders>
                  <w:vAlign w:val="center"/>
                </w:tcPr>
                <w:p w14:paraId="15DEADBF">
                  <w:pPr>
                    <w:keepNext w:val="0"/>
                    <w:keepLines w:val="0"/>
                    <w:widowControl/>
                    <w:suppressLineNumbers w:val="0"/>
                    <w:spacing w:before="0" w:beforeAutospacing="0" w:after="0" w:afterAutospacing="0"/>
                    <w:ind w:left="0" w:right="0"/>
                    <w:jc w:val="center"/>
                    <w:textAlignment w:val="center"/>
                    <w:rPr>
                      <w:color w:val="auto"/>
                      <w:sz w:val="20"/>
                      <w:szCs w:val="20"/>
                      <w:highlight w:val="none"/>
                    </w:rPr>
                  </w:pPr>
                </w:p>
              </w:tc>
            </w:tr>
          </w:tbl>
          <w:p w14:paraId="7D70E1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eastAsia="宋体"/>
                <w:b/>
                <w:bCs/>
                <w:color w:val="auto"/>
                <w:sz w:val="24"/>
                <w:highlight w:val="none"/>
                <w:lang w:val="en-US" w:eastAsia="zh-CN"/>
              </w:rPr>
            </w:pPr>
            <w:r>
              <w:rPr>
                <w:rFonts w:hint="eastAsia"/>
                <w:b/>
                <w:bCs/>
                <w:color w:val="auto"/>
                <w:sz w:val="24"/>
                <w:highlight w:val="none"/>
                <w:lang w:eastAsia="zh-CN"/>
              </w:rPr>
              <w:t>（</w:t>
            </w:r>
            <w:r>
              <w:rPr>
                <w:rFonts w:hint="eastAsia"/>
                <w:b/>
                <w:bCs/>
                <w:color w:val="auto"/>
                <w:sz w:val="24"/>
                <w:highlight w:val="none"/>
                <w:lang w:val="en-US" w:eastAsia="zh-CN"/>
              </w:rPr>
              <w:t>2</w:t>
            </w:r>
            <w:r>
              <w:rPr>
                <w:rFonts w:hint="eastAsia"/>
                <w:b/>
                <w:bCs/>
                <w:color w:val="auto"/>
                <w:sz w:val="24"/>
                <w:highlight w:val="none"/>
                <w:lang w:eastAsia="zh-CN"/>
              </w:rPr>
              <w:t>）</w:t>
            </w:r>
            <w:r>
              <w:rPr>
                <w:rFonts w:hint="eastAsia"/>
                <w:b/>
                <w:bCs/>
                <w:color w:val="auto"/>
                <w:sz w:val="24"/>
                <w:highlight w:val="none"/>
                <w:lang w:val="en-US" w:eastAsia="zh-CN"/>
              </w:rPr>
              <w:t>废水</w:t>
            </w:r>
          </w:p>
          <w:p w14:paraId="5AD240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b w:val="0"/>
                <w:bCs w:val="0"/>
                <w:color w:val="auto"/>
                <w:sz w:val="24"/>
                <w:highlight w:val="none"/>
                <w:lang w:val="en-US" w:eastAsia="zh-CN"/>
              </w:rPr>
            </w:pPr>
            <w:r>
              <w:rPr>
                <w:rFonts w:hint="eastAsia"/>
                <w:b w:val="0"/>
                <w:bCs w:val="0"/>
                <w:color w:val="auto"/>
                <w:sz w:val="24"/>
                <w:highlight w:val="none"/>
                <w:lang w:val="en-US" w:eastAsia="zh-CN"/>
              </w:rPr>
              <w:t>①施工期</w:t>
            </w:r>
          </w:p>
          <w:p w14:paraId="57D45AA4">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施工期废水</w:t>
            </w:r>
            <w:r>
              <w:rPr>
                <w:rFonts w:hint="eastAsia" w:ascii="Times New Roman" w:hAnsi="Times New Roman" w:eastAsia="宋体" w:cs="Times New Roman"/>
                <w:bCs/>
                <w:color w:val="FF0000"/>
                <w:sz w:val="24"/>
                <w:highlight w:val="none"/>
                <w:lang w:val="en-US" w:eastAsia="zh-CN"/>
              </w:rPr>
              <w:t>执行</w:t>
            </w:r>
            <w:r>
              <w:rPr>
                <w:rFonts w:hint="eastAsia" w:ascii="Times New Roman" w:hAnsi="Times New Roman" w:eastAsia="宋体" w:cs="Times New Roman"/>
                <w:bCs/>
                <w:color w:val="auto"/>
                <w:sz w:val="24"/>
                <w:highlight w:val="none"/>
                <w:lang w:val="en-US" w:eastAsia="zh-CN"/>
              </w:rPr>
              <w:t>《辽宁省污水综合排放标准》（DB21/1627-2008）表2标准要求。</w:t>
            </w:r>
          </w:p>
          <w:p w14:paraId="514A5F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表</w:t>
            </w:r>
            <w:r>
              <w:rPr>
                <w:rFonts w:hint="eastAsia" w:ascii="Times New Roman" w:hAnsi="Times New Roman" w:eastAsia="宋体" w:cs="Times New Roman"/>
                <w:bCs/>
                <w:color w:val="auto"/>
                <w:sz w:val="24"/>
                <w:highlight w:val="none"/>
                <w:lang w:val="en-US" w:eastAsia="zh-CN"/>
              </w:rPr>
              <w:t>3-13</w:t>
            </w:r>
            <w:r>
              <w:rPr>
                <w:rFonts w:hint="eastAsia" w:ascii="Times New Roman" w:hAnsi="Times New Roman" w:eastAsia="宋体" w:cs="Times New Roman"/>
                <w:bCs/>
                <w:color w:val="auto"/>
                <w:sz w:val="24"/>
                <w:highlight w:val="none"/>
              </w:rPr>
              <w:t xml:space="preserve">  废水排放标准单位：mg/L</w:t>
            </w:r>
          </w:p>
          <w:tbl>
            <w:tblPr>
              <w:tblStyle w:val="7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44"/>
              <w:gridCol w:w="1873"/>
              <w:gridCol w:w="4871"/>
            </w:tblGrid>
            <w:tr w14:paraId="3FCD62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79" w:type="pct"/>
                  <w:vAlign w:val="center"/>
                </w:tcPr>
                <w:p w14:paraId="1EE0525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序号</w:t>
                  </w:r>
                </w:p>
              </w:tc>
              <w:tc>
                <w:tcPr>
                  <w:tcW w:w="1172" w:type="pct"/>
                  <w:vAlign w:val="center"/>
                </w:tcPr>
                <w:p w14:paraId="1A80DB8E">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污染物</w:t>
                  </w:r>
                </w:p>
              </w:tc>
              <w:tc>
                <w:tcPr>
                  <w:tcW w:w="3048" w:type="pct"/>
                  <w:vAlign w:val="center"/>
                </w:tcPr>
                <w:p w14:paraId="362D8457">
                  <w:pPr>
                    <w:keepNext w:val="0"/>
                    <w:keepLines w:val="0"/>
                    <w:suppressLineNumbers w:val="0"/>
                    <w:spacing w:before="0" w:beforeAutospacing="0" w:after="0" w:afterAutospacing="0"/>
                    <w:ind w:left="0" w:right="0"/>
                    <w:jc w:val="center"/>
                    <w:rPr>
                      <w:rFonts w:ascii="Times New Roman" w:hAnsi="Times New Roman" w:eastAsia="Times New Roman" w:cs="Times New Roman"/>
                      <w:iCs/>
                      <w:color w:val="auto"/>
                      <w:sz w:val="21"/>
                    </w:rPr>
                  </w:pPr>
                  <w:r>
                    <w:rPr>
                      <w:rFonts w:ascii="Times New Roman" w:hAnsi="Times New Roman" w:eastAsia="Times New Roman" w:cs="Times New Roman"/>
                      <w:iCs/>
                      <w:color w:val="auto"/>
                      <w:sz w:val="21"/>
                    </w:rPr>
                    <w:t>《辽宁省污水综合排放标准》（DB21/1627-2008）表2</w:t>
                  </w:r>
                </w:p>
              </w:tc>
            </w:tr>
            <w:tr w14:paraId="452D7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79" w:type="pct"/>
                  <w:vAlign w:val="center"/>
                </w:tcPr>
                <w:p w14:paraId="2A2BB513">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bookmarkStart w:id="4" w:name="_Hlk4446045"/>
                </w:p>
              </w:tc>
              <w:tc>
                <w:tcPr>
                  <w:tcW w:w="1172" w:type="pct"/>
                  <w:vAlign w:val="center"/>
                </w:tcPr>
                <w:p w14:paraId="0D2F2089">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pH</w:t>
                  </w:r>
                </w:p>
              </w:tc>
              <w:tc>
                <w:tcPr>
                  <w:tcW w:w="3048" w:type="pct"/>
                  <w:vAlign w:val="center"/>
                </w:tcPr>
                <w:p w14:paraId="482254EA">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w:t>
                  </w:r>
                </w:p>
              </w:tc>
            </w:tr>
            <w:tr w14:paraId="099BC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79" w:type="pct"/>
                  <w:vAlign w:val="center"/>
                </w:tcPr>
                <w:p w14:paraId="717B4C0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1</w:t>
                  </w:r>
                </w:p>
              </w:tc>
              <w:tc>
                <w:tcPr>
                  <w:tcW w:w="1172" w:type="pct"/>
                  <w:vAlign w:val="center"/>
                </w:tcPr>
                <w:p w14:paraId="4B5F61D2">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SS</w:t>
                  </w:r>
                </w:p>
              </w:tc>
              <w:tc>
                <w:tcPr>
                  <w:tcW w:w="3048" w:type="pct"/>
                  <w:vAlign w:val="center"/>
                </w:tcPr>
                <w:p w14:paraId="382A6F1C">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300</w:t>
                  </w:r>
                </w:p>
              </w:tc>
            </w:tr>
            <w:tr w14:paraId="445F0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79" w:type="pct"/>
                  <w:vAlign w:val="center"/>
                </w:tcPr>
                <w:p w14:paraId="299C005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2</w:t>
                  </w:r>
                </w:p>
              </w:tc>
              <w:tc>
                <w:tcPr>
                  <w:tcW w:w="1172" w:type="pct"/>
                  <w:vAlign w:val="center"/>
                </w:tcPr>
                <w:p w14:paraId="2B0E1E40">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COD</w:t>
                  </w:r>
                </w:p>
              </w:tc>
              <w:tc>
                <w:tcPr>
                  <w:tcW w:w="3048" w:type="pct"/>
                  <w:vAlign w:val="center"/>
                </w:tcPr>
                <w:p w14:paraId="505364BB">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300</w:t>
                  </w:r>
                </w:p>
              </w:tc>
            </w:tr>
            <w:tr w14:paraId="5AA211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79" w:type="pct"/>
                  <w:vAlign w:val="center"/>
                </w:tcPr>
                <w:p w14:paraId="4579A04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3</w:t>
                  </w:r>
                </w:p>
              </w:tc>
              <w:tc>
                <w:tcPr>
                  <w:tcW w:w="1172" w:type="pct"/>
                  <w:vAlign w:val="center"/>
                </w:tcPr>
                <w:p w14:paraId="118E2971">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NH</w:t>
                  </w:r>
                  <w:r>
                    <w:rPr>
                      <w:rFonts w:ascii="Times New Roman" w:hAnsi="Times New Roman" w:eastAsia="Times New Roman" w:cs="Times New Roman"/>
                      <w:color w:val="auto"/>
                      <w:sz w:val="21"/>
                      <w:vertAlign w:val="subscript"/>
                    </w:rPr>
                    <w:t>3</w:t>
                  </w:r>
                  <w:r>
                    <w:rPr>
                      <w:rFonts w:ascii="Times New Roman" w:hAnsi="Times New Roman" w:eastAsia="Times New Roman" w:cs="Times New Roman"/>
                      <w:color w:val="auto"/>
                      <w:sz w:val="21"/>
                    </w:rPr>
                    <w:t>-N</w:t>
                  </w:r>
                </w:p>
              </w:tc>
              <w:tc>
                <w:tcPr>
                  <w:tcW w:w="3048" w:type="pct"/>
                  <w:vAlign w:val="center"/>
                </w:tcPr>
                <w:p w14:paraId="37081EA8">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w:t>
                  </w:r>
                </w:p>
              </w:tc>
            </w:tr>
            <w:tr w14:paraId="567A40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79" w:type="pct"/>
                  <w:vAlign w:val="center"/>
                </w:tcPr>
                <w:p w14:paraId="5B34709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4</w:t>
                  </w:r>
                </w:p>
              </w:tc>
              <w:tc>
                <w:tcPr>
                  <w:tcW w:w="1172" w:type="pct"/>
                  <w:vAlign w:val="center"/>
                </w:tcPr>
                <w:p w14:paraId="01D1F513">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hint="eastAsia" w:ascii="Times New Roman" w:hAnsi="Times New Roman" w:eastAsia="Times New Roman" w:cs="Times New Roman"/>
                      <w:color w:val="auto"/>
                      <w:sz w:val="21"/>
                    </w:rPr>
                    <w:t>BOD</w:t>
                  </w:r>
                  <w:r>
                    <w:rPr>
                      <w:rFonts w:hint="eastAsia" w:ascii="Times New Roman" w:hAnsi="Times New Roman" w:eastAsia="Times New Roman" w:cs="Times New Roman"/>
                      <w:color w:val="auto"/>
                      <w:sz w:val="21"/>
                      <w:vertAlign w:val="subscript"/>
                    </w:rPr>
                    <w:t>5</w:t>
                  </w:r>
                </w:p>
              </w:tc>
              <w:tc>
                <w:tcPr>
                  <w:tcW w:w="3048" w:type="pct"/>
                  <w:vAlign w:val="center"/>
                </w:tcPr>
                <w:p w14:paraId="4743F763">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hint="eastAsia" w:ascii="Times New Roman" w:hAnsi="Times New Roman" w:eastAsia="Times New Roman" w:cs="Times New Roman"/>
                      <w:color w:val="auto"/>
                      <w:sz w:val="21"/>
                    </w:rPr>
                    <w:t>250</w:t>
                  </w:r>
                </w:p>
              </w:tc>
            </w:tr>
            <w:tr w14:paraId="6CC36F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79" w:type="pct"/>
                  <w:vAlign w:val="center"/>
                </w:tcPr>
                <w:p w14:paraId="194A927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5</w:t>
                  </w:r>
                </w:p>
              </w:tc>
              <w:tc>
                <w:tcPr>
                  <w:tcW w:w="1172" w:type="pct"/>
                  <w:vAlign w:val="center"/>
                </w:tcPr>
                <w:p w14:paraId="361A4470">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总氮</w:t>
                  </w:r>
                </w:p>
              </w:tc>
              <w:tc>
                <w:tcPr>
                  <w:tcW w:w="3048" w:type="pct"/>
                  <w:vAlign w:val="center"/>
                </w:tcPr>
                <w:p w14:paraId="612F00E0">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50</w:t>
                  </w:r>
                </w:p>
              </w:tc>
            </w:tr>
            <w:tr w14:paraId="26E3C9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779" w:type="pct"/>
                  <w:vAlign w:val="center"/>
                </w:tcPr>
                <w:p w14:paraId="2B3842C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6</w:t>
                  </w:r>
                </w:p>
              </w:tc>
              <w:tc>
                <w:tcPr>
                  <w:tcW w:w="1172" w:type="pct"/>
                  <w:vAlign w:val="center"/>
                </w:tcPr>
                <w:p w14:paraId="784EFF4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总磷</w:t>
                  </w:r>
                </w:p>
              </w:tc>
              <w:tc>
                <w:tcPr>
                  <w:tcW w:w="3048" w:type="pct"/>
                  <w:vAlign w:val="center"/>
                </w:tcPr>
                <w:p w14:paraId="28590D3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0.5</w:t>
                  </w:r>
                </w:p>
              </w:tc>
            </w:tr>
            <w:bookmarkEnd w:id="4"/>
          </w:tbl>
          <w:p w14:paraId="6D5617C9">
            <w:pPr>
              <w:pStyle w:val="2"/>
              <w:keepNext w:val="0"/>
              <w:keepLines w:val="0"/>
              <w:suppressLineNumbers w:val="0"/>
              <w:spacing w:before="0" w:beforeAutospacing="0" w:after="0" w:afterAutospacing="0"/>
              <w:ind w:left="0" w:right="0"/>
              <w:rPr>
                <w:rFonts w:hint="eastAsia"/>
                <w:b/>
                <w:bCs/>
                <w:color w:val="auto"/>
                <w:sz w:val="24"/>
                <w:highlight w:val="none"/>
                <w:lang w:val="en-US" w:eastAsia="zh-CN"/>
              </w:rPr>
            </w:pPr>
          </w:p>
          <w:p w14:paraId="7E998BD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②运营期</w:t>
            </w:r>
          </w:p>
          <w:p w14:paraId="4661590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本项目废水可执行《辽宁省污水综合排放标准》（DB21/1627-2008）及《石油化学工业污染物排放标准》</w:t>
            </w:r>
            <w:r>
              <w:rPr>
                <w:rFonts w:hint="eastAsia"/>
                <w:color w:val="auto"/>
                <w:sz w:val="24"/>
                <w:highlight w:val="none"/>
                <w:lang w:val="en-US" w:eastAsia="zh-CN"/>
              </w:rPr>
              <w:t>（GB31571-2015）（含2024年修改单），本项目从严执行，标准限值如下。</w:t>
            </w:r>
          </w:p>
          <w:p w14:paraId="522578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表</w:t>
            </w:r>
            <w:r>
              <w:rPr>
                <w:rFonts w:hint="eastAsia" w:ascii="Times New Roman" w:hAnsi="Times New Roman" w:eastAsia="宋体" w:cs="Times New Roman"/>
                <w:bCs/>
                <w:color w:val="auto"/>
                <w:sz w:val="24"/>
                <w:highlight w:val="none"/>
                <w:lang w:val="en-US" w:eastAsia="zh-CN"/>
              </w:rPr>
              <w:t>3-14</w:t>
            </w:r>
            <w:r>
              <w:rPr>
                <w:rFonts w:hint="eastAsia" w:ascii="Times New Roman" w:hAnsi="Times New Roman" w:eastAsia="宋体" w:cs="Times New Roman"/>
                <w:bCs/>
                <w:color w:val="auto"/>
                <w:sz w:val="24"/>
                <w:highlight w:val="none"/>
              </w:rPr>
              <w:t xml:space="preserve">  废水排放标准</w:t>
            </w:r>
          </w:p>
          <w:tbl>
            <w:tblPr>
              <w:tblStyle w:val="73"/>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426"/>
              <w:gridCol w:w="2224"/>
              <w:gridCol w:w="2224"/>
              <w:gridCol w:w="1032"/>
              <w:gridCol w:w="1087"/>
            </w:tblGrid>
            <w:tr w14:paraId="7FA8CF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2" w:type="pct"/>
                  <w:vAlign w:val="center"/>
                </w:tcPr>
                <w:p w14:paraId="7691E40C">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污染物</w:t>
                  </w:r>
                </w:p>
              </w:tc>
              <w:tc>
                <w:tcPr>
                  <w:tcW w:w="1391" w:type="pct"/>
                  <w:vAlign w:val="center"/>
                </w:tcPr>
                <w:p w14:paraId="0AFF951C">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iCs/>
                      <w:color w:val="auto"/>
                      <w:sz w:val="21"/>
                    </w:rPr>
                    <w:t>《</w:t>
                  </w:r>
                  <w:r>
                    <w:rPr>
                      <w:rFonts w:ascii="Times New Roman" w:hAnsi="Times New Roman" w:eastAsia="Times New Roman" w:cs="Times New Roman"/>
                      <w:bCs/>
                      <w:iCs/>
                      <w:color w:val="auto"/>
                      <w:sz w:val="21"/>
                    </w:rPr>
                    <w:t>石油化学工业污染物排放标准》（GB31571-2015）</w:t>
                  </w:r>
                  <w:r>
                    <w:rPr>
                      <w:rFonts w:hint="eastAsia" w:ascii="Times New Roman" w:hAnsi="Times New Roman" w:eastAsia="Times New Roman" w:cs="Times New Roman"/>
                      <w:bCs/>
                      <w:iCs/>
                      <w:color w:val="auto"/>
                      <w:sz w:val="21"/>
                    </w:rPr>
                    <w:t>（含2024年修改单）</w:t>
                  </w:r>
                </w:p>
              </w:tc>
              <w:tc>
                <w:tcPr>
                  <w:tcW w:w="1391" w:type="pct"/>
                  <w:vAlign w:val="center"/>
                </w:tcPr>
                <w:p w14:paraId="2781D019">
                  <w:pPr>
                    <w:keepNext w:val="0"/>
                    <w:keepLines w:val="0"/>
                    <w:suppressLineNumbers w:val="0"/>
                    <w:spacing w:before="0" w:beforeAutospacing="0" w:after="0" w:afterAutospacing="0"/>
                    <w:ind w:left="0" w:right="0"/>
                    <w:jc w:val="center"/>
                    <w:rPr>
                      <w:rFonts w:ascii="Times New Roman" w:hAnsi="Times New Roman" w:eastAsia="Times New Roman" w:cs="Times New Roman"/>
                      <w:iCs/>
                      <w:color w:val="auto"/>
                      <w:sz w:val="21"/>
                    </w:rPr>
                  </w:pPr>
                  <w:r>
                    <w:rPr>
                      <w:rFonts w:ascii="Times New Roman" w:hAnsi="Times New Roman" w:eastAsia="Times New Roman" w:cs="Times New Roman"/>
                      <w:iCs/>
                      <w:color w:val="auto"/>
                      <w:sz w:val="21"/>
                    </w:rPr>
                    <w:t>《辽宁省污水综合排放标准》（DB21/1627-2008）表2</w:t>
                  </w:r>
                </w:p>
              </w:tc>
              <w:tc>
                <w:tcPr>
                  <w:tcW w:w="645" w:type="pct"/>
                  <w:vAlign w:val="center"/>
                </w:tcPr>
                <w:p w14:paraId="49D9109F">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本项目执行标准</w:t>
                  </w:r>
                </w:p>
              </w:tc>
              <w:tc>
                <w:tcPr>
                  <w:tcW w:w="679" w:type="pct"/>
                  <w:vAlign w:val="center"/>
                </w:tcPr>
                <w:p w14:paraId="56628D13">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控制要求</w:t>
                  </w:r>
                </w:p>
              </w:tc>
            </w:tr>
            <w:tr w14:paraId="514B3F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2" w:type="pct"/>
                  <w:vAlign w:val="center"/>
                </w:tcPr>
                <w:p w14:paraId="6230FE7E">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SS</w:t>
                  </w:r>
                </w:p>
              </w:tc>
              <w:tc>
                <w:tcPr>
                  <w:tcW w:w="1391" w:type="pct"/>
                  <w:vAlign w:val="center"/>
                </w:tcPr>
                <w:p w14:paraId="58EC33BB">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w:t>
                  </w:r>
                </w:p>
              </w:tc>
              <w:tc>
                <w:tcPr>
                  <w:tcW w:w="1391" w:type="pct"/>
                  <w:vAlign w:val="center"/>
                </w:tcPr>
                <w:p w14:paraId="4E73402F">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300</w:t>
                  </w:r>
                </w:p>
              </w:tc>
              <w:tc>
                <w:tcPr>
                  <w:tcW w:w="645" w:type="pct"/>
                  <w:vAlign w:val="center"/>
                </w:tcPr>
                <w:p w14:paraId="323CB58A">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300</w:t>
                  </w:r>
                </w:p>
              </w:tc>
              <w:tc>
                <w:tcPr>
                  <w:tcW w:w="679" w:type="pct"/>
                  <w:vMerge w:val="restart"/>
                  <w:vAlign w:val="center"/>
                </w:tcPr>
                <w:p w14:paraId="551EA8F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污水总排口</w:t>
                  </w:r>
                </w:p>
              </w:tc>
            </w:tr>
            <w:tr w14:paraId="047DB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2" w:type="pct"/>
                  <w:vAlign w:val="center"/>
                </w:tcPr>
                <w:p w14:paraId="4C38040F">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COD</w:t>
                  </w:r>
                </w:p>
              </w:tc>
              <w:tc>
                <w:tcPr>
                  <w:tcW w:w="1391" w:type="pct"/>
                  <w:vAlign w:val="center"/>
                </w:tcPr>
                <w:p w14:paraId="08437337">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w:t>
                  </w:r>
                </w:p>
              </w:tc>
              <w:tc>
                <w:tcPr>
                  <w:tcW w:w="1391" w:type="pct"/>
                  <w:vAlign w:val="center"/>
                </w:tcPr>
                <w:p w14:paraId="28696F4B">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300</w:t>
                  </w:r>
                </w:p>
              </w:tc>
              <w:tc>
                <w:tcPr>
                  <w:tcW w:w="645" w:type="pct"/>
                  <w:vAlign w:val="center"/>
                </w:tcPr>
                <w:p w14:paraId="58F9DC56">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300</w:t>
                  </w:r>
                </w:p>
              </w:tc>
              <w:tc>
                <w:tcPr>
                  <w:tcW w:w="679" w:type="pct"/>
                  <w:vMerge w:val="continue"/>
                  <w:vAlign w:val="center"/>
                </w:tcPr>
                <w:p w14:paraId="3055094F">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p>
              </w:tc>
            </w:tr>
            <w:tr w14:paraId="53B12B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2" w:type="pct"/>
                  <w:vAlign w:val="center"/>
                </w:tcPr>
                <w:p w14:paraId="77887B72">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NH</w:t>
                  </w:r>
                  <w:r>
                    <w:rPr>
                      <w:rFonts w:ascii="Times New Roman" w:hAnsi="Times New Roman" w:eastAsia="Times New Roman" w:cs="Times New Roman"/>
                      <w:color w:val="auto"/>
                      <w:sz w:val="21"/>
                      <w:vertAlign w:val="subscript"/>
                    </w:rPr>
                    <w:t>3</w:t>
                  </w:r>
                  <w:r>
                    <w:rPr>
                      <w:rFonts w:ascii="Times New Roman" w:hAnsi="Times New Roman" w:eastAsia="Times New Roman" w:cs="Times New Roman"/>
                      <w:color w:val="auto"/>
                      <w:sz w:val="21"/>
                    </w:rPr>
                    <w:t>-N</w:t>
                  </w:r>
                </w:p>
              </w:tc>
              <w:tc>
                <w:tcPr>
                  <w:tcW w:w="1391" w:type="pct"/>
                  <w:vAlign w:val="center"/>
                </w:tcPr>
                <w:p w14:paraId="67B408E3">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w:t>
                  </w:r>
                </w:p>
              </w:tc>
              <w:tc>
                <w:tcPr>
                  <w:tcW w:w="1391" w:type="pct"/>
                  <w:vAlign w:val="center"/>
                </w:tcPr>
                <w:p w14:paraId="1B1CBC7B">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w:t>
                  </w:r>
                </w:p>
              </w:tc>
              <w:tc>
                <w:tcPr>
                  <w:tcW w:w="645" w:type="pct"/>
                  <w:vAlign w:val="center"/>
                </w:tcPr>
                <w:p w14:paraId="066D50A1">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30</w:t>
                  </w:r>
                </w:p>
              </w:tc>
              <w:tc>
                <w:tcPr>
                  <w:tcW w:w="679" w:type="pct"/>
                  <w:vMerge w:val="continue"/>
                  <w:vAlign w:val="center"/>
                </w:tcPr>
                <w:p w14:paraId="13B7D15B">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p>
              </w:tc>
            </w:tr>
            <w:tr w14:paraId="3175F9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892" w:type="pct"/>
                  <w:vAlign w:val="center"/>
                </w:tcPr>
                <w:p w14:paraId="425BDB13">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hint="eastAsia" w:ascii="Times New Roman" w:hAnsi="Times New Roman" w:eastAsia="Times New Roman" w:cs="Times New Roman"/>
                      <w:color w:val="auto"/>
                      <w:sz w:val="21"/>
                    </w:rPr>
                    <w:t>石油类</w:t>
                  </w:r>
                </w:p>
              </w:tc>
              <w:tc>
                <w:tcPr>
                  <w:tcW w:w="1391" w:type="pct"/>
                  <w:vAlign w:val="center"/>
                </w:tcPr>
                <w:p w14:paraId="4C71D95E">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hint="eastAsia" w:ascii="Times New Roman" w:hAnsi="Times New Roman" w:eastAsia="Times New Roman" w:cs="Times New Roman"/>
                      <w:color w:val="auto"/>
                      <w:sz w:val="21"/>
                    </w:rPr>
                    <w:t>5.0</w:t>
                  </w:r>
                </w:p>
              </w:tc>
              <w:tc>
                <w:tcPr>
                  <w:tcW w:w="1391" w:type="pct"/>
                  <w:vAlign w:val="center"/>
                </w:tcPr>
                <w:p w14:paraId="2C366AE1">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hint="eastAsia" w:ascii="Times New Roman" w:hAnsi="Times New Roman" w:eastAsia="Times New Roman" w:cs="Times New Roman"/>
                      <w:color w:val="auto"/>
                      <w:sz w:val="21"/>
                    </w:rPr>
                    <w:t>20</w:t>
                  </w:r>
                </w:p>
              </w:tc>
              <w:tc>
                <w:tcPr>
                  <w:tcW w:w="645" w:type="pct"/>
                  <w:vAlign w:val="center"/>
                </w:tcPr>
                <w:p w14:paraId="51CEB050">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r>
                    <w:rPr>
                      <w:rFonts w:hint="eastAsia" w:ascii="Times New Roman" w:hAnsi="Times New Roman" w:eastAsia="Times New Roman" w:cs="Times New Roman"/>
                      <w:color w:val="auto"/>
                      <w:sz w:val="21"/>
                    </w:rPr>
                    <w:t>5</w:t>
                  </w:r>
                </w:p>
              </w:tc>
              <w:tc>
                <w:tcPr>
                  <w:tcW w:w="679" w:type="pct"/>
                  <w:vMerge w:val="continue"/>
                  <w:vAlign w:val="center"/>
                </w:tcPr>
                <w:p w14:paraId="772E1727">
                  <w:pPr>
                    <w:keepNext w:val="0"/>
                    <w:keepLines w:val="0"/>
                    <w:suppressLineNumbers w:val="0"/>
                    <w:spacing w:before="0" w:beforeAutospacing="0" w:after="0" w:afterAutospacing="0"/>
                    <w:ind w:left="0" w:right="0"/>
                    <w:jc w:val="center"/>
                    <w:rPr>
                      <w:rFonts w:ascii="Times New Roman" w:hAnsi="Times New Roman" w:eastAsia="Times New Roman" w:cs="Times New Roman"/>
                      <w:color w:val="auto"/>
                      <w:sz w:val="21"/>
                    </w:rPr>
                  </w:pPr>
                </w:p>
              </w:tc>
            </w:tr>
          </w:tbl>
          <w:p w14:paraId="5F9BFEAF">
            <w:pPr>
              <w:pStyle w:val="2"/>
              <w:keepNext w:val="0"/>
              <w:keepLines w:val="0"/>
              <w:suppressLineNumbers w:val="0"/>
              <w:spacing w:before="0" w:beforeAutospacing="0" w:after="0" w:afterAutospacing="0"/>
              <w:ind w:left="0" w:right="0"/>
              <w:rPr>
                <w:rFonts w:hint="eastAsia"/>
                <w:b/>
                <w:bCs/>
                <w:color w:val="auto"/>
                <w:sz w:val="24"/>
                <w:highlight w:val="none"/>
                <w:lang w:val="en-US" w:eastAsia="zh-CN"/>
              </w:rPr>
            </w:pPr>
          </w:p>
          <w:p w14:paraId="75E421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b/>
                <w:bCs/>
                <w:color w:val="auto"/>
                <w:sz w:val="24"/>
                <w:highlight w:val="none"/>
              </w:rPr>
            </w:pPr>
            <w:r>
              <w:rPr>
                <w:rFonts w:hint="eastAsia"/>
                <w:b/>
                <w:bCs/>
                <w:color w:val="auto"/>
                <w:sz w:val="24"/>
                <w:highlight w:val="none"/>
              </w:rPr>
              <w:t>（3）</w:t>
            </w:r>
            <w:r>
              <w:rPr>
                <w:b/>
                <w:bCs/>
                <w:color w:val="auto"/>
                <w:sz w:val="24"/>
                <w:highlight w:val="none"/>
              </w:rPr>
              <w:t>噪声</w:t>
            </w:r>
          </w:p>
          <w:p w14:paraId="0FC938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bCs/>
                <w:color w:val="auto"/>
                <w:sz w:val="24"/>
                <w:highlight w:val="none"/>
              </w:rPr>
            </w:pPr>
            <w:r>
              <w:rPr>
                <w:rFonts w:hint="eastAsia"/>
                <w:bCs/>
                <w:color w:val="auto"/>
                <w:sz w:val="24"/>
                <w:highlight w:val="none"/>
              </w:rPr>
              <w:t>①施工期</w:t>
            </w:r>
          </w:p>
          <w:p w14:paraId="5E5BA8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eastAsia="宋体"/>
                <w:bCs/>
                <w:color w:val="auto"/>
                <w:sz w:val="24"/>
                <w:highlight w:val="none"/>
                <w:lang w:eastAsia="zh-CN"/>
              </w:rPr>
            </w:pPr>
            <w:r>
              <w:rPr>
                <w:rFonts w:hint="eastAsia"/>
                <w:bCs/>
                <w:color w:val="auto"/>
                <w:sz w:val="24"/>
                <w:highlight w:val="none"/>
              </w:rPr>
              <w:t>施工期场地噪声执行施工期噪声执行《建筑施工噪声排放标准》（GB12523-2025）</w:t>
            </w:r>
            <w:r>
              <w:rPr>
                <w:rFonts w:hint="eastAsia"/>
                <w:bCs/>
                <w:color w:val="auto"/>
                <w:sz w:val="24"/>
                <w:highlight w:val="none"/>
                <w:lang w:eastAsia="zh-CN"/>
              </w:rPr>
              <w:t>。</w:t>
            </w:r>
          </w:p>
          <w:p w14:paraId="4429FC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Cs/>
                <w:color w:val="auto"/>
                <w:sz w:val="24"/>
                <w:highlight w:val="none"/>
              </w:rPr>
            </w:pPr>
            <w:r>
              <w:rPr>
                <w:rFonts w:hint="eastAsia"/>
                <w:bCs/>
                <w:color w:val="auto"/>
                <w:sz w:val="24"/>
                <w:highlight w:val="none"/>
              </w:rPr>
              <w:t>表3-1</w:t>
            </w:r>
            <w:r>
              <w:rPr>
                <w:rFonts w:hint="eastAsia"/>
                <w:bCs/>
                <w:color w:val="auto"/>
                <w:sz w:val="24"/>
                <w:highlight w:val="none"/>
                <w:lang w:val="en-US" w:eastAsia="zh-CN"/>
              </w:rPr>
              <w:t>3</w:t>
            </w:r>
            <w:r>
              <w:rPr>
                <w:rFonts w:hint="eastAsia"/>
                <w:bCs/>
                <w:color w:val="auto"/>
                <w:sz w:val="24"/>
                <w:highlight w:val="none"/>
              </w:rPr>
              <w:t xml:space="preserve">  建筑施工期排放标准  单位：dB(A)</w:t>
            </w:r>
          </w:p>
          <w:tbl>
            <w:tblPr>
              <w:tblStyle w:val="2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134"/>
              <w:gridCol w:w="3194"/>
              <w:gridCol w:w="2664"/>
            </w:tblGrid>
            <w:tr w14:paraId="510F65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134" w:type="dxa"/>
                  <w:vAlign w:val="center"/>
                </w:tcPr>
                <w:p w14:paraId="62CA15D9">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项目</w:t>
                  </w:r>
                </w:p>
              </w:tc>
              <w:tc>
                <w:tcPr>
                  <w:tcW w:w="3194" w:type="dxa"/>
                  <w:vAlign w:val="center"/>
                </w:tcPr>
                <w:p w14:paraId="3B39FA7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限值</w:t>
                  </w:r>
                </w:p>
              </w:tc>
              <w:tc>
                <w:tcPr>
                  <w:tcW w:w="2664" w:type="dxa"/>
                  <w:vAlign w:val="center"/>
                </w:tcPr>
                <w:p w14:paraId="2CF3A924">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执行标准</w:t>
                  </w:r>
                </w:p>
              </w:tc>
            </w:tr>
            <w:tr w14:paraId="6ED487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2134" w:type="dxa"/>
                  <w:vAlign w:val="center"/>
                </w:tcPr>
                <w:p w14:paraId="5BD1946F">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建筑施工厂界噪声</w:t>
                  </w:r>
                </w:p>
              </w:tc>
              <w:tc>
                <w:tcPr>
                  <w:tcW w:w="3194" w:type="dxa"/>
                  <w:vAlign w:val="center"/>
                </w:tcPr>
                <w:p w14:paraId="3C0753D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昼间：70dB(A)；夜间 55dB(A)</w:t>
                  </w:r>
                </w:p>
              </w:tc>
              <w:tc>
                <w:tcPr>
                  <w:tcW w:w="2664" w:type="dxa"/>
                  <w:vAlign w:val="center"/>
                </w:tcPr>
                <w:p w14:paraId="3AE91DCD">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《建筑施工场界环境噪排放标准》（GB12523-2011）</w:t>
                  </w:r>
                </w:p>
              </w:tc>
            </w:tr>
          </w:tbl>
          <w:p w14:paraId="610D3FA6">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②运营期</w:t>
            </w:r>
          </w:p>
          <w:p w14:paraId="78465BDB">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bCs/>
                <w:color w:val="auto"/>
                <w:sz w:val="24"/>
                <w:highlight w:val="none"/>
              </w:rPr>
              <w:t>运营期厂界</w:t>
            </w:r>
            <w:r>
              <w:rPr>
                <w:rFonts w:hint="eastAsia"/>
                <w:bCs/>
                <w:color w:val="auto"/>
                <w:sz w:val="24"/>
                <w:highlight w:val="none"/>
              </w:rPr>
              <w:t>执行</w:t>
            </w:r>
            <w:r>
              <w:rPr>
                <w:bCs/>
                <w:color w:val="auto"/>
                <w:sz w:val="24"/>
                <w:highlight w:val="none"/>
              </w:rPr>
              <w:t>《工业企业厂界环境噪声排放标准》（GB12348-2008）</w:t>
            </w:r>
            <w:r>
              <w:rPr>
                <w:rFonts w:hint="eastAsia"/>
                <w:bCs/>
                <w:color w:val="auto"/>
                <w:sz w:val="24"/>
                <w:highlight w:val="none"/>
              </w:rPr>
              <w:t>，标准限值见下表。</w:t>
            </w:r>
          </w:p>
          <w:p w14:paraId="603B7C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Cs/>
                <w:color w:val="auto"/>
                <w:sz w:val="24"/>
                <w:highlight w:val="none"/>
              </w:rPr>
            </w:pPr>
            <w:r>
              <w:rPr>
                <w:bCs/>
                <w:color w:val="auto"/>
                <w:sz w:val="24"/>
                <w:highlight w:val="none"/>
              </w:rPr>
              <w:t>表</w:t>
            </w:r>
            <w:r>
              <w:rPr>
                <w:rFonts w:hint="eastAsia"/>
                <w:bCs/>
                <w:color w:val="auto"/>
                <w:sz w:val="24"/>
                <w:highlight w:val="none"/>
              </w:rPr>
              <w:t>3-1</w:t>
            </w:r>
            <w:r>
              <w:rPr>
                <w:rFonts w:hint="eastAsia"/>
                <w:bCs/>
                <w:color w:val="auto"/>
                <w:sz w:val="24"/>
                <w:highlight w:val="none"/>
                <w:lang w:val="en-US" w:eastAsia="zh-CN"/>
              </w:rPr>
              <w:t>4</w:t>
            </w:r>
            <w:r>
              <w:rPr>
                <w:rFonts w:hint="eastAsia"/>
                <w:bCs/>
                <w:color w:val="auto"/>
                <w:sz w:val="24"/>
                <w:highlight w:val="none"/>
              </w:rPr>
              <w:t xml:space="preserve">  </w:t>
            </w:r>
            <w:r>
              <w:rPr>
                <w:bCs/>
                <w:color w:val="auto"/>
                <w:sz w:val="24"/>
                <w:highlight w:val="none"/>
              </w:rPr>
              <w:t>工业企业厂界环境噪声排放标准</w:t>
            </w:r>
            <w:r>
              <w:rPr>
                <w:rFonts w:hint="eastAsia"/>
                <w:bCs/>
                <w:color w:val="auto"/>
                <w:sz w:val="24"/>
                <w:highlight w:val="none"/>
              </w:rPr>
              <w:t xml:space="preserve">  </w:t>
            </w:r>
            <w:r>
              <w:rPr>
                <w:bCs/>
                <w:color w:val="auto"/>
                <w:sz w:val="24"/>
                <w:highlight w:val="none"/>
              </w:rPr>
              <w:t>单位：dB（A）</w:t>
            </w:r>
          </w:p>
          <w:tbl>
            <w:tblPr>
              <w:tblStyle w:val="2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998"/>
              <w:gridCol w:w="3255"/>
              <w:gridCol w:w="2739"/>
            </w:tblGrid>
            <w:tr w14:paraId="0AD42E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1998" w:type="dxa"/>
                  <w:vAlign w:val="center"/>
                </w:tcPr>
                <w:p w14:paraId="037681B8">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位置</w:t>
                  </w:r>
                </w:p>
              </w:tc>
              <w:tc>
                <w:tcPr>
                  <w:tcW w:w="3255" w:type="dxa"/>
                  <w:vAlign w:val="center"/>
                </w:tcPr>
                <w:p w14:paraId="3D65B7D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限值</w:t>
                  </w:r>
                </w:p>
              </w:tc>
              <w:tc>
                <w:tcPr>
                  <w:tcW w:w="2739" w:type="dxa"/>
                  <w:vAlign w:val="center"/>
                </w:tcPr>
                <w:p w14:paraId="23D65274">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执行标准</w:t>
                  </w:r>
                </w:p>
              </w:tc>
            </w:tr>
            <w:tr w14:paraId="73194F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2" w:hRule="exact"/>
              </w:trPr>
              <w:tc>
                <w:tcPr>
                  <w:tcW w:w="1998" w:type="dxa"/>
                  <w:vAlign w:val="center"/>
                </w:tcPr>
                <w:p w14:paraId="37344227">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东、南、西、北</w:t>
                  </w:r>
                </w:p>
              </w:tc>
              <w:tc>
                <w:tcPr>
                  <w:tcW w:w="3255" w:type="dxa"/>
                  <w:vAlign w:val="center"/>
                </w:tcPr>
                <w:p w14:paraId="68C24F8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昼间：65dB(A)；夜间 55dB(A)</w:t>
                  </w:r>
                </w:p>
              </w:tc>
              <w:tc>
                <w:tcPr>
                  <w:tcW w:w="2739" w:type="dxa"/>
                  <w:vAlign w:val="center"/>
                </w:tcPr>
                <w:p w14:paraId="38970A29">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《工业企业厂界环境噪声排放标准》（GB12348-2008）3类</w:t>
                  </w:r>
                </w:p>
              </w:tc>
            </w:tr>
          </w:tbl>
          <w:p w14:paraId="56FA7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b/>
                <w:bCs/>
                <w:color w:val="auto"/>
                <w:sz w:val="24"/>
                <w:highlight w:val="none"/>
              </w:rPr>
            </w:pPr>
            <w:r>
              <w:rPr>
                <w:rFonts w:hint="eastAsia"/>
                <w:b/>
                <w:bCs/>
                <w:color w:val="auto"/>
                <w:sz w:val="24"/>
                <w:highlight w:val="none"/>
              </w:rPr>
              <w:t>（4）</w:t>
            </w:r>
            <w:r>
              <w:rPr>
                <w:b/>
                <w:bCs/>
                <w:color w:val="auto"/>
                <w:sz w:val="24"/>
                <w:highlight w:val="none"/>
              </w:rPr>
              <w:t>固体废物</w:t>
            </w:r>
            <w:r>
              <w:rPr>
                <w:rFonts w:hint="eastAsia"/>
                <w:b/>
                <w:bCs/>
                <w:color w:val="auto"/>
                <w:sz w:val="24"/>
                <w:highlight w:val="none"/>
              </w:rPr>
              <w:t>处置</w:t>
            </w:r>
            <w:r>
              <w:rPr>
                <w:b/>
                <w:bCs/>
                <w:color w:val="auto"/>
                <w:sz w:val="24"/>
                <w:highlight w:val="none"/>
              </w:rPr>
              <w:t>标准</w:t>
            </w:r>
          </w:p>
          <w:p w14:paraId="58F906CF">
            <w:pPr>
              <w:keepNext w:val="0"/>
              <w:keepLines w:val="0"/>
              <w:suppressLineNumbers w:val="0"/>
              <w:spacing w:before="0" w:beforeAutospacing="0" w:after="0" w:afterAutospacing="0" w:line="360" w:lineRule="auto"/>
              <w:ind w:left="0" w:right="0" w:firstLine="480" w:firstLineChars="200"/>
              <w:rPr>
                <w:color w:val="auto"/>
                <w:highlight w:val="none"/>
              </w:rPr>
            </w:pPr>
            <w:r>
              <w:rPr>
                <w:bCs/>
                <w:color w:val="auto"/>
                <w:sz w:val="24"/>
                <w:highlight w:val="none"/>
              </w:rPr>
              <w:t>本项目</w:t>
            </w:r>
            <w:r>
              <w:rPr>
                <w:rFonts w:hint="eastAsia"/>
                <w:bCs/>
                <w:color w:val="auto"/>
                <w:sz w:val="24"/>
                <w:highlight w:val="none"/>
              </w:rPr>
              <w:t>运营</w:t>
            </w:r>
            <w:r>
              <w:rPr>
                <w:bCs/>
                <w:color w:val="auto"/>
                <w:sz w:val="24"/>
                <w:highlight w:val="none"/>
              </w:rPr>
              <w:t>期一般工业固体废物执行</w:t>
            </w:r>
            <w:r>
              <w:rPr>
                <w:rFonts w:hint="eastAsia"/>
                <w:bCs/>
                <w:color w:val="auto"/>
                <w:sz w:val="24"/>
                <w:highlight w:val="none"/>
              </w:rPr>
              <w:t>《一般工业固体废物贮存和填埋污染控制标准》（GB18599-2020）</w:t>
            </w:r>
            <w:r>
              <w:rPr>
                <w:bCs/>
                <w:color w:val="auto"/>
                <w:sz w:val="24"/>
                <w:highlight w:val="none"/>
              </w:rPr>
              <w:t>；危险废物执行《危险废物贮存污染控制标准》</w:t>
            </w:r>
            <w:r>
              <w:rPr>
                <w:rFonts w:hint="eastAsia"/>
                <w:bCs/>
                <w:color w:val="auto"/>
                <w:sz w:val="24"/>
                <w:highlight w:val="none"/>
              </w:rPr>
              <w:t>（</w:t>
            </w:r>
            <w:r>
              <w:rPr>
                <w:bCs/>
                <w:color w:val="auto"/>
                <w:sz w:val="24"/>
                <w:highlight w:val="none"/>
              </w:rPr>
              <w:t>GB18597-20</w:t>
            </w:r>
            <w:r>
              <w:rPr>
                <w:rFonts w:hint="eastAsia"/>
                <w:bCs/>
                <w:color w:val="auto"/>
                <w:sz w:val="24"/>
                <w:highlight w:val="none"/>
              </w:rPr>
              <w:t>23）</w:t>
            </w:r>
            <w:r>
              <w:rPr>
                <w:bCs/>
                <w:color w:val="auto"/>
                <w:sz w:val="24"/>
                <w:highlight w:val="none"/>
              </w:rPr>
              <w:t>。</w:t>
            </w:r>
          </w:p>
        </w:tc>
      </w:tr>
      <w:tr w14:paraId="71E3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462" w:type="pct"/>
            <w:tcBorders>
              <w:tl2br w:val="nil"/>
              <w:tr2bl w:val="nil"/>
            </w:tcBorders>
            <w:vAlign w:val="center"/>
          </w:tcPr>
          <w:p w14:paraId="46034BF2">
            <w:pPr>
              <w:keepNext w:val="0"/>
              <w:keepLines w:val="0"/>
              <w:suppressLineNumbers w:val="0"/>
              <w:adjustRightInd w:val="0"/>
              <w:snapToGrid w:val="0"/>
              <w:spacing w:before="0" w:beforeAutospacing="0" w:after="0" w:afterAutospacing="0"/>
              <w:ind w:left="0" w:right="0"/>
              <w:jc w:val="center"/>
              <w:rPr>
                <w:color w:val="auto"/>
                <w:kern w:val="0"/>
                <w:sz w:val="24"/>
                <w:highlight w:val="none"/>
              </w:rPr>
            </w:pPr>
            <w:r>
              <w:rPr>
                <w:color w:val="auto"/>
                <w:kern w:val="0"/>
                <w:sz w:val="24"/>
                <w:highlight w:val="none"/>
              </w:rPr>
              <w:t>总量</w:t>
            </w:r>
          </w:p>
          <w:p w14:paraId="43D6DA20">
            <w:pPr>
              <w:keepNext w:val="0"/>
              <w:keepLines w:val="0"/>
              <w:suppressLineNumbers w:val="0"/>
              <w:adjustRightInd w:val="0"/>
              <w:snapToGrid w:val="0"/>
              <w:spacing w:before="0" w:beforeAutospacing="0" w:after="0" w:afterAutospacing="0"/>
              <w:ind w:left="0" w:right="0"/>
              <w:jc w:val="center"/>
              <w:rPr>
                <w:color w:val="auto"/>
                <w:kern w:val="0"/>
                <w:sz w:val="24"/>
                <w:highlight w:val="none"/>
              </w:rPr>
            </w:pPr>
            <w:r>
              <w:rPr>
                <w:color w:val="auto"/>
                <w:kern w:val="0"/>
                <w:sz w:val="24"/>
                <w:highlight w:val="none"/>
              </w:rPr>
              <w:t>控制</w:t>
            </w:r>
          </w:p>
          <w:p w14:paraId="74178C3A">
            <w:pPr>
              <w:keepNext w:val="0"/>
              <w:keepLines w:val="0"/>
              <w:suppressLineNumbers w:val="0"/>
              <w:adjustRightInd w:val="0"/>
              <w:snapToGrid w:val="0"/>
              <w:spacing w:before="0" w:beforeAutospacing="0" w:after="0" w:afterAutospacing="0"/>
              <w:ind w:left="0" w:right="0"/>
              <w:jc w:val="center"/>
              <w:rPr>
                <w:color w:val="auto"/>
                <w:kern w:val="0"/>
                <w:szCs w:val="21"/>
                <w:highlight w:val="none"/>
              </w:rPr>
            </w:pPr>
            <w:r>
              <w:rPr>
                <w:color w:val="auto"/>
                <w:kern w:val="0"/>
                <w:sz w:val="24"/>
                <w:highlight w:val="none"/>
              </w:rPr>
              <w:t>指标</w:t>
            </w:r>
          </w:p>
        </w:tc>
        <w:tc>
          <w:tcPr>
            <w:tcW w:w="4537" w:type="pct"/>
            <w:tcBorders>
              <w:tl2br w:val="nil"/>
              <w:tr2bl w:val="nil"/>
            </w:tcBorders>
            <w:vAlign w:val="center"/>
          </w:tcPr>
          <w:p w14:paraId="1AFBC9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bCs/>
                <w:color w:val="auto"/>
                <w:sz w:val="24"/>
                <w:highlight w:val="none"/>
              </w:rPr>
            </w:pPr>
            <w:r>
              <w:rPr>
                <w:rFonts w:hint="eastAsia"/>
                <w:bCs/>
                <w:color w:val="auto"/>
                <w:sz w:val="24"/>
                <w:highlight w:val="none"/>
              </w:rPr>
              <w:t>根据环保部《关于印发〈建设项目主要污染物排放总量指标审核及管理暂行办法〉的通知》（环发〔2014〕197号）、辽宁省环境保护厅《关于贯彻执行环保部建设项目主要污染物排放总量指标审核及管理暂行办法的通知》（辽环发〔2015〕17号）、《辽宁省生态环境厅关于进一步加强建设项目主要污染物排放总量指标审核和管理的通知》（辽环综函〔2020〕380号）。</w:t>
            </w:r>
          </w:p>
          <w:p w14:paraId="1BECFC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bCs/>
                <w:color w:val="auto"/>
                <w:sz w:val="24"/>
                <w:highlight w:val="none"/>
              </w:rPr>
            </w:pPr>
            <w:r>
              <w:rPr>
                <w:rFonts w:hint="eastAsia"/>
                <w:bCs/>
                <w:color w:val="auto"/>
                <w:sz w:val="24"/>
                <w:highlight w:val="none"/>
              </w:rPr>
              <w:t>同时结合本项目的排污特点、项目所在区域环境特征以及当地环境管理部门的要求，本次环评将挥发性有机物、氮氧化物、COD、</w:t>
            </w:r>
            <w:r>
              <w:rPr>
                <w:rFonts w:hint="eastAsia"/>
                <w:bCs/>
                <w:color w:val="auto"/>
                <w:sz w:val="24"/>
                <w:highlight w:val="none"/>
                <w:lang w:val="en-US" w:eastAsia="zh-CN"/>
              </w:rPr>
              <w:t>TP</w:t>
            </w:r>
            <w:r>
              <w:rPr>
                <w:rFonts w:hint="eastAsia"/>
                <w:bCs/>
                <w:color w:val="auto"/>
                <w:sz w:val="24"/>
                <w:highlight w:val="none"/>
              </w:rPr>
              <w:t>作为总量控制因子。结合本项目污染物排放情况，总量控制指标为：VOC</w:t>
            </w:r>
            <w:r>
              <w:rPr>
                <w:rFonts w:hint="eastAsia"/>
                <w:bCs/>
                <w:color w:val="auto"/>
                <w:sz w:val="24"/>
                <w:highlight w:val="none"/>
                <w:vertAlign w:val="subscript"/>
              </w:rPr>
              <w:t>s</w:t>
            </w:r>
            <w:r>
              <w:rPr>
                <w:rFonts w:hint="eastAsia"/>
                <w:bCs/>
                <w:color w:val="auto"/>
                <w:sz w:val="24"/>
                <w:highlight w:val="none"/>
                <w:vertAlign w:val="baseline"/>
                <w:lang w:eastAsia="zh-CN"/>
              </w:rPr>
              <w:t>、</w:t>
            </w:r>
            <w:r>
              <w:rPr>
                <w:rFonts w:hint="eastAsia"/>
                <w:bCs/>
                <w:color w:val="auto"/>
                <w:sz w:val="24"/>
                <w:highlight w:val="none"/>
                <w:vertAlign w:val="baseline"/>
                <w:lang w:val="en-US" w:eastAsia="zh-CN"/>
              </w:rPr>
              <w:t>COD</w:t>
            </w:r>
            <w:r>
              <w:rPr>
                <w:rFonts w:hint="eastAsia"/>
                <w:bCs/>
                <w:color w:val="auto"/>
                <w:sz w:val="24"/>
                <w:highlight w:val="none"/>
              </w:rPr>
              <w:t>。</w:t>
            </w:r>
          </w:p>
          <w:p w14:paraId="787031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bCs/>
                <w:color w:val="auto"/>
                <w:sz w:val="24"/>
                <w:highlight w:val="none"/>
              </w:rPr>
            </w:pPr>
            <w:r>
              <w:rPr>
                <w:rFonts w:hint="eastAsia"/>
                <w:bCs/>
                <w:color w:val="auto"/>
                <w:sz w:val="24"/>
                <w:highlight w:val="none"/>
              </w:rPr>
              <w:t>根据主要环境影响措施和保护措施章节可知：</w:t>
            </w:r>
          </w:p>
          <w:p w14:paraId="75E320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bCs/>
                <w:color w:val="auto"/>
                <w:sz w:val="24"/>
                <w:highlight w:val="none"/>
              </w:rPr>
            </w:pPr>
            <w:r>
              <w:rPr>
                <w:rFonts w:hint="eastAsia"/>
                <w:bCs/>
                <w:color w:val="auto"/>
                <w:sz w:val="24"/>
                <w:highlight w:val="none"/>
              </w:rPr>
              <w:t>VOCs=</w:t>
            </w:r>
            <w:r>
              <w:rPr>
                <w:rFonts w:hint="eastAsia"/>
                <w:bCs/>
                <w:color w:val="auto"/>
                <w:sz w:val="24"/>
                <w:highlight w:val="none"/>
                <w:lang w:val="en-US" w:eastAsia="zh-CN"/>
              </w:rPr>
              <w:t>0.004</w:t>
            </w:r>
            <w:r>
              <w:rPr>
                <w:rFonts w:hint="eastAsia"/>
                <w:bCs/>
                <w:color w:val="auto"/>
                <w:sz w:val="24"/>
                <w:highlight w:val="none"/>
              </w:rPr>
              <w:t>t/a</w:t>
            </w:r>
          </w:p>
          <w:p w14:paraId="5C1C89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color w:val="auto"/>
                <w:kern w:val="0"/>
                <w:szCs w:val="21"/>
                <w:highlight w:val="none"/>
              </w:rPr>
            </w:pPr>
            <w:r>
              <w:rPr>
                <w:rFonts w:hint="eastAsia"/>
                <w:color w:val="auto"/>
                <w:sz w:val="24"/>
                <w:szCs w:val="24"/>
                <w:lang w:val="en-US" w:eastAsia="zh-CN"/>
              </w:rPr>
              <w:t>COD=0.792t/h×16h×250d×50×10</w:t>
            </w:r>
            <w:r>
              <w:rPr>
                <w:rFonts w:hint="eastAsia"/>
                <w:color w:val="auto"/>
                <w:sz w:val="24"/>
                <w:szCs w:val="24"/>
                <w:vertAlign w:val="superscript"/>
                <w:lang w:val="en-US" w:eastAsia="zh-CN"/>
              </w:rPr>
              <w:t>-6</w:t>
            </w:r>
            <w:r>
              <w:rPr>
                <w:rFonts w:hint="eastAsia"/>
                <w:color w:val="auto"/>
                <w:sz w:val="24"/>
                <w:szCs w:val="24"/>
                <w:lang w:val="en-US" w:eastAsia="zh-CN"/>
              </w:rPr>
              <w:t>=0.003t/a</w:t>
            </w:r>
          </w:p>
        </w:tc>
      </w:tr>
    </w:tbl>
    <w:p w14:paraId="498001DA">
      <w:pPr>
        <w:pStyle w:val="25"/>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6"/>
          <w:szCs w:val="36"/>
          <w:highlight w:val="none"/>
        </w:rPr>
        <w:br w:type="page"/>
      </w:r>
      <w:r>
        <w:rPr>
          <w:rFonts w:ascii="Times New Roman" w:hAnsi="Times New Roman" w:eastAsia="黑体"/>
          <w:snapToGrid w:val="0"/>
          <w:color w:val="auto"/>
          <w:sz w:val="30"/>
          <w:szCs w:val="30"/>
          <w:highlight w:val="none"/>
        </w:rPr>
        <w:t>四、主要环境影响和保护措施</w:t>
      </w:r>
    </w:p>
    <w:tbl>
      <w:tblPr>
        <w:tblStyle w:val="27"/>
        <w:tblW w:w="504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9"/>
        <w:gridCol w:w="8261"/>
      </w:tblGrid>
      <w:tr w14:paraId="541DA3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441" w:type="pct"/>
            <w:tcMar>
              <w:left w:w="28" w:type="dxa"/>
              <w:right w:w="28" w:type="dxa"/>
            </w:tcMar>
            <w:vAlign w:val="center"/>
          </w:tcPr>
          <w:p w14:paraId="54C7FEEE">
            <w:pPr>
              <w:pStyle w:val="25"/>
              <w:keepNext w:val="0"/>
              <w:keepLines w:val="0"/>
              <w:suppressLineNumbers w:val="0"/>
              <w:adjustRightInd w:val="0"/>
              <w:snapToGrid w:val="0"/>
              <w:spacing w:before="0" w:beforeAutospacing="0" w:after="0" w:afterAutospacing="0"/>
              <w:ind w:left="0" w:right="0"/>
              <w:jc w:val="center"/>
              <w:rPr>
                <w:rFonts w:ascii="Times New Roman" w:hAnsi="Times New Roman"/>
                <w:color w:val="auto"/>
                <w:kern w:val="2"/>
                <w:szCs w:val="24"/>
                <w:highlight w:val="none"/>
              </w:rPr>
            </w:pPr>
            <w:r>
              <w:rPr>
                <w:rFonts w:ascii="Times New Roman" w:hAnsi="Times New Roman"/>
                <w:color w:val="auto"/>
                <w:kern w:val="2"/>
                <w:szCs w:val="24"/>
                <w:highlight w:val="none"/>
              </w:rPr>
              <w:t>施工</w:t>
            </w:r>
          </w:p>
          <w:p w14:paraId="3ADA27E6">
            <w:pPr>
              <w:pStyle w:val="25"/>
              <w:keepNext w:val="0"/>
              <w:keepLines w:val="0"/>
              <w:suppressLineNumbers w:val="0"/>
              <w:adjustRightInd w:val="0"/>
              <w:snapToGrid w:val="0"/>
              <w:spacing w:before="0" w:beforeAutospacing="0" w:after="0" w:afterAutospacing="0"/>
              <w:ind w:left="0" w:right="0"/>
              <w:jc w:val="center"/>
              <w:rPr>
                <w:rFonts w:ascii="Times New Roman" w:hAnsi="Times New Roman"/>
                <w:color w:val="auto"/>
                <w:kern w:val="2"/>
                <w:szCs w:val="24"/>
                <w:highlight w:val="none"/>
              </w:rPr>
            </w:pPr>
            <w:r>
              <w:rPr>
                <w:rFonts w:ascii="Times New Roman" w:hAnsi="Times New Roman"/>
                <w:color w:val="auto"/>
                <w:kern w:val="2"/>
                <w:szCs w:val="24"/>
                <w:highlight w:val="none"/>
              </w:rPr>
              <w:t>期环</w:t>
            </w:r>
          </w:p>
          <w:p w14:paraId="6FDBBFBC">
            <w:pPr>
              <w:pStyle w:val="25"/>
              <w:keepNext w:val="0"/>
              <w:keepLines w:val="0"/>
              <w:suppressLineNumbers w:val="0"/>
              <w:adjustRightInd w:val="0"/>
              <w:snapToGrid w:val="0"/>
              <w:spacing w:before="0" w:beforeAutospacing="0" w:after="0" w:afterAutospacing="0"/>
              <w:ind w:left="0" w:right="0"/>
              <w:jc w:val="center"/>
              <w:rPr>
                <w:rFonts w:ascii="Times New Roman" w:hAnsi="Times New Roman"/>
                <w:color w:val="auto"/>
                <w:kern w:val="2"/>
                <w:szCs w:val="24"/>
                <w:highlight w:val="none"/>
              </w:rPr>
            </w:pPr>
            <w:r>
              <w:rPr>
                <w:rFonts w:ascii="Times New Roman" w:hAnsi="Times New Roman"/>
                <w:color w:val="auto"/>
                <w:kern w:val="2"/>
                <w:szCs w:val="24"/>
                <w:highlight w:val="none"/>
              </w:rPr>
              <w:t>境保</w:t>
            </w:r>
          </w:p>
          <w:p w14:paraId="4CCFFAC3">
            <w:pPr>
              <w:pStyle w:val="25"/>
              <w:keepNext w:val="0"/>
              <w:keepLines w:val="0"/>
              <w:suppressLineNumbers w:val="0"/>
              <w:adjustRightInd w:val="0"/>
              <w:snapToGrid w:val="0"/>
              <w:spacing w:before="0" w:beforeAutospacing="0" w:after="0" w:afterAutospacing="0"/>
              <w:ind w:left="0" w:right="0"/>
              <w:jc w:val="center"/>
              <w:rPr>
                <w:rFonts w:ascii="Times New Roman" w:hAnsi="Times New Roman"/>
                <w:color w:val="auto"/>
                <w:kern w:val="2"/>
                <w:szCs w:val="24"/>
                <w:highlight w:val="none"/>
              </w:rPr>
            </w:pPr>
            <w:r>
              <w:rPr>
                <w:rFonts w:ascii="Times New Roman" w:hAnsi="Times New Roman"/>
                <w:color w:val="auto"/>
                <w:kern w:val="2"/>
                <w:szCs w:val="24"/>
                <w:highlight w:val="none"/>
              </w:rPr>
              <w:t>护措</w:t>
            </w:r>
          </w:p>
          <w:p w14:paraId="1F1E6EE1">
            <w:pPr>
              <w:pStyle w:val="25"/>
              <w:keepNext w:val="0"/>
              <w:keepLines w:val="0"/>
              <w:suppressLineNumbers w:val="0"/>
              <w:adjustRightInd w:val="0"/>
              <w:snapToGrid w:val="0"/>
              <w:spacing w:before="0" w:beforeAutospacing="0" w:after="0" w:afterAutospacing="0"/>
              <w:ind w:left="0" w:right="0"/>
              <w:jc w:val="center"/>
              <w:rPr>
                <w:rFonts w:ascii="Times New Roman" w:hAnsi="Times New Roman"/>
                <w:bCs/>
                <w:color w:val="auto"/>
                <w:kern w:val="2"/>
                <w:sz w:val="21"/>
                <w:szCs w:val="21"/>
                <w:highlight w:val="none"/>
              </w:rPr>
            </w:pPr>
            <w:r>
              <w:rPr>
                <w:rFonts w:ascii="Times New Roman" w:hAnsi="Times New Roman"/>
                <w:color w:val="auto"/>
                <w:kern w:val="2"/>
                <w:szCs w:val="24"/>
                <w:highlight w:val="none"/>
              </w:rPr>
              <w:t>施</w:t>
            </w:r>
          </w:p>
        </w:tc>
        <w:tc>
          <w:tcPr>
            <w:tcW w:w="4558" w:type="pct"/>
            <w:vAlign w:val="center"/>
          </w:tcPr>
          <w:p w14:paraId="13F38EC0">
            <w:pPr>
              <w:pStyle w:val="18"/>
              <w:keepNext w:val="0"/>
              <w:keepLines w:val="0"/>
              <w:pageBreakBefore w:val="0"/>
              <w:suppressLineNumbers w:val="0"/>
              <w:kinsoku/>
              <w:wordWrap/>
              <w:overflowPunct/>
              <w:topLinePunct w:val="0"/>
              <w:bidi w:val="0"/>
              <w:spacing w:before="0" w:beforeAutospacing="0" w:after="0" w:afterAutospacing="0" w:line="360" w:lineRule="auto"/>
              <w:ind w:left="0" w:right="0" w:firstLine="482" w:firstLineChars="200"/>
              <w:jc w:val="left"/>
              <w:textAlignment w:val="auto"/>
              <w:rPr>
                <w:rFonts w:hint="eastAsia"/>
                <w:b/>
                <w:bCs/>
                <w:color w:val="auto"/>
                <w:highlight w:val="none"/>
              </w:rPr>
            </w:pPr>
            <w:r>
              <w:rPr>
                <w:rFonts w:hint="eastAsia"/>
                <w:b/>
                <w:bCs/>
                <w:color w:val="auto"/>
                <w:highlight w:val="none"/>
              </w:rPr>
              <w:t>施工期污染防治措施</w:t>
            </w:r>
          </w:p>
          <w:p w14:paraId="28D96F1F">
            <w:pPr>
              <w:keepNext w:val="0"/>
              <w:keepLines w:val="0"/>
              <w:pageBreakBefore w:val="0"/>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本项目建设周期约</w:t>
            </w:r>
            <w:r>
              <w:rPr>
                <w:rFonts w:hint="eastAsia" w:hAnsi="宋体"/>
                <w:smallCaps/>
                <w:color w:val="auto"/>
                <w:sz w:val="24"/>
                <w:highlight w:val="none"/>
                <w:lang w:val="en-US" w:eastAsia="zh-CN"/>
              </w:rPr>
              <w:t>1</w:t>
            </w:r>
            <w:r>
              <w:rPr>
                <w:rFonts w:hint="eastAsia" w:hAnsi="宋体"/>
                <w:smallCaps/>
                <w:color w:val="auto"/>
                <w:sz w:val="24"/>
                <w:highlight w:val="none"/>
              </w:rPr>
              <w:t>个月，施工人员约</w:t>
            </w:r>
            <w:r>
              <w:rPr>
                <w:rFonts w:hint="eastAsia" w:hAnsi="宋体"/>
                <w:smallCaps/>
                <w:color w:val="auto"/>
                <w:sz w:val="24"/>
                <w:highlight w:val="none"/>
                <w:lang w:val="en-US" w:eastAsia="zh-CN"/>
              </w:rPr>
              <w:t>5</w:t>
            </w:r>
            <w:r>
              <w:rPr>
                <w:rFonts w:hint="eastAsia" w:hAnsi="宋体"/>
                <w:smallCaps/>
                <w:color w:val="auto"/>
                <w:sz w:val="24"/>
                <w:highlight w:val="none"/>
              </w:rPr>
              <w:t>人，不现场食宿。由于施工期较短，施工期环境影响都是暂时性的，项目施工期对周围环境影响可接受。</w:t>
            </w:r>
          </w:p>
          <w:p w14:paraId="4FB70078">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（1）施工扬尘</w:t>
            </w:r>
          </w:p>
          <w:p w14:paraId="041187C0">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本项目施工平整土地时间较短，但主体工程建设期时间大约</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个月左右，对周围环境会有一定影响。因此建设单位必须严格执行环评要求，应加强施工期对施工场地管理，最大限度减轻施工场地扬尘污染。具体如下：</w:t>
            </w:r>
          </w:p>
          <w:p w14:paraId="4423ACA0">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left"/>
              <w:textAlignment w:val="auto"/>
              <w:rPr>
                <w:rFonts w:hint="eastAsia" w:ascii="Times New Roman" w:hAnsi="Times New Roman" w:cs="Times New Roman"/>
                <w:color w:val="auto"/>
                <w:sz w:val="24"/>
                <w:szCs w:val="24"/>
                <w:highlight w:val="none"/>
                <w:lang w:eastAsia="zh-CN"/>
              </w:rPr>
            </w:pPr>
            <w:r>
              <w:rPr>
                <w:rFonts w:hint="eastAsia" w:cs="Times New Roman"/>
                <w:color w:val="auto"/>
                <w:sz w:val="24"/>
                <w:szCs w:val="24"/>
                <w:highlight w:val="none"/>
                <w:lang w:val="en-US" w:eastAsia="zh-CN"/>
              </w:rPr>
              <w:t>①</w:t>
            </w:r>
            <w:r>
              <w:rPr>
                <w:rFonts w:hint="default" w:ascii="Times New Roman" w:hAnsi="Times New Roman" w:cs="Times New Roman"/>
                <w:color w:val="auto"/>
                <w:sz w:val="24"/>
                <w:szCs w:val="24"/>
                <w:highlight w:val="none"/>
                <w:lang w:eastAsia="zh-CN"/>
              </w:rPr>
              <w:t>工地周边100%围挡。施工场地采用封闭围挡，高度不得小于2.5m</w:t>
            </w:r>
            <w:r>
              <w:rPr>
                <w:rFonts w:hint="eastAsia" w:ascii="Times New Roman" w:hAnsi="Times New Roman" w:cs="Times New Roman"/>
                <w:color w:val="auto"/>
                <w:sz w:val="24"/>
                <w:szCs w:val="24"/>
                <w:highlight w:val="none"/>
                <w:lang w:eastAsia="zh-CN"/>
              </w:rPr>
              <w:t>。</w:t>
            </w:r>
          </w:p>
          <w:p w14:paraId="53DBAD5B">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left"/>
              <w:textAlignment w:val="auto"/>
              <w:rPr>
                <w:rFonts w:hint="eastAsia"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val="en-US" w:eastAsia="zh-CN"/>
              </w:rPr>
              <w:t>②</w:t>
            </w:r>
            <w:r>
              <w:rPr>
                <w:rFonts w:hint="default" w:ascii="Times New Roman" w:hAnsi="Times New Roman" w:cs="Times New Roman"/>
                <w:color w:val="auto"/>
                <w:sz w:val="24"/>
                <w:szCs w:val="24"/>
                <w:highlight w:val="none"/>
              </w:rPr>
              <w:t>物料堆放100%覆盖。施工现场残土、沙料等易产生扬尘物料采取覆防尘网（布）等有效措施，并要经常进行洒水保湿，避免扬尘污染</w:t>
            </w:r>
            <w:r>
              <w:rPr>
                <w:rFonts w:hint="eastAsia" w:ascii="Times New Roman" w:hAnsi="Times New Roman" w:cs="Times New Roman"/>
                <w:color w:val="auto"/>
                <w:sz w:val="24"/>
                <w:szCs w:val="24"/>
                <w:highlight w:val="none"/>
                <w:lang w:eastAsia="zh-CN"/>
              </w:rPr>
              <w:t>。</w:t>
            </w:r>
          </w:p>
          <w:p w14:paraId="1CE64DD2">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left"/>
              <w:textAlignment w:val="auto"/>
              <w:rPr>
                <w:rFonts w:hint="eastAsia" w:ascii="Times New Roman" w:hAnsi="Times New Roman" w:cs="Times New Roman"/>
                <w:color w:val="auto"/>
                <w:sz w:val="24"/>
                <w:szCs w:val="24"/>
                <w:highlight w:val="none"/>
                <w:lang w:eastAsia="zh-CN"/>
              </w:rPr>
            </w:pPr>
            <w:r>
              <w:rPr>
                <w:rFonts w:hint="eastAsia" w:cs="Times New Roman"/>
                <w:color w:val="auto"/>
                <w:sz w:val="24"/>
                <w:szCs w:val="24"/>
                <w:highlight w:val="none"/>
                <w:lang w:val="en-US" w:eastAsia="zh-CN"/>
              </w:rPr>
              <w:t>③</w:t>
            </w:r>
            <w:r>
              <w:rPr>
                <w:rFonts w:hint="default" w:ascii="Times New Roman" w:hAnsi="Times New Roman" w:cs="Times New Roman"/>
                <w:color w:val="auto"/>
                <w:sz w:val="24"/>
                <w:szCs w:val="24"/>
                <w:highlight w:val="none"/>
              </w:rPr>
              <w:t>出入车辆100%冲洗。在施工现场出入口设置自动车辆冲洗装置和沉淀池，运输车辆底盘和车轮冲洗干净后，方可驶离施工现场</w:t>
            </w:r>
            <w:r>
              <w:rPr>
                <w:rFonts w:hint="eastAsia" w:ascii="Times New Roman" w:hAnsi="Times New Roman" w:cs="Times New Roman"/>
                <w:color w:val="auto"/>
                <w:sz w:val="24"/>
                <w:szCs w:val="24"/>
                <w:highlight w:val="none"/>
                <w:lang w:eastAsia="zh-CN"/>
              </w:rPr>
              <w:t>。</w:t>
            </w:r>
          </w:p>
          <w:p w14:paraId="20474E20">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left"/>
              <w:textAlignment w:val="auto"/>
              <w:rPr>
                <w:rFonts w:hint="eastAsia" w:ascii="Times New Roman" w:hAnsi="Times New Roman" w:cs="Times New Roman"/>
                <w:color w:val="auto"/>
                <w:sz w:val="24"/>
                <w:szCs w:val="24"/>
                <w:highlight w:val="none"/>
                <w:lang w:eastAsia="zh-CN"/>
              </w:rPr>
            </w:pPr>
            <w:r>
              <w:rPr>
                <w:rFonts w:hint="eastAsia" w:cs="Times New Roman"/>
                <w:color w:val="auto"/>
                <w:sz w:val="24"/>
                <w:szCs w:val="24"/>
                <w:highlight w:val="none"/>
                <w:lang w:val="en-US" w:eastAsia="zh-CN"/>
              </w:rPr>
              <w:t>④</w:t>
            </w:r>
            <w:r>
              <w:rPr>
                <w:rFonts w:hint="default" w:ascii="Times New Roman" w:hAnsi="Times New Roman" w:cs="Times New Roman"/>
                <w:color w:val="auto"/>
                <w:sz w:val="24"/>
                <w:szCs w:val="24"/>
                <w:highlight w:val="none"/>
              </w:rPr>
              <w:t>施工现场地面100%硬化。施工场地主要干道采取临时砂石铺盖等硬化措施，避免施工道路产生扬尘，场地硬化强度、厚度、宽度，应满足安全通行、卫生保洁需求</w:t>
            </w:r>
            <w:r>
              <w:rPr>
                <w:rFonts w:hint="eastAsia" w:ascii="Times New Roman" w:hAnsi="Times New Roman" w:cs="Times New Roman"/>
                <w:color w:val="auto"/>
                <w:sz w:val="24"/>
                <w:szCs w:val="24"/>
                <w:highlight w:val="none"/>
                <w:lang w:eastAsia="zh-CN"/>
              </w:rPr>
              <w:t>。</w:t>
            </w:r>
          </w:p>
          <w:p w14:paraId="5F325F24">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left"/>
              <w:textAlignment w:val="auto"/>
              <w:rPr>
                <w:rFonts w:hint="eastAsia" w:ascii="Times New Roman" w:hAnsi="Times New Roman" w:cs="Times New Roman"/>
                <w:color w:val="auto"/>
                <w:sz w:val="24"/>
                <w:szCs w:val="24"/>
                <w:highlight w:val="none"/>
                <w:lang w:eastAsia="zh-CN"/>
              </w:rPr>
            </w:pPr>
            <w:r>
              <w:rPr>
                <w:rFonts w:hint="eastAsia" w:cs="Times New Roman"/>
                <w:color w:val="auto"/>
                <w:sz w:val="24"/>
                <w:szCs w:val="24"/>
                <w:highlight w:val="none"/>
                <w:lang w:val="en-US" w:eastAsia="zh-CN"/>
              </w:rPr>
              <w:t>⑤</w:t>
            </w:r>
            <w:r>
              <w:rPr>
                <w:rFonts w:hint="default" w:ascii="Times New Roman" w:hAnsi="Times New Roman" w:cs="Times New Roman"/>
                <w:color w:val="auto"/>
                <w:sz w:val="24"/>
                <w:szCs w:val="24"/>
                <w:highlight w:val="none"/>
              </w:rPr>
              <w:t>在建工地100%湿法作业。对工地裸露地面采取洒水防尘的措施，遇到干旱和大风天气时，增加洒水降尘次数，确保无浮土扬尘。在进行开挖、回填等土方作业时，要辅以洒水压尘等措施。工程竣工后，施工现场的临设、围挡、垃圾等，必须及时清理完毕，清理时必须采取有效的降尘措施</w:t>
            </w:r>
            <w:r>
              <w:rPr>
                <w:rFonts w:hint="eastAsia" w:ascii="Times New Roman" w:hAnsi="Times New Roman" w:cs="Times New Roman"/>
                <w:color w:val="auto"/>
                <w:sz w:val="24"/>
                <w:szCs w:val="24"/>
                <w:highlight w:val="none"/>
                <w:lang w:eastAsia="zh-CN"/>
              </w:rPr>
              <w:t>。</w:t>
            </w:r>
          </w:p>
          <w:p w14:paraId="00B98812">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Chars="200"/>
              <w:jc w:val="left"/>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⑥</w:t>
            </w:r>
            <w:r>
              <w:rPr>
                <w:rFonts w:hint="default" w:ascii="Times New Roman" w:hAnsi="Times New Roman" w:cs="Times New Roman"/>
                <w:color w:val="auto"/>
                <w:sz w:val="24"/>
                <w:szCs w:val="24"/>
                <w:highlight w:val="none"/>
              </w:rPr>
              <w:t>渣土车辆100%密闭运输。清运残土、沙土及垃圾等的装载高度不得超过车辆护栏，并采取全覆盖措施，不得沿途洒落，造成二次道路扬尘污染</w:t>
            </w:r>
            <w:r>
              <w:rPr>
                <w:rFonts w:hint="eastAsia" w:ascii="Times New Roman" w:hAnsi="Times New Roman" w:cs="Times New Roman"/>
                <w:color w:val="auto"/>
                <w:sz w:val="24"/>
                <w:szCs w:val="24"/>
                <w:highlight w:val="none"/>
                <w:lang w:eastAsia="zh-CN"/>
              </w:rPr>
              <w:t>。</w:t>
            </w:r>
          </w:p>
          <w:p w14:paraId="7879F2B5">
            <w:pPr>
              <w:pStyle w:val="1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采取上述措施后，本项目施工期废气、扬尘影响可得到有效缓解，在可接受范围内。</w:t>
            </w:r>
          </w:p>
          <w:p w14:paraId="6C004571">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4B333A20">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591A1878">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44D397C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（2）施工废水</w:t>
            </w:r>
          </w:p>
          <w:p w14:paraId="354749E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bCs/>
                <w:color w:val="auto"/>
                <w:spacing w:val="10"/>
                <w:sz w:val="24"/>
                <w:highlight w:val="none"/>
              </w:rPr>
            </w:pPr>
            <w:r>
              <w:rPr>
                <w:color w:val="auto"/>
                <w:sz w:val="24"/>
                <w:highlight w:val="none"/>
              </w:rPr>
              <w:t>本项目丰水期、汛期不施工。</w:t>
            </w:r>
            <w:r>
              <w:rPr>
                <w:bCs/>
                <w:color w:val="auto"/>
                <w:spacing w:val="10"/>
                <w:sz w:val="24"/>
                <w:highlight w:val="none"/>
              </w:rPr>
              <w:t>为降低施工期间对水环境的影响，具体采取以下措施：</w:t>
            </w:r>
          </w:p>
          <w:p w14:paraId="3DAFE3EA">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kern w:val="0"/>
                <w:sz w:val="24"/>
                <w:highlight w:val="none"/>
              </w:rPr>
            </w:pPr>
            <w:r>
              <w:rPr>
                <w:rFonts w:hint="eastAsia"/>
                <w:color w:val="auto"/>
                <w:kern w:val="0"/>
                <w:sz w:val="24"/>
                <w:highlight w:val="none"/>
              </w:rPr>
              <w:t>①</w:t>
            </w:r>
            <w:r>
              <w:rPr>
                <w:color w:val="auto"/>
                <w:kern w:val="0"/>
                <w:sz w:val="24"/>
                <w:highlight w:val="none"/>
              </w:rPr>
              <w:t>雨天施工要注意防治水土流失，未压实土方和散状物料采取覆盖措施。项目临时堆场设置了工棚，并</w:t>
            </w:r>
            <w:r>
              <w:rPr>
                <w:rFonts w:hint="eastAsia"/>
                <w:color w:val="auto"/>
                <w:kern w:val="0"/>
                <w:sz w:val="24"/>
                <w:highlight w:val="none"/>
              </w:rPr>
              <w:t>进行</w:t>
            </w:r>
            <w:r>
              <w:rPr>
                <w:color w:val="auto"/>
                <w:kern w:val="0"/>
                <w:sz w:val="24"/>
                <w:highlight w:val="none"/>
              </w:rPr>
              <w:t>覆盖，堆场不得设在河道附近，以免随雨水冲进水体，造成污染。</w:t>
            </w:r>
          </w:p>
          <w:p w14:paraId="7C1F3C00">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kern w:val="0"/>
                <w:sz w:val="24"/>
                <w:highlight w:val="none"/>
              </w:rPr>
            </w:pPr>
            <w:r>
              <w:rPr>
                <w:rFonts w:hint="eastAsia"/>
                <w:color w:val="auto"/>
                <w:kern w:val="0"/>
                <w:sz w:val="24"/>
                <w:highlight w:val="none"/>
              </w:rPr>
              <w:t>②</w:t>
            </w:r>
            <w:r>
              <w:rPr>
                <w:color w:val="auto"/>
                <w:kern w:val="0"/>
                <w:sz w:val="24"/>
                <w:highlight w:val="none"/>
              </w:rPr>
              <w:t>施工机具不得在施工场地内清洗，施工车辆定期到附近村镇内清洗。</w:t>
            </w:r>
          </w:p>
          <w:p w14:paraId="5017C2CB">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kern w:val="0"/>
                <w:sz w:val="24"/>
                <w:highlight w:val="none"/>
              </w:rPr>
            </w:pPr>
            <w:r>
              <w:rPr>
                <w:rFonts w:hint="eastAsia"/>
                <w:color w:val="auto"/>
                <w:kern w:val="0"/>
                <w:sz w:val="24"/>
                <w:highlight w:val="none"/>
              </w:rPr>
              <w:t>③</w:t>
            </w:r>
            <w:r>
              <w:rPr>
                <w:color w:val="auto"/>
                <w:kern w:val="0"/>
                <w:sz w:val="24"/>
                <w:highlight w:val="none"/>
              </w:rPr>
              <w:t>使用性能良好的车辆和施工机械，及时保养和维修，防止漏油。</w:t>
            </w:r>
          </w:p>
          <w:p w14:paraId="0757CF27">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kern w:val="0"/>
                <w:sz w:val="24"/>
                <w:highlight w:val="none"/>
              </w:rPr>
            </w:pPr>
            <w:r>
              <w:rPr>
                <w:rFonts w:hint="eastAsia"/>
                <w:color w:val="auto"/>
                <w:kern w:val="0"/>
                <w:sz w:val="24"/>
                <w:highlight w:val="none"/>
              </w:rPr>
              <w:t>④</w:t>
            </w:r>
            <w:r>
              <w:rPr>
                <w:color w:val="auto"/>
                <w:kern w:val="0"/>
                <w:sz w:val="24"/>
                <w:highlight w:val="none"/>
              </w:rPr>
              <w:t>施工形成的疏松土层要及时压实，减少降雨的携沙量。</w:t>
            </w:r>
          </w:p>
          <w:p w14:paraId="27D78C2A">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color w:val="auto"/>
                <w:kern w:val="0"/>
                <w:sz w:val="24"/>
                <w:highlight w:val="none"/>
              </w:rPr>
            </w:pPr>
            <w:r>
              <w:rPr>
                <w:rFonts w:hint="eastAsia"/>
                <w:color w:val="auto"/>
                <w:kern w:val="0"/>
                <w:sz w:val="24"/>
                <w:highlight w:val="none"/>
              </w:rPr>
              <w:t>⑤</w:t>
            </w:r>
            <w:r>
              <w:rPr>
                <w:bCs/>
                <w:color w:val="auto"/>
                <w:spacing w:val="10"/>
                <w:kern w:val="0"/>
                <w:sz w:val="24"/>
                <w:highlight w:val="none"/>
              </w:rPr>
              <w:t>施工期间</w:t>
            </w:r>
            <w:r>
              <w:rPr>
                <w:color w:val="auto"/>
                <w:kern w:val="0"/>
                <w:sz w:val="24"/>
                <w:highlight w:val="none"/>
              </w:rPr>
              <w:t>施工人员</w:t>
            </w:r>
            <w:r>
              <w:rPr>
                <w:bCs/>
                <w:color w:val="auto"/>
                <w:spacing w:val="10"/>
                <w:kern w:val="0"/>
                <w:sz w:val="24"/>
                <w:highlight w:val="none"/>
              </w:rPr>
              <w:t>生活污水</w:t>
            </w:r>
            <w:r>
              <w:rPr>
                <w:color w:val="auto"/>
                <w:kern w:val="0"/>
                <w:sz w:val="24"/>
                <w:highlight w:val="none"/>
              </w:rPr>
              <w:t>排入防渗厕所，粪渣定期由环卫部门统一清运处理</w:t>
            </w:r>
            <w:r>
              <w:rPr>
                <w:bCs/>
                <w:color w:val="auto"/>
                <w:spacing w:val="10"/>
                <w:kern w:val="0"/>
                <w:sz w:val="24"/>
                <w:highlight w:val="none"/>
              </w:rPr>
              <w:t>，以免污染河道水质及周围环境</w:t>
            </w:r>
            <w:r>
              <w:rPr>
                <w:rFonts w:hint="eastAsia"/>
                <w:bCs/>
                <w:color w:val="auto"/>
                <w:spacing w:val="10"/>
                <w:kern w:val="0"/>
                <w:sz w:val="24"/>
                <w:highlight w:val="none"/>
              </w:rPr>
              <w:t>；</w:t>
            </w:r>
            <w:r>
              <w:rPr>
                <w:bCs/>
                <w:color w:val="auto"/>
                <w:spacing w:val="10"/>
                <w:kern w:val="0"/>
                <w:sz w:val="24"/>
                <w:highlight w:val="none"/>
              </w:rPr>
              <w:t>施工生产废水由</w:t>
            </w:r>
            <w:r>
              <w:rPr>
                <w:color w:val="auto"/>
                <w:kern w:val="0"/>
                <w:sz w:val="24"/>
                <w:highlight w:val="none"/>
              </w:rPr>
              <w:t>沉淀池收集，经沉淀池处理后，用于场地洒水、绿化。</w:t>
            </w:r>
          </w:p>
          <w:p w14:paraId="53F2628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bCs/>
                <w:color w:val="auto"/>
                <w:spacing w:val="10"/>
                <w:sz w:val="24"/>
                <w:highlight w:val="none"/>
              </w:rPr>
            </w:pPr>
            <w:r>
              <w:rPr>
                <w:rFonts w:hint="eastAsia"/>
                <w:color w:val="auto"/>
                <w:sz w:val="24"/>
                <w:highlight w:val="none"/>
              </w:rPr>
              <w:t>⑥</w:t>
            </w:r>
            <w:r>
              <w:rPr>
                <w:color w:val="auto"/>
                <w:sz w:val="24"/>
                <w:highlight w:val="none"/>
              </w:rPr>
              <w:t>禁止向水体排放、倾倒土方、生活垃圾和其他废弃物。</w:t>
            </w:r>
          </w:p>
          <w:p w14:paraId="3E356D7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⑦合理规划施工场地的临时供、排水设施，保持施工现场道路通畅，不积水；施工人员产生的生活污水集中收集利用现有生活污水排放系统</w:t>
            </w:r>
            <w:r>
              <w:rPr>
                <w:rFonts w:hint="eastAsia" w:hAnsi="宋体"/>
                <w:smallCaps/>
                <w:color w:val="auto"/>
                <w:sz w:val="24"/>
                <w:highlight w:val="none"/>
                <w:lang w:eastAsia="zh-CN"/>
              </w:rPr>
              <w:t>，</w:t>
            </w:r>
            <w:r>
              <w:rPr>
                <w:rFonts w:hint="eastAsia" w:hAnsi="宋体"/>
                <w:smallCaps/>
                <w:color w:val="auto"/>
                <w:sz w:val="24"/>
                <w:highlight w:val="none"/>
                <w:lang w:val="en-US" w:eastAsia="zh-CN"/>
              </w:rPr>
              <w:t>经化粪池预处理后排入东泽污水处理厂</w:t>
            </w:r>
            <w:r>
              <w:rPr>
                <w:rFonts w:hint="eastAsia" w:hAnsi="宋体"/>
                <w:smallCaps/>
                <w:color w:val="auto"/>
                <w:sz w:val="24"/>
                <w:highlight w:val="none"/>
              </w:rPr>
              <w:t>；</w:t>
            </w:r>
          </w:p>
          <w:p w14:paraId="6179D5B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⑧加强施工期管理，针对施工期污水产生过程不连续、废水种类较单一特点，可采取相应治理措施有效控制污水中污染物的产生量；</w:t>
            </w:r>
          </w:p>
          <w:p w14:paraId="315248E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⑨施工方应加强对车辆的维护与保养，尤其是检查汽车的密封元件及进排气系统是否正常工作，减少汽油和柴油的事故性泄漏发生；</w:t>
            </w:r>
          </w:p>
          <w:p w14:paraId="45A607E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⑩施工队伍中落实兼职的施工用水管理员，负责供水管线和阀门的管理，避免滥用水和长流水。</w:t>
            </w:r>
          </w:p>
          <w:p w14:paraId="701E25DC">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（3）施工噪声</w:t>
            </w:r>
          </w:p>
          <w:p w14:paraId="2D3C2363">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施工噪声具有阶段性、临时性和不固定性，会对周围环境产生影响。在施工作业中必须合理安排各类施工机械的工作时间，减少这类噪声对周围环境的影响，具体措施如下：</w:t>
            </w:r>
          </w:p>
          <w:p w14:paraId="54869E15">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①施工期的噪声主要来自施工机械和运输车辆，施工单位必须选用符合国家有关标准的施工机具和运输车辆，尽量选用低噪声设备，同时加强各类施工设备和工具的保养及维护，保持其良好的运转。要杜绝高强度，突发性噪声发生；</w:t>
            </w:r>
          </w:p>
          <w:p w14:paraId="57FF16B5">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②加强现场施工人员的噪声防护工作，对施工现场噪声大于90分贝的现场工作人员除采取防护措施外，还应实行定期轮换制，以减轻噪声对人体健康的影响；</w:t>
            </w:r>
          </w:p>
          <w:p w14:paraId="1760FC4F">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（4）施工固废</w:t>
            </w:r>
          </w:p>
          <w:p w14:paraId="58415A74">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施工期的固体废物主要来自于弃土、废建筑材料和施工人员产生的生活垃圾。</w:t>
            </w:r>
          </w:p>
          <w:p w14:paraId="579B843D">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建筑施工过程中对现场要及时进行清理，建筑垃圾及时清运、加以利用，防止其因长期堆放而产生扬尘。对于施工人员生活垃圾，为防止生活垃圾污染环境，引起疾病的发生，应进行集中收集，清理出的垃圾由环卫部门统一处理，严禁垃圾随处堆放，防止产生二次污染。</w:t>
            </w:r>
          </w:p>
          <w:p w14:paraId="74B46C8E">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r>
              <w:rPr>
                <w:rFonts w:hint="eastAsia" w:hAnsi="宋体"/>
                <w:smallCaps/>
                <w:color w:val="auto"/>
                <w:sz w:val="24"/>
                <w:highlight w:val="none"/>
              </w:rPr>
              <w:t>施工期结束后，上述影响即消失。</w:t>
            </w:r>
          </w:p>
          <w:p w14:paraId="46940190">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231D13DF">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522F3831">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22569ACA">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6500FA83">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1558F042">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4FBACC09">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5D83558E">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1D29E30D">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44282AB3">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6EC24A73">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0636F8AD">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12B0B0A6">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6667B08F">
            <w:pPr>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hAnsi="宋体"/>
                <w:smallCaps/>
                <w:color w:val="auto"/>
                <w:sz w:val="24"/>
                <w:highlight w:val="none"/>
              </w:rPr>
            </w:pPr>
          </w:p>
          <w:p w14:paraId="072500D6">
            <w:pPr>
              <w:keepNext w:val="0"/>
              <w:keepLines w:val="0"/>
              <w:suppressLineNumbers w:val="0"/>
              <w:tabs>
                <w:tab w:val="left" w:pos="3000"/>
              </w:tabs>
              <w:spacing w:before="0" w:beforeAutospacing="0" w:after="0" w:afterAutospacing="0" w:line="360" w:lineRule="auto"/>
              <w:ind w:left="0" w:right="0"/>
              <w:rPr>
                <w:color w:val="auto"/>
                <w:highlight w:val="none"/>
              </w:rPr>
            </w:pPr>
          </w:p>
        </w:tc>
      </w:tr>
      <w:tr w14:paraId="2B623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pct"/>
            <w:tcMar>
              <w:left w:w="28" w:type="dxa"/>
              <w:right w:w="28" w:type="dxa"/>
            </w:tcMar>
            <w:vAlign w:val="center"/>
          </w:tcPr>
          <w:p w14:paraId="2520F69C">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运营</w:t>
            </w:r>
          </w:p>
          <w:p w14:paraId="309C2FAB">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期环</w:t>
            </w:r>
          </w:p>
          <w:p w14:paraId="16A8372A">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境影</w:t>
            </w:r>
          </w:p>
          <w:p w14:paraId="0CCF2610">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响和</w:t>
            </w:r>
          </w:p>
          <w:p w14:paraId="3E0699F0">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保护</w:t>
            </w:r>
          </w:p>
          <w:p w14:paraId="31402D76">
            <w:pPr>
              <w:keepNext w:val="0"/>
              <w:keepLines w:val="0"/>
              <w:suppressLineNumbers w:val="0"/>
              <w:adjustRightInd w:val="0"/>
              <w:snapToGrid w:val="0"/>
              <w:spacing w:before="0" w:beforeAutospacing="0" w:after="0" w:afterAutospacing="0"/>
              <w:ind w:left="0" w:right="0"/>
              <w:jc w:val="center"/>
              <w:rPr>
                <w:bCs/>
                <w:color w:val="auto"/>
                <w:szCs w:val="21"/>
                <w:highlight w:val="none"/>
              </w:rPr>
            </w:pPr>
            <w:r>
              <w:rPr>
                <w:bCs/>
                <w:color w:val="auto"/>
                <w:sz w:val="24"/>
                <w:highlight w:val="none"/>
              </w:rPr>
              <w:t>措施</w:t>
            </w:r>
          </w:p>
        </w:tc>
        <w:tc>
          <w:tcPr>
            <w:tcW w:w="4558" w:type="pct"/>
            <w:vAlign w:val="center"/>
          </w:tcPr>
          <w:p w14:paraId="15AF4461">
            <w:pPr>
              <w:keepNext w:val="0"/>
              <w:keepLines w:val="0"/>
              <w:suppressLineNumbers w:val="0"/>
              <w:tabs>
                <w:tab w:val="left" w:pos="3000"/>
              </w:tabs>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1、</w:t>
            </w:r>
            <w:r>
              <w:rPr>
                <w:b/>
                <w:color w:val="auto"/>
                <w:sz w:val="24"/>
                <w:highlight w:val="none"/>
              </w:rPr>
              <w:t>废气</w:t>
            </w:r>
          </w:p>
          <w:p w14:paraId="432A0C5E">
            <w:pPr>
              <w:keepNext w:val="0"/>
              <w:keepLines w:val="0"/>
              <w:suppressLineNumbers w:val="0"/>
              <w:tabs>
                <w:tab w:val="left" w:pos="3000"/>
              </w:tabs>
              <w:spacing w:before="0" w:beforeAutospacing="0" w:after="0" w:afterAutospacing="0" w:line="360" w:lineRule="auto"/>
              <w:ind w:left="0" w:right="0" w:firstLine="482" w:firstLineChars="200"/>
              <w:rPr>
                <w:rFonts w:hint="default"/>
                <w:b/>
                <w:bCs w:val="0"/>
                <w:color w:val="auto"/>
                <w:sz w:val="24"/>
                <w:highlight w:val="none"/>
                <w:lang w:val="en-US" w:eastAsia="zh-CN"/>
              </w:rPr>
            </w:pPr>
            <w:r>
              <w:rPr>
                <w:rFonts w:hint="eastAsia"/>
                <w:b/>
                <w:bCs w:val="0"/>
                <w:color w:val="auto"/>
                <w:sz w:val="24"/>
                <w:highlight w:val="none"/>
                <w:lang w:val="en-US" w:eastAsia="zh-CN"/>
              </w:rPr>
              <w:t>（1）废气产生及排放</w:t>
            </w:r>
          </w:p>
          <w:p w14:paraId="2C93BE5E">
            <w:pPr>
              <w:keepNext w:val="0"/>
              <w:keepLines w:val="0"/>
              <w:suppressLineNumbers w:val="0"/>
              <w:tabs>
                <w:tab w:val="left" w:pos="3000"/>
              </w:tabs>
              <w:spacing w:before="0" w:beforeAutospacing="0" w:after="0" w:afterAutospacing="0" w:line="360" w:lineRule="auto"/>
              <w:ind w:left="0" w:right="0" w:firstLine="480" w:firstLineChars="200"/>
              <w:rPr>
                <w:rFonts w:hint="default"/>
                <w:b w:val="0"/>
                <w:bCs/>
                <w:color w:val="auto"/>
                <w:sz w:val="24"/>
                <w:highlight w:val="none"/>
                <w:lang w:val="en-US" w:eastAsia="zh-CN"/>
              </w:rPr>
            </w:pPr>
            <w:r>
              <w:rPr>
                <w:rFonts w:hint="eastAsia"/>
                <w:b w:val="0"/>
                <w:bCs/>
                <w:color w:val="auto"/>
                <w:sz w:val="24"/>
                <w:highlight w:val="none"/>
                <w:lang w:val="en-US" w:eastAsia="zh-CN"/>
              </w:rPr>
              <w:t>①工艺废气</w:t>
            </w:r>
          </w:p>
          <w:p w14:paraId="3E327DAF">
            <w:pPr>
              <w:keepNext w:val="0"/>
              <w:keepLines w:val="0"/>
              <w:suppressLineNumbers w:val="0"/>
              <w:tabs>
                <w:tab w:val="left" w:pos="3000"/>
              </w:tabs>
              <w:spacing w:before="0" w:beforeAutospacing="0" w:after="0" w:afterAutospacing="0" w:line="360" w:lineRule="auto"/>
              <w:ind w:left="0" w:right="0" w:firstLine="480" w:firstLineChars="200"/>
              <w:rPr>
                <w:rFonts w:hint="default" w:eastAsia="宋体"/>
                <w:b/>
                <w:color w:val="auto"/>
                <w:sz w:val="24"/>
                <w:highlight w:val="none"/>
                <w:lang w:val="en-US" w:eastAsia="zh-CN"/>
              </w:rPr>
            </w:pPr>
            <w:r>
              <w:rPr>
                <w:rFonts w:hint="eastAsia"/>
                <w:b w:val="0"/>
                <w:bCs/>
                <w:color w:val="auto"/>
                <w:sz w:val="24"/>
                <w:highlight w:val="none"/>
                <w:lang w:val="en-US" w:eastAsia="zh-CN"/>
              </w:rPr>
              <w:t>本</w:t>
            </w:r>
            <w:r>
              <w:rPr>
                <w:rFonts w:hint="eastAsia"/>
                <w:b w:val="0"/>
                <w:bCs/>
                <w:color w:val="auto"/>
                <w:sz w:val="24"/>
                <w:highlight w:val="none"/>
              </w:rPr>
              <w:t>项目</w:t>
            </w:r>
            <w:r>
              <w:rPr>
                <w:rFonts w:hint="eastAsia"/>
                <w:b w:val="0"/>
                <w:bCs/>
                <w:color w:val="auto"/>
                <w:sz w:val="24"/>
                <w:highlight w:val="none"/>
                <w:lang w:val="en-US" w:eastAsia="zh-CN"/>
              </w:rPr>
              <w:t>橡胶防护蜡、包装蜡及凡士林生产过程中熔化、调配、搅拌及成型工序</w:t>
            </w:r>
            <w:r>
              <w:rPr>
                <w:rFonts w:hint="eastAsia"/>
                <w:b w:val="0"/>
                <w:bCs/>
                <w:color w:val="auto"/>
                <w:sz w:val="24"/>
                <w:highlight w:val="none"/>
              </w:rPr>
              <w:t>会产生少量挥发性有机物（以 NMHC 计）。石蜡是高级烷烃的混合物，主要成分的分子式为 CnH2n+2，其中 n=17～35。主要组分为直链烷烃，还有少量带个别支链的烷烃和带长侧链的单环环烷烃；直链烷烃中主要是正二十二烷（C22H46）和正二十八烷（C28H58）。这些烷烃沸点范围为 300</w:t>
            </w:r>
            <w:r>
              <w:rPr>
                <w:rFonts w:hint="eastAsia"/>
                <w:b w:val="0"/>
                <w:bCs/>
                <w:color w:val="auto"/>
                <w:sz w:val="24"/>
                <w:highlight w:val="none"/>
                <w:lang w:val="en-US" w:eastAsia="zh-CN"/>
              </w:rPr>
              <w:t>-</w:t>
            </w:r>
            <w:r>
              <w:rPr>
                <w:rFonts w:hint="eastAsia"/>
                <w:b w:val="0"/>
                <w:bCs/>
                <w:color w:val="auto"/>
                <w:sz w:val="24"/>
                <w:highlight w:val="none"/>
              </w:rPr>
              <w:t>550 摄氏度。随着石蜡的分子量、沸点和熔点增高，组成中的正构烷烃减少而异构烷烃和固体环烷烃增多。根据世界卫生组织（WHO）的定义，VOCs 是在常温下，沸点 50℃至 260℃的各种有机化合物。本项目使用的液体石蜡熔点较高，所含烷烃沸点也较高，均高于 260℃，故本项目石蜡加热（加热温度一般在</w:t>
            </w:r>
            <w:r>
              <w:rPr>
                <w:rFonts w:hint="eastAsia"/>
                <w:b w:val="0"/>
                <w:bCs/>
                <w:color w:val="auto"/>
                <w:sz w:val="24"/>
                <w:highlight w:val="none"/>
                <w:lang w:val="en-US" w:eastAsia="zh-CN"/>
              </w:rPr>
              <w:t>100</w:t>
            </w:r>
            <w:r>
              <w:rPr>
                <w:rFonts w:hint="eastAsia"/>
                <w:b w:val="0"/>
                <w:bCs/>
                <w:color w:val="auto"/>
                <w:sz w:val="24"/>
                <w:highlight w:val="none"/>
              </w:rPr>
              <w:t>℃）产生的 VOCs 气体</w:t>
            </w:r>
            <w:r>
              <w:rPr>
                <w:rFonts w:hint="eastAsia"/>
                <w:b w:val="0"/>
                <w:bCs/>
                <w:color w:val="auto"/>
                <w:sz w:val="24"/>
                <w:highlight w:val="none"/>
                <w:lang w:val="en-US" w:eastAsia="zh-CN"/>
              </w:rPr>
              <w:t>极少</w:t>
            </w:r>
            <w:r>
              <w:rPr>
                <w:rFonts w:hint="eastAsia"/>
                <w:b w:val="0"/>
                <w:bCs/>
                <w:color w:val="auto"/>
                <w:sz w:val="24"/>
                <w:highlight w:val="none"/>
                <w:lang w:eastAsia="zh-CN"/>
              </w:rPr>
              <w:t>，</w:t>
            </w:r>
            <w:r>
              <w:rPr>
                <w:rFonts w:hint="eastAsia"/>
                <w:b w:val="0"/>
                <w:bCs/>
                <w:color w:val="auto"/>
                <w:sz w:val="24"/>
                <w:highlight w:val="none"/>
                <w:lang w:val="en-US" w:eastAsia="zh-CN"/>
              </w:rPr>
              <w:t>可忽略不计，本项目仅定性分析。</w:t>
            </w:r>
          </w:p>
          <w:p w14:paraId="53CBF85F">
            <w:pPr>
              <w:keepNext w:val="0"/>
              <w:keepLines w:val="0"/>
              <w:suppressLineNumbers w:val="0"/>
              <w:tabs>
                <w:tab w:val="left" w:pos="3000"/>
              </w:tabs>
              <w:spacing w:before="0" w:beforeAutospacing="0" w:after="0" w:afterAutospacing="0" w:line="360" w:lineRule="auto"/>
              <w:ind w:left="0" w:right="0" w:firstLine="480" w:firstLineChars="200"/>
              <w:rPr>
                <w:rFonts w:hint="default" w:eastAsia="宋体"/>
                <w:b w:val="0"/>
                <w:bCs/>
                <w:color w:val="auto"/>
                <w:sz w:val="24"/>
                <w:highlight w:val="none"/>
                <w:lang w:val="en-US" w:eastAsia="zh-CN"/>
              </w:rPr>
            </w:pPr>
            <w:r>
              <w:rPr>
                <w:rFonts w:hint="eastAsia"/>
                <w:color w:val="auto"/>
                <w:sz w:val="24"/>
                <w:highlight w:val="none"/>
                <w:lang w:val="en-US" w:eastAsia="zh-CN"/>
              </w:rPr>
              <w:t>根据《挥发性有机物无组织排放控制标准》（GB37822-2019）中10.3.2VOCs排放控制要求“ 收集的废气中 NMHC 初始排放速率≥3 kg/h 时，应配置 VOCs 处理设施，处理效率不应低于80%；对于重点地区，收集的废气中 NMHC 初始排放速率≥2 kg/h 时，应配置 VOCs 处理设施，处理效率不应低于 80%；采用的原辅材料符合国家有关低 VOCs 含量产品规定的除外。”，本项目VOCs产生源强远小于2kg/h，故不采取有组织收集处理措施。</w:t>
            </w:r>
          </w:p>
          <w:p w14:paraId="42A0ABE4">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bCs/>
                <w:color w:val="auto"/>
                <w:sz w:val="24"/>
                <w:highlight w:val="none"/>
                <w:lang w:val="en-US" w:eastAsia="zh-CN"/>
              </w:rPr>
            </w:pPr>
            <w:r>
              <w:rPr>
                <w:rFonts w:hint="eastAsia" w:ascii="Times New Roman" w:hAnsi="Times New Roman" w:cs="Times New Roman"/>
                <w:bCs/>
                <w:color w:val="auto"/>
                <w:sz w:val="24"/>
                <w:highlight w:val="none"/>
                <w:lang w:val="en-US" w:eastAsia="zh-CN"/>
              </w:rPr>
              <w:t>为抑制VOCs排放，汉圣化工将石蜡储存于密闭的包装袋、原料仓库及储罐中；固体袋装石蜡存放于原料仓库内，周转固体石蜡暂存于设置有雨棚、遮阳和防渗设施的原材料储存雨棚；固体石蜡的包装袋在非取用状态时封口、保持密闭。原料仓库及储罐满足《挥发性有机物无组织排放控制标准》（GB37822-2019）中3.6条对密闭空间的要求。</w:t>
            </w:r>
          </w:p>
          <w:p w14:paraId="0933F670">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auto"/>
                <w:sz w:val="24"/>
                <w:highlight w:val="none"/>
                <w:lang w:val="en-US" w:eastAsia="zh-CN"/>
              </w:rPr>
            </w:pPr>
            <w:r>
              <w:rPr>
                <w:rFonts w:hint="eastAsia" w:ascii="Times New Roman" w:hAnsi="Times New Roman" w:cs="Times New Roman"/>
                <w:bCs/>
                <w:color w:val="auto"/>
                <w:sz w:val="24"/>
                <w:highlight w:val="none"/>
                <w:lang w:val="en-US" w:eastAsia="zh-CN"/>
              </w:rPr>
              <w:t>②储罐大、小呼吸</w:t>
            </w:r>
          </w:p>
          <w:p w14:paraId="58C686E0">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bCs/>
                <w:color w:val="auto"/>
                <w:sz w:val="24"/>
                <w:highlight w:val="none"/>
              </w:rPr>
            </w:pPr>
            <w:r>
              <w:rPr>
                <w:rFonts w:hint="eastAsia" w:ascii="Times New Roman" w:hAnsi="Times New Roman" w:cs="Times New Roman"/>
                <w:bCs/>
                <w:color w:val="auto"/>
                <w:sz w:val="24"/>
                <w:highlight w:val="none"/>
                <w:lang w:val="en-US" w:eastAsia="zh-CN"/>
              </w:rPr>
              <w:t>本</w:t>
            </w:r>
            <w:r>
              <w:rPr>
                <w:rFonts w:hint="eastAsia" w:ascii="Times New Roman" w:hAnsi="Times New Roman" w:cs="Times New Roman"/>
                <w:bCs/>
                <w:color w:val="auto"/>
                <w:sz w:val="24"/>
                <w:highlight w:val="none"/>
              </w:rPr>
              <w:t>项目</w:t>
            </w:r>
            <w:r>
              <w:rPr>
                <w:rFonts w:hint="eastAsia" w:ascii="Times New Roman" w:hAnsi="Times New Roman" w:cs="Times New Roman"/>
                <w:bCs/>
                <w:color w:val="auto"/>
                <w:sz w:val="24"/>
                <w:highlight w:val="none"/>
                <w:lang w:val="en-US" w:eastAsia="zh-CN"/>
              </w:rPr>
              <w:t>拟</w:t>
            </w:r>
            <w:r>
              <w:rPr>
                <w:rFonts w:hint="eastAsia" w:ascii="Times New Roman" w:hAnsi="Times New Roman" w:cs="Times New Roman"/>
                <w:bCs/>
                <w:color w:val="auto"/>
                <w:sz w:val="24"/>
                <w:highlight w:val="none"/>
              </w:rPr>
              <w:t>在厂区</w:t>
            </w:r>
            <w:r>
              <w:rPr>
                <w:rFonts w:hint="eastAsia" w:ascii="Times New Roman" w:hAnsi="Times New Roman" w:cs="Times New Roman"/>
                <w:bCs/>
                <w:color w:val="auto"/>
                <w:sz w:val="24"/>
                <w:highlight w:val="none"/>
                <w:lang w:val="en-US" w:eastAsia="zh-CN"/>
              </w:rPr>
              <w:t>南侧</w:t>
            </w:r>
            <w:r>
              <w:rPr>
                <w:rFonts w:hint="eastAsia" w:ascii="Times New Roman" w:hAnsi="Times New Roman" w:cs="Times New Roman"/>
                <w:bCs/>
                <w:color w:val="auto"/>
                <w:sz w:val="24"/>
                <w:highlight w:val="none"/>
              </w:rPr>
              <w:t>设有一个储罐区，</w:t>
            </w:r>
            <w:r>
              <w:rPr>
                <w:rFonts w:hint="eastAsia" w:ascii="Times New Roman" w:hAnsi="Times New Roman" w:cs="Times New Roman"/>
                <w:bCs/>
                <w:color w:val="auto"/>
                <w:sz w:val="24"/>
                <w:highlight w:val="none"/>
                <w:lang w:val="en-US" w:eastAsia="zh-CN"/>
              </w:rPr>
              <w:t>含11</w:t>
            </w:r>
            <w:r>
              <w:rPr>
                <w:rFonts w:hint="eastAsia" w:ascii="Times New Roman" w:hAnsi="Times New Roman" w:cs="Times New Roman"/>
                <w:bCs/>
                <w:color w:val="auto"/>
                <w:sz w:val="24"/>
                <w:highlight w:val="none"/>
              </w:rPr>
              <w:t>座</w:t>
            </w:r>
            <w:r>
              <w:rPr>
                <w:rFonts w:hint="eastAsia" w:ascii="Times New Roman" w:hAnsi="Times New Roman" w:cs="Times New Roman"/>
                <w:bCs/>
                <w:color w:val="auto"/>
                <w:sz w:val="24"/>
                <w:highlight w:val="none"/>
                <w:lang w:val="en-US" w:eastAsia="zh-CN"/>
              </w:rPr>
              <w:t>23</w:t>
            </w:r>
            <w:r>
              <w:rPr>
                <w:rFonts w:hint="eastAsia" w:ascii="Times New Roman" w:hAnsi="Times New Roman" w:cs="Times New Roman"/>
                <w:bCs/>
                <w:color w:val="auto"/>
                <w:sz w:val="24"/>
                <w:highlight w:val="none"/>
              </w:rPr>
              <w:t>m</w:t>
            </w:r>
            <w:r>
              <w:rPr>
                <w:rFonts w:hint="eastAsia" w:ascii="Times New Roman" w:hAnsi="Times New Roman" w:cs="Times New Roman"/>
                <w:bCs/>
                <w:color w:val="auto"/>
                <w:sz w:val="24"/>
                <w:highlight w:val="none"/>
                <w:vertAlign w:val="superscript"/>
              </w:rPr>
              <w:t>3</w:t>
            </w:r>
            <w:r>
              <w:rPr>
                <w:rFonts w:hint="eastAsia" w:ascii="Times New Roman" w:hAnsi="Times New Roman" w:cs="Times New Roman"/>
                <w:bCs/>
                <w:color w:val="auto"/>
                <w:sz w:val="24"/>
                <w:highlight w:val="none"/>
              </w:rPr>
              <w:t>储罐</w:t>
            </w:r>
            <w:r>
              <w:rPr>
                <w:rFonts w:hint="eastAsia" w:ascii="Times New Roman" w:hAnsi="Times New Roman" w:cs="Times New Roman"/>
                <w:bCs/>
                <w:color w:val="auto"/>
                <w:sz w:val="24"/>
                <w:highlight w:val="none"/>
                <w:lang w:eastAsia="zh-CN"/>
              </w:rPr>
              <w:t>，</w:t>
            </w:r>
            <w:r>
              <w:rPr>
                <w:rFonts w:hint="eastAsia" w:ascii="Times New Roman" w:hAnsi="Times New Roman" w:cs="Times New Roman"/>
                <w:bCs/>
                <w:color w:val="auto"/>
                <w:sz w:val="24"/>
                <w:highlight w:val="none"/>
                <w:lang w:val="en-US" w:eastAsia="zh-CN"/>
              </w:rPr>
              <w:t>储存液态微晶蜡</w:t>
            </w:r>
            <w:r>
              <w:rPr>
                <w:rFonts w:hint="eastAsia" w:ascii="Times New Roman" w:hAnsi="Times New Roman" w:cs="Times New Roman"/>
                <w:bCs/>
                <w:color w:val="auto"/>
                <w:sz w:val="24"/>
                <w:highlight w:val="none"/>
              </w:rPr>
              <w:t>。根据《石油库节能设计导则（SH/T 3002-2019）》为减少油品损耗，闪点大于45℃的油罐，宜选用固定顶罐，本项目储罐选用碳钢固定顶常压储罐。</w:t>
            </w:r>
          </w:p>
          <w:p w14:paraId="536238E9">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bCs/>
                <w:color w:val="auto"/>
                <w:sz w:val="24"/>
                <w:highlight w:val="none"/>
              </w:rPr>
            </w:pPr>
            <w:r>
              <w:rPr>
                <w:rFonts w:hint="eastAsia" w:ascii="Times New Roman" w:hAnsi="Times New Roman" w:cs="Times New Roman"/>
                <w:bCs/>
                <w:color w:val="auto"/>
                <w:sz w:val="24"/>
                <w:highlight w:val="none"/>
              </w:rPr>
              <w:t>微晶石蜡从原油蒸馏所得的润滑油馏分经溶剂精制等过程制得，主要成分为正构烷烃，平均分子量250～450。主要质量指标为熔点和含油量，外观呈片状或针状结晶，分为全精炼石蜡、半精炼石蜡和粗石蜡。</w:t>
            </w:r>
            <w:r>
              <w:rPr>
                <w:rFonts w:hint="eastAsia" w:ascii="Times New Roman" w:hAnsi="Times New Roman" w:cs="Times New Roman"/>
                <w:bCs/>
                <w:color w:val="auto"/>
                <w:sz w:val="24"/>
                <w:highlight w:val="none"/>
                <w:lang w:val="en-US" w:eastAsia="zh-CN"/>
              </w:rPr>
              <w:t>微晶蜡</w:t>
            </w:r>
            <w:r>
              <w:rPr>
                <w:rFonts w:hint="eastAsia" w:ascii="Times New Roman" w:hAnsi="Times New Roman" w:cs="Times New Roman"/>
                <w:bCs/>
                <w:color w:val="auto"/>
                <w:sz w:val="24"/>
                <w:highlight w:val="none"/>
              </w:rPr>
              <w:t>液体的成分及其复杂，至今尚难准确测定其组成情况，</w:t>
            </w:r>
            <w:r>
              <w:rPr>
                <w:rFonts w:hint="eastAsia" w:ascii="Times New Roman" w:hAnsi="Times New Roman" w:cs="Times New Roman"/>
                <w:bCs/>
                <w:color w:val="auto"/>
                <w:sz w:val="24"/>
                <w:highlight w:val="none"/>
                <w:lang w:val="en-US" w:eastAsia="zh-CN"/>
              </w:rPr>
              <w:t>微晶蜡</w:t>
            </w:r>
            <w:r>
              <w:rPr>
                <w:rFonts w:hint="eastAsia" w:ascii="Times New Roman" w:hAnsi="Times New Roman" w:cs="Times New Roman"/>
                <w:bCs/>
                <w:color w:val="auto"/>
                <w:sz w:val="24"/>
                <w:highlight w:val="none"/>
              </w:rPr>
              <w:t>液体的相对分子质量按碳原子数为20进行估算，饱和蒸汽压按安托尼方程lgP = A-B/(T+C)进行计算（其中A=8.7603B=3113C=204.07T=75℃），</w:t>
            </w:r>
            <w:r>
              <w:rPr>
                <w:rFonts w:hint="eastAsia" w:ascii="Times New Roman" w:hAnsi="Times New Roman" w:cs="Times New Roman"/>
                <w:bCs/>
                <w:color w:val="auto"/>
                <w:sz w:val="24"/>
                <w:highlight w:val="none"/>
                <w:lang w:val="en-US" w:eastAsia="zh-CN"/>
              </w:rPr>
              <w:t>微晶蜡</w:t>
            </w:r>
            <w:r>
              <w:rPr>
                <w:rFonts w:hint="eastAsia" w:ascii="Times New Roman" w:hAnsi="Times New Roman" w:cs="Times New Roman"/>
                <w:bCs/>
                <w:color w:val="auto"/>
                <w:sz w:val="24"/>
                <w:highlight w:val="none"/>
              </w:rPr>
              <w:t>液体在75℃的饱和蒸气压为4.03×10</w:t>
            </w:r>
            <w:r>
              <w:rPr>
                <w:rFonts w:hint="eastAsia" w:ascii="Times New Roman" w:hAnsi="Times New Roman" w:cs="Times New Roman"/>
                <w:bCs/>
                <w:color w:val="auto"/>
                <w:sz w:val="24"/>
                <w:highlight w:val="none"/>
                <w:vertAlign w:val="superscript"/>
              </w:rPr>
              <w:t>-3</w:t>
            </w:r>
            <w:r>
              <w:rPr>
                <w:rFonts w:hint="eastAsia" w:ascii="Times New Roman" w:hAnsi="Times New Roman" w:cs="Times New Roman"/>
                <w:bCs/>
                <w:color w:val="auto"/>
                <w:sz w:val="24"/>
                <w:highlight w:val="none"/>
              </w:rPr>
              <w:t>mmHg，经单位换算为0.536Pa，储罐区无组织排放气体非甲烷总烃按以下公式进行计算。</w:t>
            </w:r>
          </w:p>
          <w:p w14:paraId="7C931AC8">
            <w:pPr>
              <w:pStyle w:val="82"/>
              <w:keepNext w:val="0"/>
              <w:keepLines w:val="0"/>
              <w:suppressLineNumbers w:val="0"/>
              <w:autoSpaceDE w:val="0"/>
              <w:autoSpaceDN w:val="0"/>
              <w:spacing w:before="0" w:beforeAutospacing="0" w:after="0" w:afterAutospacing="0" w:line="360" w:lineRule="auto"/>
              <w:ind w:left="0" w:right="0" w:firstLine="482" w:firstLineChars="200"/>
              <w:jc w:val="both"/>
              <w:rPr>
                <w:rFonts w:hint="default" w:ascii="Times New Roman" w:hAnsi="Times New Roman" w:eastAsia="宋体" w:cs="Times New Roman"/>
                <w:b/>
                <w:bCs w:val="0"/>
                <w:color w:val="auto"/>
                <w:sz w:val="24"/>
                <w:highlight w:val="none"/>
                <w:lang w:val="en-US" w:eastAsia="zh-CN"/>
              </w:rPr>
            </w:pPr>
            <w:r>
              <w:rPr>
                <w:rFonts w:hint="eastAsia" w:ascii="Times New Roman" w:hAnsi="Times New Roman" w:cs="Times New Roman"/>
                <w:b/>
                <w:bCs w:val="0"/>
                <w:color w:val="auto"/>
                <w:sz w:val="24"/>
                <w:highlight w:val="none"/>
                <w:lang w:val="en-US" w:eastAsia="zh-CN"/>
              </w:rPr>
              <w:t>1）小呼吸</w:t>
            </w:r>
          </w:p>
          <w:p w14:paraId="683EF5E3">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ascii="Times New Roman" w:hAnsi="Times New Roman" w:cs="Times New Roman"/>
                <w:bCs/>
                <w:color w:val="auto"/>
                <w:sz w:val="24"/>
                <w:highlight w:val="none"/>
              </w:rPr>
            </w:pPr>
            <w:r>
              <w:rPr>
                <w:rFonts w:hint="eastAsia" w:ascii="Times New Roman" w:hAnsi="Times New Roman" w:cs="Times New Roman"/>
                <w:bCs/>
                <w:color w:val="auto"/>
                <w:sz w:val="24"/>
                <w:highlight w:val="none"/>
              </w:rPr>
              <w:t>小呼吸损耗：</w:t>
            </w:r>
          </w:p>
          <w:p w14:paraId="79C34831">
            <w:pPr>
              <w:pStyle w:val="82"/>
              <w:keepNext w:val="0"/>
              <w:keepLines w:val="0"/>
              <w:suppressLineNumbers w:val="0"/>
              <w:autoSpaceDE w:val="0"/>
              <w:autoSpaceDN w:val="0"/>
              <w:spacing w:before="0" w:beforeAutospacing="0" w:after="0" w:afterAutospacing="0" w:line="360" w:lineRule="auto"/>
              <w:ind w:left="0" w:right="0"/>
              <w:rPr>
                <w:rFonts w:hint="default" w:ascii="Times New Roman" w:hAnsi="Times New Roman" w:cs="Times New Roman"/>
                <w:color w:val="auto"/>
                <w:kern w:val="0"/>
                <w:sz w:val="24"/>
                <w:highlight w:val="none"/>
                <w:lang w:val="en-US" w:eastAsia="zh-CN" w:bidi="ar"/>
              </w:rPr>
            </w:pPr>
            <w:r>
              <w:rPr>
                <w:rFonts w:hint="default" w:ascii="Times New Roman" w:hAnsi="Times New Roman" w:cs="Times New Roman"/>
                <w:color w:val="auto"/>
                <w:sz w:val="24"/>
                <w:szCs w:val="24"/>
                <w:highlight w:val="none"/>
                <w:lang w:val="en-US" w:eastAsia="zh-CN"/>
              </w:rPr>
              <w:t>L</w:t>
            </w:r>
            <w:r>
              <w:rPr>
                <w:rFonts w:hint="eastAsia" w:ascii="Times New Roman" w:hAnsi="Times New Roman" w:cs="Times New Roman"/>
                <w:color w:val="auto"/>
                <w:sz w:val="24"/>
                <w:szCs w:val="24"/>
                <w:highlight w:val="none"/>
                <w:vertAlign w:val="subscript"/>
                <w:lang w:val="en-US" w:eastAsia="zh-CN"/>
              </w:rPr>
              <w:t>B</w:t>
            </w:r>
            <w:r>
              <w:rPr>
                <w:rFonts w:hint="default" w:ascii="Times New Roman" w:hAnsi="Times New Roman"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0.191</w:t>
            </w:r>
            <w:r>
              <w:rPr>
                <w:rFonts w:hint="default" w:ascii="Times New Roman" w:hAnsi="Times New Roman" w:cs="Times New Roman"/>
                <w:color w:val="auto"/>
                <w:kern w:val="0"/>
                <w:sz w:val="24"/>
                <w:highlight w:val="none"/>
                <w:lang w:val="en-US" w:eastAsia="zh-CN" w:bidi="ar"/>
              </w:rPr>
              <w:t>×M×</w:t>
            </w:r>
            <w:r>
              <w:rPr>
                <w:rFonts w:hint="eastAsia" w:ascii="Times New Roman" w:hAnsi="Times New Roman" w:cs="Times New Roman"/>
                <w:color w:val="auto"/>
                <w:kern w:val="0"/>
                <w:sz w:val="24"/>
                <w:highlight w:val="none"/>
                <w:lang w:val="en-US" w:eastAsia="zh-CN" w:bidi="ar"/>
              </w:rPr>
              <w:t>[P/（100910-P）]</w:t>
            </w:r>
            <w:r>
              <w:rPr>
                <w:rFonts w:hint="default" w:ascii="Times New Roman" w:hAnsi="Times New Roman" w:cs="Times New Roman"/>
                <w:color w:val="auto"/>
                <w:kern w:val="0"/>
                <w:sz w:val="24"/>
                <w:highlight w:val="none"/>
                <w:lang w:val="en-US" w:eastAsia="zh-CN" w:bidi="ar"/>
              </w:rPr>
              <w:t>×</w:t>
            </w:r>
            <w:r>
              <w:rPr>
                <w:rFonts w:hint="eastAsia" w:ascii="Times New Roman" w:hAnsi="Times New Roman" w:cs="Times New Roman"/>
                <w:color w:val="auto"/>
                <w:kern w:val="0"/>
                <w:sz w:val="24"/>
                <w:highlight w:val="none"/>
                <w:lang w:val="en-US" w:eastAsia="zh-CN" w:bidi="ar"/>
              </w:rPr>
              <w:t>D</w:t>
            </w:r>
            <w:r>
              <w:rPr>
                <w:rFonts w:hint="eastAsia" w:ascii="Times New Roman" w:hAnsi="Times New Roman" w:cs="Times New Roman"/>
                <w:color w:val="auto"/>
                <w:kern w:val="0"/>
                <w:sz w:val="24"/>
                <w:highlight w:val="none"/>
                <w:vertAlign w:val="superscript"/>
                <w:lang w:val="en-US" w:eastAsia="zh-CN" w:bidi="ar"/>
              </w:rPr>
              <w:t>1.73</w:t>
            </w:r>
            <w:r>
              <w:rPr>
                <w:rFonts w:hint="default" w:ascii="Times New Roman" w:hAnsi="Times New Roman" w:cs="Times New Roman"/>
                <w:color w:val="auto"/>
                <w:kern w:val="0"/>
                <w:sz w:val="24"/>
                <w:highlight w:val="none"/>
                <w:lang w:val="en-US" w:eastAsia="zh-CN" w:bidi="ar"/>
              </w:rPr>
              <w:t>×</w:t>
            </w:r>
            <w:r>
              <w:rPr>
                <w:rFonts w:hint="eastAsia" w:ascii="Times New Roman" w:hAnsi="Times New Roman" w:cs="Times New Roman"/>
                <w:color w:val="auto"/>
                <w:kern w:val="0"/>
                <w:sz w:val="24"/>
                <w:highlight w:val="none"/>
                <w:lang w:val="en-US" w:eastAsia="zh-CN" w:bidi="ar"/>
              </w:rPr>
              <w:t>H</w:t>
            </w:r>
            <w:r>
              <w:rPr>
                <w:rFonts w:hint="eastAsia" w:ascii="Times New Roman" w:hAnsi="Times New Roman" w:cs="Times New Roman"/>
                <w:color w:val="auto"/>
                <w:kern w:val="0"/>
                <w:sz w:val="24"/>
                <w:highlight w:val="none"/>
                <w:vertAlign w:val="superscript"/>
                <w:lang w:val="en-US" w:eastAsia="zh-CN" w:bidi="ar"/>
              </w:rPr>
              <w:t>0.51</w:t>
            </w:r>
            <w:r>
              <w:rPr>
                <w:rFonts w:hint="default" w:ascii="Times New Roman" w:hAnsi="Times New Roman" w:cs="Times New Roman"/>
                <w:color w:val="auto"/>
                <w:kern w:val="0"/>
                <w:sz w:val="24"/>
                <w:highlight w:val="none"/>
                <w:lang w:val="en-US" w:eastAsia="zh-CN" w:bidi="ar"/>
              </w:rPr>
              <w:t>×△</w:t>
            </w:r>
            <w:r>
              <w:rPr>
                <w:rFonts w:hint="eastAsia" w:ascii="Times New Roman" w:hAnsi="Times New Roman" w:cs="Times New Roman"/>
                <w:color w:val="auto"/>
                <w:kern w:val="0"/>
                <w:sz w:val="24"/>
                <w:highlight w:val="none"/>
                <w:lang w:val="en-US" w:eastAsia="zh-CN" w:bidi="ar"/>
              </w:rPr>
              <w:t>T</w:t>
            </w:r>
            <w:r>
              <w:rPr>
                <w:rFonts w:hint="eastAsia" w:ascii="Times New Roman" w:hAnsi="Times New Roman" w:cs="Times New Roman"/>
                <w:color w:val="auto"/>
                <w:kern w:val="0"/>
                <w:sz w:val="24"/>
                <w:highlight w:val="none"/>
                <w:vertAlign w:val="superscript"/>
                <w:lang w:val="en-US" w:eastAsia="zh-CN" w:bidi="ar"/>
              </w:rPr>
              <w:t>0.45</w:t>
            </w:r>
            <w:r>
              <w:rPr>
                <w:rFonts w:hint="default" w:ascii="Times New Roman" w:hAnsi="Times New Roman" w:cs="Times New Roman"/>
                <w:color w:val="auto"/>
                <w:kern w:val="0"/>
                <w:sz w:val="24"/>
                <w:highlight w:val="none"/>
                <w:lang w:val="en-US" w:eastAsia="zh-CN" w:bidi="ar"/>
              </w:rPr>
              <w:t>×</w:t>
            </w:r>
            <w:r>
              <w:rPr>
                <w:rFonts w:hint="eastAsia" w:ascii="Times New Roman" w:hAnsi="Times New Roman" w:cs="Times New Roman"/>
                <w:color w:val="auto"/>
                <w:kern w:val="0"/>
                <w:sz w:val="24"/>
                <w:highlight w:val="none"/>
                <w:lang w:val="en-US" w:eastAsia="zh-CN" w:bidi="ar"/>
              </w:rPr>
              <w:t>FP</w:t>
            </w:r>
            <w:r>
              <w:rPr>
                <w:rFonts w:hint="default" w:ascii="Times New Roman" w:hAnsi="Times New Roman" w:cs="Times New Roman"/>
                <w:color w:val="auto"/>
                <w:kern w:val="0"/>
                <w:sz w:val="24"/>
                <w:highlight w:val="none"/>
                <w:lang w:val="en-US" w:eastAsia="zh-CN" w:bidi="ar"/>
              </w:rPr>
              <w:t>×</w:t>
            </w:r>
            <w:r>
              <w:rPr>
                <w:rFonts w:hint="eastAsia" w:ascii="Times New Roman" w:hAnsi="Times New Roman" w:cs="Times New Roman"/>
                <w:color w:val="auto"/>
                <w:kern w:val="0"/>
                <w:sz w:val="24"/>
                <w:highlight w:val="none"/>
                <w:lang w:val="en-US" w:eastAsia="zh-CN" w:bidi="ar"/>
              </w:rPr>
              <w:t>C</w:t>
            </w:r>
            <w:r>
              <w:rPr>
                <w:rFonts w:hint="default" w:ascii="Times New Roman" w:hAnsi="Times New Roman" w:cs="Times New Roman"/>
                <w:color w:val="auto"/>
                <w:kern w:val="0"/>
                <w:sz w:val="24"/>
                <w:highlight w:val="none"/>
                <w:lang w:val="en-US" w:eastAsia="zh-CN" w:bidi="ar"/>
              </w:rPr>
              <w:t>×</w:t>
            </w:r>
            <w:r>
              <w:rPr>
                <w:rFonts w:hint="eastAsia" w:ascii="Times New Roman" w:hAnsi="Times New Roman" w:cs="Times New Roman"/>
                <w:color w:val="auto"/>
                <w:kern w:val="0"/>
                <w:sz w:val="24"/>
                <w:highlight w:val="none"/>
                <w:lang w:val="en-US" w:eastAsia="zh-CN" w:bidi="ar"/>
              </w:rPr>
              <w:t>KC</w:t>
            </w:r>
          </w:p>
          <w:p w14:paraId="526BE359">
            <w:pPr>
              <w:pStyle w:val="82"/>
              <w:keepNext w:val="0"/>
              <w:keepLines w:val="0"/>
              <w:suppressLineNumbers w:val="0"/>
              <w:autoSpaceDE w:val="0"/>
              <w:autoSpaceDN w:val="0"/>
              <w:spacing w:before="0" w:beforeAutospacing="0" w:after="0" w:afterAutospacing="0" w:line="360" w:lineRule="auto"/>
              <w:ind w:left="0" w:right="0"/>
              <w:rPr>
                <w:rFonts w:ascii="Times New Roman" w:hAnsi="Times New Roman" w:cs="Times New Roman"/>
                <w:bCs/>
                <w:color w:val="auto"/>
                <w:sz w:val="24"/>
                <w:highlight w:val="none"/>
              </w:rPr>
            </w:pPr>
          </w:p>
          <w:p w14:paraId="69C37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eastAsia="zh-CN" w:bidi="ar"/>
              </w:rPr>
            </w:pPr>
            <w:r>
              <w:rPr>
                <w:rFonts w:hint="default" w:ascii="Times New Roman" w:hAnsi="Times New Roman" w:cs="Times New Roman"/>
                <w:color w:val="auto"/>
                <w:kern w:val="0"/>
                <w:sz w:val="24"/>
                <w:highlight w:val="none"/>
                <w:lang w:bidi="ar"/>
              </w:rPr>
              <w:t>式中：LB一固定顶罐的呼吸排放量(kg/a)</w:t>
            </w:r>
            <w:r>
              <w:rPr>
                <w:rFonts w:hint="default" w:ascii="Times New Roman" w:hAnsi="Times New Roman" w:cs="Times New Roman"/>
                <w:color w:val="auto"/>
                <w:kern w:val="0"/>
                <w:sz w:val="24"/>
                <w:highlight w:val="none"/>
                <w:lang w:val="en-US" w:eastAsia="zh-CN" w:bidi="ar"/>
              </w:rPr>
              <w:t>；</w:t>
            </w:r>
          </w:p>
          <w:p w14:paraId="024102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eastAsia="zh-CN" w:bidi="ar"/>
              </w:rPr>
            </w:pPr>
            <w:r>
              <w:rPr>
                <w:rFonts w:hint="default" w:ascii="Times New Roman" w:hAnsi="Times New Roman" w:cs="Times New Roman"/>
                <w:color w:val="auto"/>
                <w:kern w:val="0"/>
                <w:sz w:val="24"/>
                <w:highlight w:val="none"/>
                <w:lang w:bidi="ar"/>
              </w:rPr>
              <w:t>M一储罐内蒸气的分子量</w:t>
            </w:r>
            <w:r>
              <w:rPr>
                <w:rFonts w:hint="default" w:ascii="Times New Roman" w:hAnsi="Times New Roman" w:cs="Times New Roman"/>
                <w:color w:val="auto"/>
                <w:kern w:val="0"/>
                <w:sz w:val="24"/>
                <w:highlight w:val="none"/>
                <w:lang w:val="en-US" w:eastAsia="zh-CN" w:bidi="ar"/>
              </w:rPr>
              <w:t>；</w:t>
            </w:r>
          </w:p>
          <w:p w14:paraId="5870C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eastAsia="zh-CN" w:bidi="ar"/>
              </w:rPr>
            </w:pPr>
            <w:r>
              <w:rPr>
                <w:rFonts w:hint="default" w:ascii="Times New Roman" w:hAnsi="Times New Roman" w:cs="Times New Roman"/>
                <w:color w:val="auto"/>
                <w:kern w:val="0"/>
                <w:sz w:val="24"/>
                <w:highlight w:val="none"/>
                <w:lang w:bidi="ar"/>
              </w:rPr>
              <w:t>P一在大量液体状态下，真实的蒸气压力(Pa)</w:t>
            </w:r>
            <w:r>
              <w:rPr>
                <w:rFonts w:hint="default" w:ascii="Times New Roman" w:hAnsi="Times New Roman" w:cs="Times New Roman"/>
                <w:color w:val="auto"/>
                <w:kern w:val="0"/>
                <w:sz w:val="24"/>
                <w:highlight w:val="none"/>
                <w:lang w:val="en-US" w:eastAsia="zh-CN" w:bidi="ar"/>
              </w:rPr>
              <w:t>；</w:t>
            </w:r>
          </w:p>
          <w:p w14:paraId="5EBDD1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eastAsia="zh-CN" w:bidi="ar"/>
              </w:rPr>
            </w:pPr>
            <w:r>
              <w:rPr>
                <w:rFonts w:hint="default" w:ascii="Times New Roman" w:hAnsi="Times New Roman" w:cs="Times New Roman"/>
                <w:color w:val="auto"/>
                <w:kern w:val="0"/>
                <w:sz w:val="24"/>
                <w:highlight w:val="none"/>
                <w:lang w:bidi="ar"/>
              </w:rPr>
              <w:t>D一罐的直径(m)</w:t>
            </w:r>
            <w:r>
              <w:rPr>
                <w:rFonts w:hint="default" w:ascii="Times New Roman" w:hAnsi="Times New Roman" w:cs="Times New Roman"/>
                <w:color w:val="auto"/>
                <w:kern w:val="0"/>
                <w:sz w:val="24"/>
                <w:highlight w:val="none"/>
                <w:lang w:val="en-US" w:eastAsia="zh-CN" w:bidi="ar"/>
              </w:rPr>
              <w:t>；</w:t>
            </w:r>
          </w:p>
          <w:p w14:paraId="2CFBE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eastAsia="zh-CN" w:bidi="ar"/>
              </w:rPr>
            </w:pPr>
            <w:r>
              <w:rPr>
                <w:rFonts w:hint="default" w:ascii="Times New Roman" w:hAnsi="Times New Roman" w:cs="Times New Roman"/>
                <w:color w:val="auto"/>
                <w:kern w:val="0"/>
                <w:sz w:val="24"/>
                <w:highlight w:val="none"/>
                <w:lang w:bidi="ar"/>
              </w:rPr>
              <w:t>H一平均蒸气空间高度(mm)</w:t>
            </w:r>
            <w:r>
              <w:rPr>
                <w:rFonts w:hint="default" w:ascii="Times New Roman" w:hAnsi="Times New Roman" w:cs="Times New Roman"/>
                <w:color w:val="auto"/>
                <w:kern w:val="0"/>
                <w:sz w:val="24"/>
                <w:highlight w:val="none"/>
                <w:lang w:eastAsia="zh-CN" w:bidi="ar"/>
              </w:rPr>
              <w:t>；</w:t>
            </w:r>
          </w:p>
          <w:p w14:paraId="26E9E9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eastAsia="zh-CN" w:bidi="ar"/>
              </w:rPr>
            </w:pPr>
            <w:r>
              <w:rPr>
                <w:rFonts w:hint="default" w:ascii="Times New Roman" w:hAnsi="Times New Roman" w:cs="Times New Roman"/>
                <w:color w:val="auto"/>
                <w:kern w:val="0"/>
                <w:sz w:val="24"/>
                <w:highlight w:val="none"/>
                <w:lang w:bidi="ar"/>
              </w:rPr>
              <w:t>T一一天之内的平均温度差(°C)</w:t>
            </w:r>
            <w:r>
              <w:rPr>
                <w:rFonts w:hint="default" w:ascii="Times New Roman" w:hAnsi="Times New Roman" w:cs="Times New Roman"/>
                <w:color w:val="auto"/>
                <w:kern w:val="0"/>
                <w:sz w:val="24"/>
                <w:highlight w:val="none"/>
                <w:lang w:eastAsia="zh-CN" w:bidi="ar"/>
              </w:rPr>
              <w:t>；</w:t>
            </w:r>
          </w:p>
          <w:p w14:paraId="4E9D9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eastAsia="zh-CN" w:bidi="ar"/>
              </w:rPr>
            </w:pPr>
            <w:r>
              <w:rPr>
                <w:rFonts w:hint="default" w:ascii="Times New Roman" w:hAnsi="Times New Roman" w:cs="Times New Roman"/>
                <w:color w:val="auto"/>
                <w:kern w:val="0"/>
                <w:sz w:val="24"/>
                <w:highlight w:val="none"/>
                <w:lang w:bidi="ar"/>
              </w:rPr>
              <w:t>Fp一涂层因子(无量纲)，根据油漆状况取值在1~1.5之间</w:t>
            </w:r>
            <w:r>
              <w:rPr>
                <w:rFonts w:hint="default" w:ascii="Times New Roman" w:hAnsi="Times New Roman" w:cs="Times New Roman"/>
                <w:color w:val="auto"/>
                <w:kern w:val="0"/>
                <w:sz w:val="24"/>
                <w:highlight w:val="none"/>
                <w:lang w:eastAsia="zh-CN" w:bidi="ar"/>
              </w:rPr>
              <w:t>；</w:t>
            </w:r>
          </w:p>
          <w:p w14:paraId="781C2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highlight w:val="none"/>
                <w:lang w:eastAsia="zh-CN" w:bidi="ar"/>
              </w:rPr>
            </w:pPr>
            <w:r>
              <w:rPr>
                <w:rFonts w:hint="default" w:ascii="Times New Roman" w:hAnsi="Times New Roman" w:cs="Times New Roman"/>
                <w:color w:val="auto"/>
                <w:kern w:val="0"/>
                <w:sz w:val="24"/>
                <w:highlight w:val="none"/>
                <w:lang w:bidi="ar"/>
              </w:rPr>
              <w:t>C-用于小直径罐的调节因子(无量纲)</w:t>
            </w:r>
            <w:r>
              <w:rPr>
                <w:rFonts w:hint="eastAsia" w:ascii="Times New Roman" w:hAnsi="Times New Roman" w:cs="Times New Roman"/>
                <w:color w:val="auto"/>
                <w:kern w:val="0"/>
                <w:sz w:val="24"/>
                <w:highlight w:val="none"/>
                <w:lang w:eastAsia="zh-CN" w:bidi="ar"/>
              </w:rPr>
              <w:t>；</w:t>
            </w:r>
            <w:r>
              <w:rPr>
                <w:rFonts w:hint="default" w:ascii="Times New Roman" w:hAnsi="Times New Roman" w:cs="Times New Roman"/>
                <w:color w:val="auto"/>
                <w:kern w:val="0"/>
                <w:sz w:val="24"/>
                <w:highlight w:val="none"/>
                <w:lang w:bidi="ar"/>
              </w:rPr>
              <w:t>直径在0~9m之间的罐体</w:t>
            </w:r>
            <w:r>
              <w:rPr>
                <w:rFonts w:hint="eastAsia" w:ascii="Times New Roman" w:hAnsi="Times New Roman" w:cs="Times New Roman"/>
                <w:color w:val="auto"/>
                <w:kern w:val="0"/>
                <w:sz w:val="24"/>
                <w:highlight w:val="none"/>
                <w:lang w:eastAsia="zh-CN" w:bidi="ar"/>
              </w:rPr>
              <w:t>，</w:t>
            </w:r>
            <w:r>
              <w:rPr>
                <w:rFonts w:hint="default" w:ascii="Times New Roman" w:hAnsi="Times New Roman" w:cs="Times New Roman"/>
                <w:color w:val="auto"/>
                <w:kern w:val="0"/>
                <w:sz w:val="24"/>
                <w:highlight w:val="none"/>
                <w:lang w:bidi="ar"/>
              </w:rPr>
              <w:t>C=1-0.0123(D-9)，罐径大于9m的C=1</w:t>
            </w:r>
            <w:r>
              <w:rPr>
                <w:rFonts w:hint="default" w:ascii="Times New Roman" w:hAnsi="Times New Roman" w:cs="Times New Roman"/>
                <w:color w:val="auto"/>
                <w:kern w:val="0"/>
                <w:sz w:val="24"/>
                <w:highlight w:val="none"/>
                <w:lang w:eastAsia="zh-CN" w:bidi="ar"/>
              </w:rPr>
              <w:t>；</w:t>
            </w:r>
          </w:p>
          <w:p w14:paraId="2F640D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cs="Times New Roman"/>
                <w:color w:val="auto"/>
                <w:kern w:val="0"/>
                <w:sz w:val="24"/>
                <w:highlight w:val="none"/>
                <w:lang w:bidi="ar"/>
              </w:rPr>
            </w:pPr>
            <w:r>
              <w:rPr>
                <w:rFonts w:hint="default" w:ascii="Times New Roman" w:hAnsi="Times New Roman" w:cs="Times New Roman"/>
                <w:color w:val="auto"/>
                <w:kern w:val="0"/>
                <w:sz w:val="24"/>
                <w:highlight w:val="none"/>
                <w:lang w:bidi="ar"/>
              </w:rPr>
              <w:t>KC一产品因子(石油原油KC取0.65，其他的有机液体取1.0)</w:t>
            </w:r>
          </w:p>
          <w:p w14:paraId="450059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default" w:eastAsia="宋体"/>
                <w:b/>
                <w:bCs/>
                <w:color w:val="auto"/>
                <w:sz w:val="24"/>
                <w:highlight w:val="none"/>
                <w:lang w:val="en-US" w:eastAsia="zh-CN"/>
              </w:rPr>
            </w:pPr>
            <w:r>
              <w:rPr>
                <w:rFonts w:hint="eastAsia"/>
                <w:b/>
                <w:bCs/>
                <w:color w:val="auto"/>
                <w:sz w:val="24"/>
                <w:highlight w:val="none"/>
                <w:lang w:val="en-US" w:eastAsia="zh-CN"/>
              </w:rPr>
              <w:t>2）大呼吸</w:t>
            </w:r>
          </w:p>
          <w:p w14:paraId="29EF9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auto"/>
                <w:szCs w:val="21"/>
                <w:highlight w:val="none"/>
              </w:rPr>
            </w:pPr>
            <w:r>
              <w:rPr>
                <w:rFonts w:hint="eastAsia"/>
                <w:color w:val="auto"/>
                <w:sz w:val="24"/>
                <w:highlight w:val="none"/>
              </w:rPr>
              <w:t>大</w:t>
            </w:r>
            <w:r>
              <w:rPr>
                <w:color w:val="auto"/>
                <w:sz w:val="24"/>
                <w:highlight w:val="none"/>
              </w:rPr>
              <w:t>呼吸损耗</w:t>
            </w:r>
            <w:r>
              <w:rPr>
                <w:color w:val="auto"/>
                <w:szCs w:val="21"/>
                <w:highlight w:val="none"/>
              </w:rPr>
              <w:t>：</w:t>
            </w:r>
          </w:p>
          <w:p w14:paraId="61010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kern w:val="0"/>
                <w:sz w:val="24"/>
                <w:highlight w:val="none"/>
                <w:lang w:bidi="ar"/>
              </w:rPr>
              <w:t>Lw＝</w:t>
            </w:r>
            <w:r>
              <w:rPr>
                <w:rFonts w:hint="default" w:ascii="Times New Roman" w:hAnsi="Times New Roman" w:cs="Times New Roman"/>
                <w:color w:val="auto"/>
                <w:kern w:val="0"/>
                <w:sz w:val="24"/>
                <w:highlight w:val="none"/>
                <w:lang w:val="en-US" w:eastAsia="zh-CN" w:bidi="ar"/>
              </w:rPr>
              <w:t>4.188×10</w:t>
            </w:r>
            <w:r>
              <w:rPr>
                <w:rFonts w:hint="default" w:ascii="Times New Roman" w:hAnsi="Times New Roman" w:cs="Times New Roman"/>
                <w:color w:val="auto"/>
                <w:kern w:val="0"/>
                <w:sz w:val="24"/>
                <w:highlight w:val="none"/>
                <w:vertAlign w:val="superscript"/>
                <w:lang w:val="en-US" w:eastAsia="zh-CN" w:bidi="ar"/>
              </w:rPr>
              <w:t>-7</w:t>
            </w:r>
            <w:r>
              <w:rPr>
                <w:rFonts w:hint="default" w:ascii="Times New Roman" w:hAnsi="Times New Roman" w:cs="Times New Roman"/>
                <w:color w:val="auto"/>
                <w:kern w:val="0"/>
                <w:sz w:val="24"/>
                <w:highlight w:val="none"/>
                <w:lang w:val="en-US" w:eastAsia="zh-CN" w:bidi="ar"/>
              </w:rPr>
              <w:t>×M×P×</w:t>
            </w:r>
            <w:r>
              <w:rPr>
                <w:rFonts w:hint="default" w:ascii="Times New Roman" w:hAnsi="Times New Roman" w:cs="Times New Roman"/>
                <w:color w:val="auto"/>
                <w:kern w:val="0"/>
                <w:sz w:val="24"/>
                <w:highlight w:val="none"/>
                <w:lang w:bidi="ar"/>
              </w:rPr>
              <w:t>K</w:t>
            </w:r>
            <w:r>
              <w:rPr>
                <w:rFonts w:hint="default" w:ascii="Times New Roman" w:hAnsi="Times New Roman" w:cs="Times New Roman"/>
                <w:color w:val="auto"/>
                <w:kern w:val="0"/>
                <w:sz w:val="24"/>
                <w:highlight w:val="none"/>
                <w:vertAlign w:val="subscript"/>
                <w:lang w:bidi="ar"/>
              </w:rPr>
              <w:t>N</w:t>
            </w:r>
            <w:r>
              <w:rPr>
                <w:rFonts w:hint="default" w:ascii="Times New Roman" w:hAnsi="Times New Roman" w:cs="Times New Roman"/>
                <w:color w:val="auto"/>
                <w:kern w:val="0"/>
                <w:sz w:val="24"/>
                <w:highlight w:val="none"/>
                <w:lang w:val="en-US" w:eastAsia="zh-CN" w:bidi="ar"/>
              </w:rPr>
              <w:t>×</w:t>
            </w:r>
            <w:r>
              <w:rPr>
                <w:rFonts w:hint="default" w:ascii="Times New Roman" w:hAnsi="Times New Roman" w:cs="Times New Roman"/>
                <w:color w:val="auto"/>
                <w:kern w:val="0"/>
                <w:sz w:val="24"/>
                <w:highlight w:val="none"/>
                <w:lang w:bidi="ar"/>
              </w:rPr>
              <w:t>K</w:t>
            </w:r>
            <w:r>
              <w:rPr>
                <w:rFonts w:hint="default" w:ascii="Times New Roman" w:hAnsi="Times New Roman" w:cs="Times New Roman"/>
                <w:color w:val="auto"/>
                <w:kern w:val="0"/>
                <w:sz w:val="24"/>
                <w:highlight w:val="none"/>
                <w:lang w:val="en-US" w:eastAsia="zh-CN" w:bidi="ar"/>
              </w:rPr>
              <w:t>c</w:t>
            </w:r>
          </w:p>
          <w:p w14:paraId="628ECB8A">
            <w:pPr>
              <w:pStyle w:val="5"/>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b w:val="0"/>
                <w:bCs w:val="0"/>
                <w:color w:val="auto"/>
                <w:kern w:val="0"/>
                <w:sz w:val="24"/>
                <w:szCs w:val="24"/>
                <w:highlight w:val="none"/>
                <w:lang w:eastAsia="zh-CN" w:bidi="ar"/>
              </w:rPr>
            </w:pPr>
            <w:r>
              <w:rPr>
                <w:rFonts w:hint="default" w:ascii="Times New Roman" w:hAnsi="Times New Roman" w:cs="Times New Roman"/>
                <w:b w:val="0"/>
                <w:bCs w:val="0"/>
                <w:color w:val="auto"/>
                <w:kern w:val="0"/>
                <w:sz w:val="24"/>
                <w:szCs w:val="24"/>
                <w:highlight w:val="none"/>
                <w:lang w:bidi="ar"/>
              </w:rPr>
              <w:t>式中</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Lw-固定顶罐的工作损失</w:t>
            </w:r>
            <w:r>
              <w:rPr>
                <w:rFonts w:hint="eastAsia" w:ascii="Times New Roman" w:hAnsi="Times New Roman" w:cs="Times New Roman"/>
                <w:b w:val="0"/>
                <w:bCs w:val="0"/>
                <w:color w:val="auto"/>
                <w:kern w:val="0"/>
                <w:sz w:val="24"/>
                <w:szCs w:val="24"/>
                <w:highlight w:val="none"/>
                <w:lang w:eastAsia="zh-CN" w:bidi="ar"/>
              </w:rPr>
              <w:t>（</w:t>
            </w:r>
            <w:r>
              <w:rPr>
                <w:rFonts w:hint="eastAsia" w:cs="Times New Roman"/>
                <w:b w:val="0"/>
                <w:bCs w:val="0"/>
                <w:color w:val="auto"/>
                <w:kern w:val="0"/>
                <w:sz w:val="24"/>
                <w:szCs w:val="24"/>
                <w:highlight w:val="none"/>
                <w:lang w:val="en-US" w:eastAsia="zh-CN" w:bidi="ar"/>
              </w:rPr>
              <w:t>k</w:t>
            </w:r>
            <w:r>
              <w:rPr>
                <w:rFonts w:hint="default" w:ascii="Times New Roman" w:hAnsi="Times New Roman" w:cs="Times New Roman"/>
                <w:b w:val="0"/>
                <w:bCs w:val="0"/>
                <w:color w:val="auto"/>
                <w:kern w:val="0"/>
                <w:sz w:val="24"/>
                <w:szCs w:val="24"/>
                <w:highlight w:val="none"/>
                <w:lang w:bidi="ar"/>
              </w:rPr>
              <w:t>g/m</w:t>
            </w:r>
            <w:r>
              <w:rPr>
                <w:rFonts w:hint="default" w:ascii="Times New Roman" w:hAnsi="Times New Roman" w:cs="Times New Roman"/>
                <w:b w:val="0"/>
                <w:bCs w:val="0"/>
                <w:color w:val="auto"/>
                <w:kern w:val="0"/>
                <w:sz w:val="24"/>
                <w:szCs w:val="24"/>
                <w:highlight w:val="none"/>
                <w:vertAlign w:val="superscript"/>
                <w:lang w:bidi="ar"/>
              </w:rPr>
              <w:t>3</w:t>
            </w:r>
            <w:r>
              <w:rPr>
                <w:rFonts w:hint="default" w:ascii="Times New Roman" w:hAnsi="Times New Roman" w:cs="Times New Roman"/>
                <w:b w:val="0"/>
                <w:bCs w:val="0"/>
                <w:color w:val="auto"/>
                <w:kern w:val="0"/>
                <w:sz w:val="24"/>
                <w:szCs w:val="24"/>
                <w:highlight w:val="none"/>
                <w:lang w:bidi="ar"/>
              </w:rPr>
              <w:t>投入量</w:t>
            </w:r>
            <w:r>
              <w:rPr>
                <w:rFonts w:hint="eastAsia" w:ascii="Times New Roman" w:hAnsi="Times New Roman" w:cs="Times New Roman"/>
                <w:b w:val="0"/>
                <w:bCs w:val="0"/>
                <w:color w:val="auto"/>
                <w:kern w:val="0"/>
                <w:sz w:val="24"/>
                <w:szCs w:val="24"/>
                <w:highlight w:val="none"/>
                <w:lang w:eastAsia="zh-CN" w:bidi="ar"/>
              </w:rPr>
              <w:t>）</w:t>
            </w:r>
          </w:p>
          <w:p w14:paraId="7D47B8D0">
            <w:pPr>
              <w:pStyle w:val="5"/>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highlight w:val="none"/>
                <w:lang w:eastAsia="zh-CN" w:bidi="ar"/>
              </w:rPr>
            </w:pPr>
            <w:r>
              <w:rPr>
                <w:rFonts w:hint="default" w:ascii="Times New Roman" w:hAnsi="Times New Roman" w:cs="Times New Roman"/>
                <w:b w:val="0"/>
                <w:bCs w:val="0"/>
                <w:color w:val="auto"/>
                <w:kern w:val="0"/>
                <w:sz w:val="24"/>
                <w:szCs w:val="24"/>
                <w:highlight w:val="none"/>
                <w:lang w:bidi="ar"/>
              </w:rPr>
              <w:t>M一储罐内蒸气的分子量</w:t>
            </w:r>
            <w:r>
              <w:rPr>
                <w:rFonts w:hint="default" w:ascii="Times New Roman" w:hAnsi="Times New Roman" w:cs="Times New Roman"/>
                <w:b w:val="0"/>
                <w:bCs w:val="0"/>
                <w:color w:val="auto"/>
                <w:kern w:val="0"/>
                <w:sz w:val="24"/>
                <w:szCs w:val="24"/>
                <w:highlight w:val="none"/>
                <w:lang w:eastAsia="zh-CN" w:bidi="ar"/>
              </w:rPr>
              <w:t>；</w:t>
            </w:r>
          </w:p>
          <w:p w14:paraId="4E22671B">
            <w:pPr>
              <w:pStyle w:val="5"/>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highlight w:val="none"/>
                <w:lang w:eastAsia="zh-CN" w:bidi="ar"/>
              </w:rPr>
            </w:pPr>
            <w:r>
              <w:rPr>
                <w:rFonts w:hint="default" w:ascii="Times New Roman" w:hAnsi="Times New Roman" w:cs="Times New Roman"/>
                <w:b w:val="0"/>
                <w:bCs w:val="0"/>
                <w:color w:val="auto"/>
                <w:kern w:val="0"/>
                <w:sz w:val="24"/>
                <w:szCs w:val="24"/>
                <w:highlight w:val="none"/>
                <w:lang w:bidi="ar"/>
              </w:rPr>
              <w:t>P一在大量液体状态下，真实的蒸气压力</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Pa</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eastAsia="zh-CN" w:bidi="ar"/>
              </w:rPr>
              <w:t>；</w:t>
            </w:r>
          </w:p>
          <w:p w14:paraId="151D81B3">
            <w:pPr>
              <w:pStyle w:val="5"/>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cs="Times New Roman"/>
                <w:b w:val="0"/>
                <w:bCs w:val="0"/>
                <w:color w:val="auto"/>
                <w:kern w:val="0"/>
                <w:sz w:val="24"/>
                <w:szCs w:val="24"/>
                <w:highlight w:val="none"/>
                <w:lang w:eastAsia="zh-CN" w:bidi="ar"/>
              </w:rPr>
            </w:pPr>
            <w:r>
              <w:rPr>
                <w:rFonts w:hint="default" w:ascii="Times New Roman" w:hAnsi="Times New Roman" w:cs="Times New Roman"/>
                <w:b w:val="0"/>
                <w:bCs w:val="0"/>
                <w:color w:val="auto"/>
                <w:kern w:val="0"/>
                <w:sz w:val="24"/>
                <w:szCs w:val="24"/>
                <w:highlight w:val="none"/>
                <w:lang w:bidi="ar"/>
              </w:rPr>
              <w:t>K</w:t>
            </w:r>
            <w:r>
              <w:rPr>
                <w:rFonts w:hint="default" w:ascii="Times New Roman" w:hAnsi="Times New Roman" w:cs="Times New Roman"/>
                <w:b w:val="0"/>
                <w:bCs w:val="0"/>
                <w:color w:val="auto"/>
                <w:kern w:val="0"/>
                <w:sz w:val="24"/>
                <w:szCs w:val="24"/>
                <w:highlight w:val="none"/>
                <w:vertAlign w:val="subscript"/>
                <w:lang w:bidi="ar"/>
              </w:rPr>
              <w:t>N</w:t>
            </w:r>
            <w:r>
              <w:rPr>
                <w:rFonts w:hint="default" w:ascii="Times New Roman" w:hAnsi="Times New Roman" w:cs="Times New Roman"/>
                <w:b w:val="0"/>
                <w:bCs w:val="0"/>
                <w:color w:val="auto"/>
                <w:kern w:val="0"/>
                <w:sz w:val="24"/>
                <w:szCs w:val="24"/>
                <w:highlight w:val="none"/>
                <w:lang w:bidi="ar"/>
              </w:rPr>
              <w:t>-周转因子</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无量纲</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，取值按年周转次数</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K</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确定。</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周转次数=年投入量/罐容量，K&lt;=36</w:t>
            </w:r>
            <w:r>
              <w:rPr>
                <w:rFonts w:hint="eastAsia"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K</w:t>
            </w:r>
            <w:r>
              <w:rPr>
                <w:rFonts w:hint="default" w:ascii="Times New Roman" w:hAnsi="Times New Roman" w:cs="Times New Roman"/>
                <w:b w:val="0"/>
                <w:bCs w:val="0"/>
                <w:color w:val="auto"/>
                <w:kern w:val="0"/>
                <w:sz w:val="24"/>
                <w:szCs w:val="24"/>
                <w:highlight w:val="none"/>
                <w:vertAlign w:val="subscript"/>
                <w:lang w:bidi="ar"/>
              </w:rPr>
              <w:t>N</w:t>
            </w:r>
            <w:r>
              <w:rPr>
                <w:rFonts w:hint="default" w:ascii="Times New Roman" w:hAnsi="Times New Roman" w:cs="Times New Roman"/>
                <w:b w:val="0"/>
                <w:bCs w:val="0"/>
                <w:color w:val="auto"/>
                <w:kern w:val="0"/>
                <w:sz w:val="24"/>
                <w:szCs w:val="24"/>
                <w:highlight w:val="none"/>
                <w:lang w:bidi="ar"/>
              </w:rPr>
              <w:t>=1</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36&lt;K&lt;=220</w:t>
            </w:r>
            <w:r>
              <w:rPr>
                <w:rFonts w:hint="eastAsia"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K</w:t>
            </w:r>
            <w:r>
              <w:rPr>
                <w:rFonts w:hint="default" w:ascii="Times New Roman" w:hAnsi="Times New Roman" w:cs="Times New Roman"/>
                <w:b w:val="0"/>
                <w:bCs w:val="0"/>
                <w:color w:val="auto"/>
                <w:kern w:val="0"/>
                <w:sz w:val="24"/>
                <w:szCs w:val="24"/>
                <w:highlight w:val="none"/>
                <w:vertAlign w:val="subscript"/>
                <w:lang w:bidi="ar"/>
              </w:rPr>
              <w:t>N</w:t>
            </w:r>
            <w:r>
              <w:rPr>
                <w:rFonts w:hint="default" w:ascii="Times New Roman" w:hAnsi="Times New Roman" w:cs="Times New Roman"/>
                <w:b w:val="0"/>
                <w:bCs w:val="0"/>
                <w:color w:val="auto"/>
                <w:kern w:val="0"/>
                <w:sz w:val="24"/>
                <w:szCs w:val="24"/>
                <w:highlight w:val="none"/>
                <w:lang w:bidi="ar"/>
              </w:rPr>
              <w:t>=11.467</w:t>
            </w:r>
            <w:r>
              <w:rPr>
                <w:rFonts w:hint="eastAsia" w:cs="Times New Roman"/>
                <w:b w:val="0"/>
                <w:bCs w:val="0"/>
                <w:color w:val="auto"/>
                <w:kern w:val="0"/>
                <w:sz w:val="24"/>
                <w:szCs w:val="24"/>
                <w:highlight w:val="none"/>
                <w:lang w:val="en-US" w:eastAsia="zh-CN" w:bidi="ar"/>
              </w:rPr>
              <w:t>×</w:t>
            </w:r>
            <w:r>
              <w:rPr>
                <w:rFonts w:hint="default" w:ascii="Times New Roman" w:hAnsi="Times New Roman" w:cs="Times New Roman"/>
                <w:b w:val="0"/>
                <w:bCs w:val="0"/>
                <w:color w:val="auto"/>
                <w:kern w:val="0"/>
                <w:sz w:val="24"/>
                <w:szCs w:val="24"/>
                <w:highlight w:val="none"/>
                <w:lang w:bidi="ar"/>
              </w:rPr>
              <w:t>K</w:t>
            </w:r>
            <w:r>
              <w:rPr>
                <w:rFonts w:hint="default" w:ascii="Times New Roman" w:hAnsi="Times New Roman" w:cs="Times New Roman"/>
                <w:b w:val="0"/>
                <w:bCs w:val="0"/>
                <w:color w:val="auto"/>
                <w:kern w:val="0"/>
                <w:sz w:val="24"/>
                <w:szCs w:val="24"/>
                <w:highlight w:val="none"/>
                <w:vertAlign w:val="superscript"/>
                <w:lang w:bidi="ar"/>
              </w:rPr>
              <w:t>-0.7026</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K&gt;220</w:t>
            </w:r>
            <w:r>
              <w:rPr>
                <w:rFonts w:hint="eastAsia"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K</w:t>
            </w:r>
            <w:r>
              <w:rPr>
                <w:rFonts w:hint="default" w:ascii="Times New Roman" w:hAnsi="Times New Roman" w:cs="Times New Roman"/>
                <w:b w:val="0"/>
                <w:bCs w:val="0"/>
                <w:color w:val="auto"/>
                <w:kern w:val="0"/>
                <w:sz w:val="24"/>
                <w:szCs w:val="24"/>
                <w:highlight w:val="none"/>
                <w:vertAlign w:val="subscript"/>
                <w:lang w:bidi="ar"/>
              </w:rPr>
              <w:t>N</w:t>
            </w:r>
            <w:r>
              <w:rPr>
                <w:rFonts w:hint="default" w:ascii="Times New Roman" w:hAnsi="Times New Roman" w:cs="Times New Roman"/>
                <w:b w:val="0"/>
                <w:bCs w:val="0"/>
                <w:color w:val="auto"/>
                <w:kern w:val="0"/>
                <w:sz w:val="24"/>
                <w:szCs w:val="24"/>
                <w:highlight w:val="none"/>
                <w:lang w:bidi="ar"/>
              </w:rPr>
              <w:t>=0.26</w:t>
            </w:r>
            <w:r>
              <w:rPr>
                <w:rFonts w:hint="eastAsia" w:ascii="Times New Roman" w:hAnsi="Times New Roman" w:cs="Times New Roman"/>
                <w:b w:val="0"/>
                <w:bCs w:val="0"/>
                <w:color w:val="auto"/>
                <w:kern w:val="0"/>
                <w:sz w:val="24"/>
                <w:szCs w:val="24"/>
                <w:highlight w:val="none"/>
                <w:lang w:eastAsia="zh-CN" w:bidi="ar"/>
              </w:rPr>
              <w:t>）；</w:t>
            </w:r>
          </w:p>
          <w:p w14:paraId="5B9540FB">
            <w:pPr>
              <w:pStyle w:val="5"/>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val="0"/>
                <w:bCs w:val="0"/>
                <w:color w:val="auto"/>
                <w:kern w:val="0"/>
                <w:sz w:val="24"/>
                <w:szCs w:val="24"/>
                <w:highlight w:val="none"/>
                <w:lang w:eastAsia="zh-CN" w:bidi="ar"/>
              </w:rPr>
            </w:pPr>
            <w:r>
              <w:rPr>
                <w:rFonts w:hint="default" w:ascii="Times New Roman" w:hAnsi="Times New Roman" w:cs="Times New Roman"/>
                <w:b w:val="0"/>
                <w:bCs w:val="0"/>
                <w:color w:val="auto"/>
                <w:kern w:val="0"/>
                <w:sz w:val="24"/>
                <w:szCs w:val="24"/>
                <w:highlight w:val="none"/>
                <w:lang w:bidi="ar"/>
              </w:rPr>
              <w:t>Kc一产品因子</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bidi="ar"/>
              </w:rPr>
              <w:t>其他有机液体KC取0.65</w:t>
            </w:r>
            <w:r>
              <w:rPr>
                <w:rFonts w:hint="eastAsia" w:ascii="Times New Roman" w:hAnsi="Times New Roman" w:cs="Times New Roman"/>
                <w:b w:val="0"/>
                <w:bCs w:val="0"/>
                <w:color w:val="auto"/>
                <w:kern w:val="0"/>
                <w:sz w:val="24"/>
                <w:szCs w:val="24"/>
                <w:highlight w:val="none"/>
                <w:lang w:eastAsia="zh-CN" w:bidi="ar"/>
              </w:rPr>
              <w:t>）</w:t>
            </w:r>
            <w:r>
              <w:rPr>
                <w:rFonts w:hint="default" w:ascii="Times New Roman" w:hAnsi="Times New Roman" w:cs="Times New Roman"/>
                <w:b w:val="0"/>
                <w:bCs w:val="0"/>
                <w:color w:val="auto"/>
                <w:kern w:val="0"/>
                <w:sz w:val="24"/>
                <w:szCs w:val="24"/>
                <w:highlight w:val="none"/>
                <w:lang w:eastAsia="zh-CN" w:bidi="ar"/>
              </w:rPr>
              <w:t>。</w:t>
            </w:r>
          </w:p>
          <w:p w14:paraId="05340B1F">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ascii="Times New Roman" w:hAnsi="Times New Roman" w:cs="Times New Roman"/>
                <w:bCs/>
                <w:color w:val="auto"/>
                <w:sz w:val="24"/>
                <w:highlight w:val="none"/>
              </w:rPr>
            </w:pPr>
            <w:r>
              <w:rPr>
                <w:rFonts w:hint="eastAsia" w:ascii="Times New Roman" w:hAnsi="Times New Roman" w:cs="Times New Roman"/>
                <w:bCs/>
                <w:color w:val="auto"/>
                <w:sz w:val="24"/>
                <w:highlight w:val="none"/>
              </w:rPr>
              <w:t>罐区大小呼吸计算参数</w:t>
            </w:r>
            <w:r>
              <w:rPr>
                <w:rFonts w:hint="eastAsia" w:ascii="Times New Roman" w:hAnsi="Times New Roman" w:cs="Times New Roman"/>
                <w:bCs/>
                <w:color w:val="auto"/>
                <w:sz w:val="24"/>
                <w:highlight w:val="none"/>
                <w:lang w:val="en-US" w:eastAsia="zh-CN"/>
              </w:rPr>
              <w:t>及</w:t>
            </w:r>
            <w:r>
              <w:rPr>
                <w:rFonts w:hint="eastAsia" w:ascii="Times New Roman" w:hAnsi="Times New Roman" w:cs="Times New Roman"/>
                <w:bCs/>
                <w:color w:val="auto"/>
                <w:sz w:val="24"/>
                <w:highlight w:val="none"/>
              </w:rPr>
              <w:t>污染物排放量计算结果分别见</w:t>
            </w:r>
            <w:r>
              <w:rPr>
                <w:rFonts w:hint="eastAsia" w:ascii="Times New Roman" w:hAnsi="Times New Roman" w:cs="Times New Roman"/>
                <w:bCs/>
                <w:color w:val="auto"/>
                <w:sz w:val="24"/>
                <w:highlight w:val="none"/>
                <w:lang w:val="en-US" w:eastAsia="zh-CN"/>
              </w:rPr>
              <w:t>下</w:t>
            </w:r>
            <w:r>
              <w:rPr>
                <w:rFonts w:hint="eastAsia" w:ascii="Times New Roman" w:hAnsi="Times New Roman" w:cs="Times New Roman"/>
                <w:bCs/>
                <w:color w:val="auto"/>
                <w:sz w:val="24"/>
                <w:highlight w:val="none"/>
              </w:rPr>
              <w:t>表。</w:t>
            </w:r>
          </w:p>
          <w:p w14:paraId="389B5291">
            <w:pPr>
              <w:pStyle w:val="8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表4-1  罐区</w:t>
            </w:r>
            <w:r>
              <w:rPr>
                <w:rFonts w:hint="eastAsia" w:ascii="Times New Roman" w:hAnsi="Times New Roman" w:cs="Times New Roman"/>
                <w:bCs/>
                <w:color w:val="auto"/>
                <w:sz w:val="24"/>
                <w:highlight w:val="none"/>
                <w:lang w:val="en-US" w:eastAsia="zh-CN"/>
              </w:rPr>
              <w:t>大</w:t>
            </w:r>
            <w:r>
              <w:rPr>
                <w:rFonts w:hint="eastAsia" w:ascii="Times New Roman" w:hAnsi="Times New Roman" w:eastAsia="宋体" w:cs="Times New Roman"/>
                <w:bCs/>
                <w:color w:val="auto"/>
                <w:sz w:val="24"/>
                <w:highlight w:val="none"/>
                <w:lang w:val="en-US" w:eastAsia="zh-CN"/>
              </w:rPr>
              <w:t>小呼吸计算参数一览表</w:t>
            </w:r>
          </w:p>
          <w:tbl>
            <w:tblPr>
              <w:tblStyle w:val="28"/>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786"/>
              <w:gridCol w:w="624"/>
              <w:gridCol w:w="905"/>
              <w:gridCol w:w="857"/>
              <w:gridCol w:w="857"/>
              <w:gridCol w:w="905"/>
              <w:gridCol w:w="535"/>
              <w:gridCol w:w="471"/>
              <w:gridCol w:w="518"/>
              <w:gridCol w:w="586"/>
              <w:gridCol w:w="524"/>
            </w:tblGrid>
            <w:tr w14:paraId="4422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87" w:type="pct"/>
                  <w:tcBorders>
                    <w:tl2br w:val="nil"/>
                    <w:tr2bl w:val="nil"/>
                  </w:tcBorders>
                  <w:vAlign w:val="center"/>
                </w:tcPr>
                <w:p w14:paraId="39BB684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序号</w:t>
                  </w:r>
                </w:p>
              </w:tc>
              <w:tc>
                <w:tcPr>
                  <w:tcW w:w="489" w:type="pct"/>
                  <w:tcBorders>
                    <w:tl2br w:val="nil"/>
                    <w:tr2bl w:val="nil"/>
                  </w:tcBorders>
                  <w:vAlign w:val="center"/>
                </w:tcPr>
                <w:p w14:paraId="659B6ED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储罐</w:t>
                  </w:r>
                </w:p>
              </w:tc>
              <w:tc>
                <w:tcPr>
                  <w:tcW w:w="388" w:type="pct"/>
                  <w:tcBorders>
                    <w:tl2br w:val="nil"/>
                    <w:tr2bl w:val="nil"/>
                  </w:tcBorders>
                  <w:vAlign w:val="center"/>
                </w:tcPr>
                <w:p w14:paraId="16F6FC4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分子量</w:t>
                  </w:r>
                </w:p>
              </w:tc>
              <w:tc>
                <w:tcPr>
                  <w:tcW w:w="563" w:type="pct"/>
                  <w:tcBorders>
                    <w:tl2br w:val="nil"/>
                    <w:tr2bl w:val="nil"/>
                  </w:tcBorders>
                  <w:vAlign w:val="center"/>
                </w:tcPr>
                <w:p w14:paraId="1C39EE8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蒸气压（Pa）</w:t>
                  </w:r>
                </w:p>
              </w:tc>
              <w:tc>
                <w:tcPr>
                  <w:tcW w:w="533" w:type="pct"/>
                  <w:tcBorders>
                    <w:tl2br w:val="nil"/>
                    <w:tr2bl w:val="nil"/>
                  </w:tcBorders>
                  <w:vAlign w:val="center"/>
                </w:tcPr>
                <w:p w14:paraId="7580F26E">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textAlignment w:val="center"/>
                    <w:rPr>
                      <w:b/>
                      <w:color w:val="auto"/>
                      <w:sz w:val="21"/>
                      <w:szCs w:val="21"/>
                      <w:highlight w:val="none"/>
                    </w:rPr>
                  </w:pPr>
                  <w:r>
                    <w:rPr>
                      <w:rFonts w:hint="eastAsia"/>
                      <w:color w:val="auto"/>
                      <w:sz w:val="21"/>
                      <w:szCs w:val="21"/>
                      <w:highlight w:val="none"/>
                    </w:rPr>
                    <w:t>直径（m）</w:t>
                  </w:r>
                </w:p>
              </w:tc>
              <w:tc>
                <w:tcPr>
                  <w:tcW w:w="533" w:type="pct"/>
                  <w:tcBorders>
                    <w:tl2br w:val="nil"/>
                    <w:tr2bl w:val="nil"/>
                  </w:tcBorders>
                  <w:vAlign w:val="center"/>
                </w:tcPr>
                <w:p w14:paraId="6EE15F0B">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蒸汽空间高度（m）</w:t>
                  </w:r>
                </w:p>
              </w:tc>
              <w:tc>
                <w:tcPr>
                  <w:tcW w:w="563" w:type="pct"/>
                  <w:tcBorders>
                    <w:tl2br w:val="nil"/>
                    <w:tr2bl w:val="nil"/>
                  </w:tcBorders>
                  <w:vAlign w:val="center"/>
                </w:tcPr>
                <w:p w14:paraId="57081737">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平均温差（℃）</w:t>
                  </w:r>
                </w:p>
              </w:tc>
              <w:tc>
                <w:tcPr>
                  <w:tcW w:w="333" w:type="pct"/>
                  <w:tcBorders>
                    <w:tl2br w:val="nil"/>
                    <w:tr2bl w:val="nil"/>
                  </w:tcBorders>
                  <w:vAlign w:val="center"/>
                </w:tcPr>
                <w:p w14:paraId="6C6F7A4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涂层因子</w:t>
                  </w:r>
                </w:p>
              </w:tc>
              <w:tc>
                <w:tcPr>
                  <w:tcW w:w="293" w:type="pct"/>
                  <w:tcBorders>
                    <w:tl2br w:val="nil"/>
                    <w:tr2bl w:val="nil"/>
                  </w:tcBorders>
                  <w:vAlign w:val="center"/>
                </w:tcPr>
                <w:p w14:paraId="0BB4270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调节因子</w:t>
                  </w:r>
                </w:p>
              </w:tc>
              <w:tc>
                <w:tcPr>
                  <w:tcW w:w="322" w:type="pct"/>
                  <w:tcBorders>
                    <w:tl2br w:val="nil"/>
                    <w:tr2bl w:val="nil"/>
                  </w:tcBorders>
                  <w:vAlign w:val="center"/>
                </w:tcPr>
                <w:p w14:paraId="194A1AF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产品因子</w:t>
                  </w:r>
                </w:p>
              </w:tc>
              <w:tc>
                <w:tcPr>
                  <w:tcW w:w="364" w:type="pct"/>
                  <w:tcBorders>
                    <w:tl2br w:val="nil"/>
                    <w:tr2bl w:val="nil"/>
                  </w:tcBorders>
                  <w:vAlign w:val="center"/>
                </w:tcPr>
                <w:p w14:paraId="4AF99DB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ascii="微软雅黑" w:hAnsi="微软雅黑" w:eastAsia="微软雅黑" w:cs="微软雅黑"/>
                      <w:color w:val="auto"/>
                      <w:sz w:val="21"/>
                      <w:szCs w:val="21"/>
                      <w:highlight w:val="none"/>
                    </w:rPr>
                    <w:t>ȵ</w:t>
                  </w:r>
                  <w:r>
                    <w:rPr>
                      <w:rFonts w:hint="eastAsia"/>
                      <w:color w:val="auto"/>
                      <w:sz w:val="21"/>
                      <w:szCs w:val="21"/>
                      <w:highlight w:val="none"/>
                      <w:vertAlign w:val="subscript"/>
                    </w:rPr>
                    <w:t>1</w:t>
                  </w:r>
                </w:p>
              </w:tc>
              <w:tc>
                <w:tcPr>
                  <w:tcW w:w="325" w:type="pct"/>
                  <w:tcBorders>
                    <w:tl2br w:val="nil"/>
                    <w:tr2bl w:val="nil"/>
                  </w:tcBorders>
                  <w:vAlign w:val="center"/>
                </w:tcPr>
                <w:p w14:paraId="65247ED2">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ascii="宋体" w:hAnsi="宋体" w:cs="宋体"/>
                      <w:color w:val="auto"/>
                      <w:sz w:val="21"/>
                      <w:szCs w:val="21"/>
                      <w:highlight w:val="none"/>
                    </w:rPr>
                    <w:t>ȵ</w:t>
                  </w:r>
                  <w:r>
                    <w:rPr>
                      <w:rFonts w:hint="eastAsia" w:ascii="宋体" w:hAnsi="宋体" w:cs="宋体"/>
                      <w:color w:val="auto"/>
                      <w:sz w:val="21"/>
                      <w:szCs w:val="21"/>
                      <w:highlight w:val="none"/>
                      <w:vertAlign w:val="subscript"/>
                    </w:rPr>
                    <w:t>2</w:t>
                  </w:r>
                </w:p>
              </w:tc>
            </w:tr>
            <w:tr w14:paraId="5DB8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87" w:type="pct"/>
                  <w:tcBorders>
                    <w:tl2br w:val="nil"/>
                    <w:tr2bl w:val="nil"/>
                  </w:tcBorders>
                  <w:vAlign w:val="center"/>
                </w:tcPr>
                <w:p w14:paraId="70769CEF">
                  <w:pPr>
                    <w:pStyle w:val="82"/>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right="0"/>
                    <w:rPr>
                      <w:rFonts w:ascii="Times New Roman" w:hAnsi="Times New Roman" w:cs="Times New Roman"/>
                      <w:bCs/>
                      <w:color w:val="auto"/>
                      <w:sz w:val="21"/>
                      <w:szCs w:val="21"/>
                      <w:highlight w:val="none"/>
                    </w:rPr>
                  </w:pPr>
                  <w:r>
                    <w:rPr>
                      <w:rFonts w:hint="eastAsia" w:ascii="Times New Roman" w:hAnsi="Times New Roman" w:cs="Times New Roman"/>
                      <w:bCs/>
                      <w:color w:val="auto"/>
                      <w:sz w:val="21"/>
                      <w:szCs w:val="21"/>
                      <w:highlight w:val="none"/>
                    </w:rPr>
                    <w:t>1</w:t>
                  </w:r>
                </w:p>
              </w:tc>
              <w:tc>
                <w:tcPr>
                  <w:tcW w:w="489" w:type="pct"/>
                  <w:tcBorders>
                    <w:tl2br w:val="nil"/>
                    <w:tr2bl w:val="nil"/>
                  </w:tcBorders>
                  <w:vAlign w:val="center"/>
                </w:tcPr>
                <w:p w14:paraId="116F78C2">
                  <w:pPr>
                    <w:pStyle w:val="82"/>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right="0"/>
                    <w:rPr>
                      <w:rFonts w:hint="eastAsia" w:ascii="Times New Roman" w:hAnsi="Times New Roman" w:eastAsia="宋体" w:cs="Times New Roman"/>
                      <w:b/>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微晶蜡</w:t>
                  </w:r>
                </w:p>
              </w:tc>
              <w:tc>
                <w:tcPr>
                  <w:tcW w:w="388" w:type="pct"/>
                  <w:tcBorders>
                    <w:tl2br w:val="nil"/>
                    <w:tr2bl w:val="nil"/>
                  </w:tcBorders>
                  <w:vAlign w:val="center"/>
                </w:tcPr>
                <w:p w14:paraId="7C786EBC">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rFonts w:hint="default" w:eastAsia="宋体"/>
                      <w:b/>
                      <w:color w:val="auto"/>
                      <w:sz w:val="21"/>
                      <w:szCs w:val="21"/>
                      <w:highlight w:val="none"/>
                      <w:lang w:val="en-US" w:eastAsia="zh-CN"/>
                    </w:rPr>
                  </w:pPr>
                  <w:r>
                    <w:rPr>
                      <w:rFonts w:hint="eastAsia"/>
                      <w:color w:val="auto"/>
                      <w:sz w:val="21"/>
                      <w:szCs w:val="21"/>
                      <w:highlight w:val="none"/>
                      <w:lang w:val="en-US" w:eastAsia="zh-CN"/>
                    </w:rPr>
                    <w:t>450</w:t>
                  </w:r>
                </w:p>
              </w:tc>
              <w:tc>
                <w:tcPr>
                  <w:tcW w:w="563" w:type="pct"/>
                  <w:tcBorders>
                    <w:tl2br w:val="nil"/>
                    <w:tr2bl w:val="nil"/>
                  </w:tcBorders>
                  <w:vAlign w:val="center"/>
                </w:tcPr>
                <w:p w14:paraId="333D0E5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0.536</w:t>
                  </w:r>
                </w:p>
              </w:tc>
              <w:tc>
                <w:tcPr>
                  <w:tcW w:w="533" w:type="pct"/>
                  <w:tcBorders>
                    <w:tl2br w:val="nil"/>
                    <w:tr2bl w:val="nil"/>
                  </w:tcBorders>
                  <w:vAlign w:val="center"/>
                </w:tcPr>
                <w:p w14:paraId="485C1D1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2.4</w:t>
                  </w:r>
                </w:p>
              </w:tc>
              <w:tc>
                <w:tcPr>
                  <w:tcW w:w="533" w:type="pct"/>
                  <w:tcBorders>
                    <w:tl2br w:val="nil"/>
                    <w:tr2bl w:val="nil"/>
                  </w:tcBorders>
                  <w:vAlign w:val="center"/>
                </w:tcPr>
                <w:p w14:paraId="10D59E8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1.25</w:t>
                  </w:r>
                </w:p>
              </w:tc>
              <w:tc>
                <w:tcPr>
                  <w:tcW w:w="563" w:type="pct"/>
                  <w:tcBorders>
                    <w:tl2br w:val="nil"/>
                    <w:tr2bl w:val="nil"/>
                  </w:tcBorders>
                  <w:vAlign w:val="center"/>
                </w:tcPr>
                <w:p w14:paraId="6E2F755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15</w:t>
                  </w:r>
                </w:p>
              </w:tc>
              <w:tc>
                <w:tcPr>
                  <w:tcW w:w="333" w:type="pct"/>
                  <w:tcBorders>
                    <w:tl2br w:val="nil"/>
                    <w:tr2bl w:val="nil"/>
                  </w:tcBorders>
                  <w:vAlign w:val="center"/>
                </w:tcPr>
                <w:p w14:paraId="2DB54B5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12</w:t>
                  </w:r>
                </w:p>
              </w:tc>
              <w:tc>
                <w:tcPr>
                  <w:tcW w:w="293" w:type="pct"/>
                  <w:tcBorders>
                    <w:tl2br w:val="nil"/>
                    <w:tr2bl w:val="nil"/>
                  </w:tcBorders>
                  <w:vAlign w:val="center"/>
                </w:tcPr>
                <w:p w14:paraId="1F18466A">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1</w:t>
                  </w:r>
                </w:p>
              </w:tc>
              <w:tc>
                <w:tcPr>
                  <w:tcW w:w="322" w:type="pct"/>
                  <w:tcBorders>
                    <w:tl2br w:val="nil"/>
                    <w:tr2bl w:val="nil"/>
                  </w:tcBorders>
                  <w:vAlign w:val="center"/>
                </w:tcPr>
                <w:p w14:paraId="01520303">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1</w:t>
                  </w:r>
                </w:p>
              </w:tc>
              <w:tc>
                <w:tcPr>
                  <w:tcW w:w="364" w:type="pct"/>
                  <w:tcBorders>
                    <w:tl2br w:val="nil"/>
                    <w:tr2bl w:val="nil"/>
                  </w:tcBorders>
                  <w:vAlign w:val="center"/>
                </w:tcPr>
                <w:p w14:paraId="424A4DE6">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1</w:t>
                  </w:r>
                </w:p>
              </w:tc>
              <w:tc>
                <w:tcPr>
                  <w:tcW w:w="325" w:type="pct"/>
                  <w:tcBorders>
                    <w:tl2br w:val="nil"/>
                    <w:tr2bl w:val="nil"/>
                  </w:tcBorders>
                  <w:vAlign w:val="center"/>
                </w:tcPr>
                <w:p w14:paraId="379B5928">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center"/>
                    <w:rPr>
                      <w:b/>
                      <w:color w:val="auto"/>
                      <w:sz w:val="21"/>
                      <w:szCs w:val="21"/>
                      <w:highlight w:val="none"/>
                    </w:rPr>
                  </w:pPr>
                  <w:r>
                    <w:rPr>
                      <w:rFonts w:hint="eastAsia"/>
                      <w:color w:val="auto"/>
                      <w:sz w:val="21"/>
                      <w:szCs w:val="21"/>
                      <w:highlight w:val="none"/>
                    </w:rPr>
                    <w:t>1</w:t>
                  </w:r>
                </w:p>
              </w:tc>
            </w:tr>
          </w:tbl>
          <w:p w14:paraId="1978A665">
            <w:pPr>
              <w:pStyle w:val="8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表4-2  罐区大</w:t>
            </w:r>
            <w:r>
              <w:rPr>
                <w:rFonts w:hint="eastAsia" w:ascii="Times New Roman" w:hAnsi="Times New Roman" w:cs="Times New Roman"/>
                <w:bCs/>
                <w:color w:val="auto"/>
                <w:sz w:val="24"/>
                <w:highlight w:val="none"/>
                <w:lang w:val="en-US" w:eastAsia="zh-CN"/>
              </w:rPr>
              <w:t>小</w:t>
            </w:r>
            <w:r>
              <w:rPr>
                <w:rFonts w:hint="eastAsia" w:ascii="Times New Roman" w:hAnsi="Times New Roman" w:eastAsia="宋体" w:cs="Times New Roman"/>
                <w:bCs/>
                <w:color w:val="auto"/>
                <w:sz w:val="24"/>
                <w:highlight w:val="none"/>
                <w:lang w:val="en-US" w:eastAsia="zh-CN"/>
              </w:rPr>
              <w:t>呼吸计算参数一览表</w:t>
            </w:r>
          </w:p>
          <w:tbl>
            <w:tblPr>
              <w:tblStyle w:val="28"/>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659"/>
              <w:gridCol w:w="858"/>
              <w:gridCol w:w="1133"/>
              <w:gridCol w:w="678"/>
              <w:gridCol w:w="1226"/>
              <w:gridCol w:w="835"/>
              <w:gridCol w:w="1092"/>
            </w:tblGrid>
            <w:tr w14:paraId="552D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341" w:type="pct"/>
                  <w:tcBorders>
                    <w:tl2br w:val="nil"/>
                    <w:tr2bl w:val="nil"/>
                  </w:tcBorders>
                  <w:vAlign w:val="center"/>
                </w:tcPr>
                <w:p w14:paraId="449433E7">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kern w:val="0"/>
                      <w:sz w:val="21"/>
                      <w:szCs w:val="21"/>
                      <w:highlight w:val="none"/>
                    </w:rPr>
                    <w:t>序号</w:t>
                  </w:r>
                </w:p>
              </w:tc>
              <w:tc>
                <w:tcPr>
                  <w:tcW w:w="1032" w:type="pct"/>
                  <w:tcBorders>
                    <w:tl2br w:val="nil"/>
                    <w:tr2bl w:val="nil"/>
                  </w:tcBorders>
                  <w:vAlign w:val="center"/>
                </w:tcPr>
                <w:p w14:paraId="0497FC23">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储罐</w:t>
                  </w:r>
                </w:p>
              </w:tc>
              <w:tc>
                <w:tcPr>
                  <w:tcW w:w="534" w:type="pct"/>
                  <w:tcBorders>
                    <w:tl2br w:val="nil"/>
                    <w:tr2bl w:val="nil"/>
                  </w:tcBorders>
                  <w:vAlign w:val="center"/>
                </w:tcPr>
                <w:p w14:paraId="55B08EAC">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高度（m）</w:t>
                  </w:r>
                </w:p>
              </w:tc>
              <w:tc>
                <w:tcPr>
                  <w:tcW w:w="705" w:type="pct"/>
                  <w:tcBorders>
                    <w:tl2br w:val="nil"/>
                    <w:tr2bl w:val="nil"/>
                  </w:tcBorders>
                  <w:vAlign w:val="center"/>
                </w:tcPr>
                <w:p w14:paraId="715E5305">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有效容积（m</w:t>
                  </w:r>
                  <w:r>
                    <w:rPr>
                      <w:rFonts w:hint="eastAsia"/>
                      <w:color w:val="auto"/>
                      <w:sz w:val="21"/>
                      <w:szCs w:val="21"/>
                      <w:highlight w:val="none"/>
                      <w:vertAlign w:val="superscript"/>
                    </w:rPr>
                    <w:t>3</w:t>
                  </w:r>
                  <w:r>
                    <w:rPr>
                      <w:rFonts w:hint="eastAsia"/>
                      <w:color w:val="auto"/>
                      <w:sz w:val="21"/>
                      <w:szCs w:val="21"/>
                      <w:highlight w:val="none"/>
                    </w:rPr>
                    <w:t>）</w:t>
                  </w:r>
                </w:p>
              </w:tc>
              <w:tc>
                <w:tcPr>
                  <w:tcW w:w="422" w:type="pct"/>
                  <w:tcBorders>
                    <w:tl2br w:val="nil"/>
                    <w:tr2bl w:val="nil"/>
                  </w:tcBorders>
                  <w:vAlign w:val="center"/>
                </w:tcPr>
                <w:p w14:paraId="4AA3CE4B">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周转次数</w:t>
                  </w:r>
                </w:p>
              </w:tc>
              <w:tc>
                <w:tcPr>
                  <w:tcW w:w="763" w:type="pct"/>
                  <w:tcBorders>
                    <w:tl2br w:val="nil"/>
                    <w:tr2bl w:val="nil"/>
                  </w:tcBorders>
                  <w:vAlign w:val="center"/>
                </w:tcPr>
                <w:p w14:paraId="092DE73F">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密度（t/m</w:t>
                  </w:r>
                  <w:r>
                    <w:rPr>
                      <w:rFonts w:hint="eastAsia"/>
                      <w:color w:val="auto"/>
                      <w:sz w:val="21"/>
                      <w:szCs w:val="21"/>
                      <w:highlight w:val="none"/>
                      <w:vertAlign w:val="superscript"/>
                    </w:rPr>
                    <w:t>3</w:t>
                  </w:r>
                  <w:r>
                    <w:rPr>
                      <w:rFonts w:hint="eastAsia"/>
                      <w:color w:val="auto"/>
                      <w:sz w:val="21"/>
                      <w:szCs w:val="21"/>
                      <w:highlight w:val="none"/>
                    </w:rPr>
                    <w:t>）</w:t>
                  </w:r>
                </w:p>
              </w:tc>
              <w:tc>
                <w:tcPr>
                  <w:tcW w:w="519" w:type="pct"/>
                  <w:tcBorders>
                    <w:tl2br w:val="nil"/>
                    <w:tr2bl w:val="nil"/>
                  </w:tcBorders>
                  <w:vAlign w:val="center"/>
                </w:tcPr>
                <w:p w14:paraId="410D00C0">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质量（t）</w:t>
                  </w:r>
                </w:p>
              </w:tc>
              <w:tc>
                <w:tcPr>
                  <w:tcW w:w="679" w:type="pct"/>
                  <w:tcBorders>
                    <w:tl2br w:val="nil"/>
                    <w:tr2bl w:val="nil"/>
                  </w:tcBorders>
                  <w:vAlign w:val="center"/>
                </w:tcPr>
                <w:p w14:paraId="2AE2ADAD">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年通过量（m</w:t>
                  </w:r>
                  <w:r>
                    <w:rPr>
                      <w:rFonts w:hint="eastAsia"/>
                      <w:color w:val="auto"/>
                      <w:sz w:val="21"/>
                      <w:szCs w:val="21"/>
                      <w:highlight w:val="none"/>
                      <w:vertAlign w:val="superscript"/>
                    </w:rPr>
                    <w:t>3</w:t>
                  </w:r>
                  <w:r>
                    <w:rPr>
                      <w:rFonts w:hint="eastAsia"/>
                      <w:color w:val="auto"/>
                      <w:sz w:val="21"/>
                      <w:szCs w:val="21"/>
                      <w:highlight w:val="none"/>
                    </w:rPr>
                    <w:t>/a）</w:t>
                  </w:r>
                </w:p>
              </w:tc>
            </w:tr>
            <w:tr w14:paraId="10BC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41" w:type="pct"/>
                  <w:tcBorders>
                    <w:tl2br w:val="nil"/>
                    <w:tr2bl w:val="nil"/>
                  </w:tcBorders>
                  <w:vAlign w:val="center"/>
                </w:tcPr>
                <w:p w14:paraId="51F518E0">
                  <w:pPr>
                    <w:pStyle w:val="82"/>
                    <w:keepNext w:val="0"/>
                    <w:keepLines w:val="0"/>
                    <w:suppressLineNumbers w:val="0"/>
                    <w:autoSpaceDE w:val="0"/>
                    <w:autoSpaceDN w:val="0"/>
                    <w:spacing w:before="0" w:beforeAutospacing="0" w:after="0" w:afterAutospacing="0" w:line="360" w:lineRule="auto"/>
                    <w:ind w:left="0" w:right="0"/>
                    <w:rPr>
                      <w:rFonts w:ascii="Times New Roman" w:hAnsi="Times New Roman" w:cs="Times New Roman"/>
                      <w:bCs/>
                      <w:color w:val="auto"/>
                      <w:sz w:val="21"/>
                      <w:szCs w:val="21"/>
                      <w:highlight w:val="none"/>
                    </w:rPr>
                  </w:pPr>
                  <w:r>
                    <w:rPr>
                      <w:rFonts w:hint="eastAsia" w:ascii="Times New Roman" w:hAnsi="Times New Roman" w:cs="Times New Roman"/>
                      <w:bCs/>
                      <w:color w:val="auto"/>
                      <w:sz w:val="21"/>
                      <w:szCs w:val="21"/>
                      <w:highlight w:val="none"/>
                    </w:rPr>
                    <w:t>1</w:t>
                  </w:r>
                </w:p>
              </w:tc>
              <w:tc>
                <w:tcPr>
                  <w:tcW w:w="1032" w:type="pct"/>
                  <w:tcBorders>
                    <w:tl2br w:val="nil"/>
                    <w:tr2bl w:val="nil"/>
                  </w:tcBorders>
                  <w:vAlign w:val="center"/>
                </w:tcPr>
                <w:p w14:paraId="42C837AB">
                  <w:pPr>
                    <w:pStyle w:val="82"/>
                    <w:keepNext w:val="0"/>
                    <w:keepLines w:val="0"/>
                    <w:suppressLineNumbers w:val="0"/>
                    <w:autoSpaceDE w:val="0"/>
                    <w:autoSpaceDN w:val="0"/>
                    <w:spacing w:before="0" w:beforeAutospacing="0" w:after="0" w:afterAutospacing="0"/>
                    <w:ind w:left="0" w:right="0"/>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微晶蜡</w:t>
                  </w:r>
                </w:p>
              </w:tc>
              <w:tc>
                <w:tcPr>
                  <w:tcW w:w="534" w:type="pct"/>
                  <w:tcBorders>
                    <w:tl2br w:val="nil"/>
                    <w:tr2bl w:val="nil"/>
                  </w:tcBorders>
                  <w:vAlign w:val="center"/>
                </w:tcPr>
                <w:p w14:paraId="160C8359">
                  <w:pPr>
                    <w:keepNext w:val="0"/>
                    <w:keepLines w:val="0"/>
                    <w:widowControl/>
                    <w:suppressLineNumbers w:val="0"/>
                    <w:spacing w:before="0" w:beforeAutospacing="0" w:after="0" w:afterAutospacing="0" w:line="240" w:lineRule="exact"/>
                    <w:ind w:left="0" w:right="0"/>
                    <w:jc w:val="center"/>
                    <w:textAlignment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5</w:t>
                  </w:r>
                </w:p>
              </w:tc>
              <w:tc>
                <w:tcPr>
                  <w:tcW w:w="705" w:type="pct"/>
                  <w:tcBorders>
                    <w:tl2br w:val="nil"/>
                    <w:tr2bl w:val="nil"/>
                  </w:tcBorders>
                  <w:vAlign w:val="center"/>
                </w:tcPr>
                <w:p w14:paraId="7917BA35">
                  <w:pPr>
                    <w:keepNext w:val="0"/>
                    <w:keepLines w:val="0"/>
                    <w:widowControl/>
                    <w:suppressLineNumbers w:val="0"/>
                    <w:spacing w:before="0" w:beforeAutospacing="0" w:after="0" w:afterAutospacing="0" w:line="240" w:lineRule="exact"/>
                    <w:ind w:left="0" w:right="0"/>
                    <w:jc w:val="center"/>
                    <w:textAlignment w:val="center"/>
                    <w:rPr>
                      <w:rFonts w:hint="default" w:eastAsia="宋体"/>
                      <w:bCs/>
                      <w:color w:val="auto"/>
                      <w:sz w:val="21"/>
                      <w:szCs w:val="21"/>
                      <w:highlight w:val="none"/>
                      <w:lang w:val="en-US" w:eastAsia="zh-CN"/>
                    </w:rPr>
                  </w:pPr>
                  <w:r>
                    <w:rPr>
                      <w:rFonts w:hint="eastAsia"/>
                      <w:color w:val="auto"/>
                      <w:sz w:val="21"/>
                      <w:szCs w:val="21"/>
                      <w:highlight w:val="none"/>
                      <w:lang w:val="en-US" w:eastAsia="zh-CN"/>
                    </w:rPr>
                    <w:t>23</w:t>
                  </w:r>
                </w:p>
              </w:tc>
              <w:tc>
                <w:tcPr>
                  <w:tcW w:w="422" w:type="pct"/>
                  <w:tcBorders>
                    <w:tl2br w:val="nil"/>
                    <w:tr2bl w:val="nil"/>
                  </w:tcBorders>
                  <w:vAlign w:val="center"/>
                </w:tcPr>
                <w:p w14:paraId="1E4F6B08">
                  <w:pPr>
                    <w:keepNext w:val="0"/>
                    <w:keepLines w:val="0"/>
                    <w:widowControl/>
                    <w:suppressLineNumbers w:val="0"/>
                    <w:spacing w:before="0" w:beforeAutospacing="0" w:after="0" w:afterAutospacing="0" w:line="240" w:lineRule="exact"/>
                    <w:ind w:left="0" w:right="0"/>
                    <w:jc w:val="center"/>
                    <w:textAlignment w:val="center"/>
                    <w:rPr>
                      <w:rFonts w:hint="eastAsia" w:eastAsia="宋体"/>
                      <w:bCs/>
                      <w:color w:val="auto"/>
                      <w:sz w:val="21"/>
                      <w:szCs w:val="21"/>
                      <w:highlight w:val="none"/>
                      <w:lang w:val="en-US" w:eastAsia="zh-CN"/>
                    </w:rPr>
                  </w:pPr>
                  <w:r>
                    <w:rPr>
                      <w:rFonts w:hint="eastAsia"/>
                      <w:bCs/>
                      <w:color w:val="auto"/>
                      <w:sz w:val="21"/>
                      <w:szCs w:val="21"/>
                      <w:highlight w:val="none"/>
                      <w:lang w:val="en-US" w:eastAsia="zh-CN"/>
                    </w:rPr>
                    <w:t>9</w:t>
                  </w:r>
                </w:p>
              </w:tc>
              <w:tc>
                <w:tcPr>
                  <w:tcW w:w="763" w:type="pct"/>
                  <w:tcBorders>
                    <w:tl2br w:val="nil"/>
                    <w:tr2bl w:val="nil"/>
                  </w:tcBorders>
                  <w:vAlign w:val="center"/>
                </w:tcPr>
                <w:p w14:paraId="67C9DB69">
                  <w:pPr>
                    <w:keepNext w:val="0"/>
                    <w:keepLines w:val="0"/>
                    <w:widowControl/>
                    <w:suppressLineNumbers w:val="0"/>
                    <w:spacing w:before="0" w:beforeAutospacing="0" w:after="0" w:afterAutospacing="0" w:line="240" w:lineRule="exact"/>
                    <w:ind w:left="0" w:right="0"/>
                    <w:jc w:val="center"/>
                    <w:textAlignment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0.92</w:t>
                  </w:r>
                </w:p>
              </w:tc>
              <w:tc>
                <w:tcPr>
                  <w:tcW w:w="519" w:type="pct"/>
                  <w:tcBorders>
                    <w:tl2br w:val="nil"/>
                    <w:tr2bl w:val="nil"/>
                  </w:tcBorders>
                  <w:vAlign w:val="center"/>
                </w:tcPr>
                <w:p w14:paraId="45F32C40">
                  <w:pPr>
                    <w:keepNext w:val="0"/>
                    <w:keepLines w:val="0"/>
                    <w:widowControl/>
                    <w:suppressLineNumbers w:val="0"/>
                    <w:spacing w:before="0" w:beforeAutospacing="0" w:after="0" w:afterAutospacing="0" w:line="240" w:lineRule="exact"/>
                    <w:ind w:left="0" w:right="0"/>
                    <w:jc w:val="center"/>
                    <w:textAlignment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15.87</w:t>
                  </w:r>
                </w:p>
              </w:tc>
              <w:tc>
                <w:tcPr>
                  <w:tcW w:w="679" w:type="pct"/>
                  <w:tcBorders>
                    <w:tl2br w:val="nil"/>
                    <w:tr2bl w:val="nil"/>
                  </w:tcBorders>
                  <w:vAlign w:val="center"/>
                </w:tcPr>
                <w:p w14:paraId="1CF57CAD">
                  <w:pPr>
                    <w:keepNext w:val="0"/>
                    <w:keepLines w:val="0"/>
                    <w:widowControl/>
                    <w:suppressLineNumbers w:val="0"/>
                    <w:spacing w:before="0" w:beforeAutospacing="0" w:after="0" w:afterAutospacing="0" w:line="240" w:lineRule="exact"/>
                    <w:ind w:left="0" w:right="0"/>
                    <w:jc w:val="center"/>
                    <w:textAlignment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155.25</w:t>
                  </w:r>
                </w:p>
              </w:tc>
            </w:tr>
          </w:tbl>
          <w:p w14:paraId="1624FC47">
            <w:pPr>
              <w:pStyle w:val="8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表4-3  罐区大小呼吸废气计算结果一览表</w:t>
            </w:r>
          </w:p>
          <w:tbl>
            <w:tblPr>
              <w:tblStyle w:val="28"/>
              <w:tblW w:w="4997"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729"/>
              <w:gridCol w:w="1461"/>
              <w:gridCol w:w="1461"/>
              <w:gridCol w:w="1461"/>
              <w:gridCol w:w="1464"/>
              <w:gridCol w:w="1464"/>
            </w:tblGrid>
            <w:tr w14:paraId="35F8E54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00" w:hRule="atLeast"/>
              </w:trPr>
              <w:tc>
                <w:tcPr>
                  <w:tcW w:w="453" w:type="pct"/>
                  <w:tcBorders>
                    <w:top w:val="single" w:color="auto" w:sz="4" w:space="0"/>
                    <w:left w:val="single" w:color="auto" w:sz="0" w:space="0"/>
                    <w:bottom w:val="single" w:color="auto" w:sz="4" w:space="0"/>
                    <w:right w:val="single" w:color="auto" w:sz="4" w:space="0"/>
                  </w:tcBorders>
                  <w:vAlign w:val="center"/>
                </w:tcPr>
                <w:p w14:paraId="23EEE72B">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序号</w:t>
                  </w:r>
                </w:p>
              </w:tc>
              <w:tc>
                <w:tcPr>
                  <w:tcW w:w="908" w:type="pct"/>
                  <w:tcBorders>
                    <w:top w:val="single" w:color="auto" w:sz="4" w:space="0"/>
                    <w:left w:val="single" w:color="auto" w:sz="4" w:space="0"/>
                    <w:bottom w:val="single" w:color="auto" w:sz="4" w:space="0"/>
                    <w:right w:val="single" w:color="auto" w:sz="4" w:space="0"/>
                  </w:tcBorders>
                  <w:vAlign w:val="center"/>
                </w:tcPr>
                <w:p w14:paraId="1F273005">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储罐</w:t>
                  </w:r>
                </w:p>
              </w:tc>
              <w:tc>
                <w:tcPr>
                  <w:tcW w:w="908" w:type="pct"/>
                  <w:tcBorders>
                    <w:top w:val="single" w:color="auto" w:sz="4" w:space="0"/>
                    <w:left w:val="single" w:color="auto" w:sz="4" w:space="0"/>
                    <w:bottom w:val="single" w:color="auto" w:sz="4" w:space="0"/>
                    <w:right w:val="single" w:color="auto" w:sz="4" w:space="0"/>
                  </w:tcBorders>
                  <w:vAlign w:val="center"/>
                </w:tcPr>
                <w:p w14:paraId="458392B9">
                  <w:pPr>
                    <w:keepNext w:val="0"/>
                    <w:keepLines w:val="0"/>
                    <w:widowControl/>
                    <w:suppressLineNumbers w:val="0"/>
                    <w:spacing w:before="0" w:beforeAutospacing="0" w:after="0" w:afterAutospacing="0" w:line="240" w:lineRule="exact"/>
                    <w:ind w:left="0" w:right="0"/>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单座容积（m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w:t>
                  </w:r>
                </w:p>
              </w:tc>
              <w:tc>
                <w:tcPr>
                  <w:tcW w:w="908" w:type="pct"/>
                  <w:tcBorders>
                    <w:top w:val="single" w:color="auto" w:sz="4" w:space="0"/>
                    <w:left w:val="single" w:color="auto" w:sz="4" w:space="0"/>
                    <w:bottom w:val="single" w:color="auto" w:sz="4" w:space="0"/>
                    <w:right w:val="single" w:color="auto" w:sz="4" w:space="0"/>
                  </w:tcBorders>
                  <w:vAlign w:val="center"/>
                </w:tcPr>
                <w:p w14:paraId="3D69E9A9">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小呼吸排放量（kg/a）</w:t>
                  </w:r>
                </w:p>
              </w:tc>
              <w:tc>
                <w:tcPr>
                  <w:tcW w:w="910" w:type="pct"/>
                  <w:tcBorders>
                    <w:top w:val="single" w:color="auto" w:sz="4" w:space="0"/>
                    <w:left w:val="single" w:color="auto" w:sz="4" w:space="0"/>
                    <w:bottom w:val="single" w:color="auto" w:sz="4" w:space="0"/>
                    <w:right w:val="single" w:color="auto" w:sz="4" w:space="0"/>
                  </w:tcBorders>
                  <w:vAlign w:val="center"/>
                </w:tcPr>
                <w:p w14:paraId="7285423E">
                  <w:pPr>
                    <w:keepNext w:val="0"/>
                    <w:keepLines w:val="0"/>
                    <w:widowControl/>
                    <w:suppressLineNumbers w:val="0"/>
                    <w:spacing w:before="0" w:beforeAutospacing="0" w:after="0" w:afterAutospacing="0" w:line="240" w:lineRule="exact"/>
                    <w:ind w:left="0" w:right="0"/>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Lw（</w:t>
                  </w:r>
                  <w:r>
                    <w:rPr>
                      <w:rFonts w:hint="eastAsia" w:cs="Times New Roman"/>
                      <w:b w:val="0"/>
                      <w:bCs w:val="0"/>
                      <w:color w:val="auto"/>
                      <w:kern w:val="0"/>
                      <w:sz w:val="24"/>
                      <w:szCs w:val="24"/>
                      <w:highlight w:val="none"/>
                      <w:lang w:val="en-US" w:eastAsia="zh-CN" w:bidi="ar"/>
                    </w:rPr>
                    <w:t>k</w:t>
                  </w:r>
                  <w:r>
                    <w:rPr>
                      <w:rFonts w:hint="default" w:ascii="Times New Roman" w:hAnsi="Times New Roman" w:cs="Times New Roman"/>
                      <w:b w:val="0"/>
                      <w:bCs w:val="0"/>
                      <w:color w:val="auto"/>
                      <w:kern w:val="0"/>
                      <w:sz w:val="24"/>
                      <w:szCs w:val="24"/>
                      <w:highlight w:val="none"/>
                      <w:lang w:bidi="ar"/>
                    </w:rPr>
                    <w:t>g/m</w:t>
                  </w:r>
                  <w:r>
                    <w:rPr>
                      <w:rFonts w:hint="default" w:ascii="Times New Roman" w:hAnsi="Times New Roman" w:cs="Times New Roman"/>
                      <w:b w:val="0"/>
                      <w:bCs w:val="0"/>
                      <w:color w:val="auto"/>
                      <w:kern w:val="0"/>
                      <w:sz w:val="24"/>
                      <w:szCs w:val="24"/>
                      <w:highlight w:val="none"/>
                      <w:vertAlign w:val="superscript"/>
                      <w:lang w:bidi="ar"/>
                    </w:rPr>
                    <w:t>3</w:t>
                  </w:r>
                  <w:r>
                    <w:rPr>
                      <w:rFonts w:hint="eastAsia"/>
                      <w:color w:val="auto"/>
                      <w:sz w:val="21"/>
                      <w:szCs w:val="21"/>
                      <w:highlight w:val="none"/>
                      <w:lang w:val="en-US" w:eastAsia="zh-CN"/>
                    </w:rPr>
                    <w:t>）</w:t>
                  </w:r>
                </w:p>
              </w:tc>
              <w:tc>
                <w:tcPr>
                  <w:tcW w:w="910" w:type="pct"/>
                  <w:tcBorders>
                    <w:top w:val="single" w:color="auto" w:sz="4" w:space="0"/>
                    <w:left w:val="single" w:color="auto" w:sz="4" w:space="0"/>
                    <w:bottom w:val="single" w:color="auto" w:sz="4" w:space="0"/>
                    <w:right w:val="single" w:color="auto" w:sz="4" w:space="0"/>
                  </w:tcBorders>
                  <w:vAlign w:val="center"/>
                </w:tcPr>
                <w:p w14:paraId="641C8A77">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大呼吸排放量（kg/a）</w:t>
                  </w:r>
                </w:p>
              </w:tc>
            </w:tr>
            <w:tr w14:paraId="613D9C9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76" w:hRule="atLeast"/>
              </w:trPr>
              <w:tc>
                <w:tcPr>
                  <w:tcW w:w="453" w:type="pct"/>
                  <w:tcBorders>
                    <w:top w:val="single" w:color="auto" w:sz="4" w:space="0"/>
                    <w:left w:val="single" w:color="auto" w:sz="4" w:space="0"/>
                    <w:bottom w:val="single" w:color="auto" w:sz="4" w:space="0"/>
                    <w:right w:val="single" w:color="auto" w:sz="4" w:space="0"/>
                  </w:tcBorders>
                  <w:vAlign w:val="center"/>
                </w:tcPr>
                <w:p w14:paraId="28818E4B">
                  <w:pPr>
                    <w:pStyle w:val="82"/>
                    <w:keepNext w:val="0"/>
                    <w:keepLines w:val="0"/>
                    <w:suppressLineNumbers w:val="0"/>
                    <w:autoSpaceDE w:val="0"/>
                    <w:autoSpaceDN w:val="0"/>
                    <w:spacing w:before="0" w:beforeAutospacing="0" w:after="0" w:afterAutospacing="0" w:line="360" w:lineRule="auto"/>
                    <w:ind w:left="0" w:right="0"/>
                    <w:rPr>
                      <w:rFonts w:ascii="Times New Roman" w:hAnsi="Times New Roman" w:cs="Times New Roman"/>
                      <w:b/>
                      <w:color w:val="auto"/>
                      <w:sz w:val="21"/>
                      <w:szCs w:val="21"/>
                      <w:highlight w:val="none"/>
                    </w:rPr>
                  </w:pPr>
                  <w:r>
                    <w:rPr>
                      <w:rFonts w:hint="eastAsia" w:ascii="Times New Roman" w:hAnsi="Times New Roman" w:cs="Times New Roman"/>
                      <w:bCs/>
                      <w:color w:val="auto"/>
                      <w:sz w:val="21"/>
                      <w:szCs w:val="21"/>
                      <w:highlight w:val="none"/>
                    </w:rPr>
                    <w:t>1</w:t>
                  </w:r>
                </w:p>
              </w:tc>
              <w:tc>
                <w:tcPr>
                  <w:tcW w:w="908" w:type="pct"/>
                  <w:tcBorders>
                    <w:top w:val="single" w:color="auto" w:sz="4" w:space="0"/>
                    <w:left w:val="single" w:color="auto" w:sz="4" w:space="0"/>
                    <w:bottom w:val="single" w:color="auto" w:sz="4" w:space="0"/>
                    <w:right w:val="single" w:color="auto" w:sz="4" w:space="0"/>
                  </w:tcBorders>
                  <w:vAlign w:val="center"/>
                </w:tcPr>
                <w:p w14:paraId="0D3CAC7D">
                  <w:pPr>
                    <w:pStyle w:val="82"/>
                    <w:keepNext w:val="0"/>
                    <w:keepLines w:val="0"/>
                    <w:suppressLineNumbers w:val="0"/>
                    <w:autoSpaceDE w:val="0"/>
                    <w:autoSpaceDN w:val="0"/>
                    <w:spacing w:before="0" w:beforeAutospacing="0" w:after="0" w:afterAutospacing="0"/>
                    <w:ind w:left="0" w:right="0"/>
                    <w:rPr>
                      <w:rFonts w:hint="eastAsia" w:ascii="Times New Roman" w:hAnsi="Times New Roman" w:eastAsia="宋体" w:cs="Times New Roman"/>
                      <w:b/>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微晶蜡</w:t>
                  </w:r>
                </w:p>
              </w:tc>
              <w:tc>
                <w:tcPr>
                  <w:tcW w:w="908" w:type="pct"/>
                  <w:tcBorders>
                    <w:top w:val="single" w:color="auto" w:sz="4" w:space="0"/>
                    <w:left w:val="single" w:color="auto" w:sz="4" w:space="0"/>
                    <w:bottom w:val="single" w:color="auto" w:sz="4" w:space="0"/>
                    <w:right w:val="single" w:color="auto" w:sz="4" w:space="0"/>
                  </w:tcBorders>
                  <w:vAlign w:val="center"/>
                </w:tcPr>
                <w:p w14:paraId="08A643B6">
                  <w:pPr>
                    <w:pStyle w:val="82"/>
                    <w:keepNext w:val="0"/>
                    <w:keepLines w:val="0"/>
                    <w:suppressLineNumbers w:val="0"/>
                    <w:autoSpaceDE w:val="0"/>
                    <w:autoSpaceDN w:val="0"/>
                    <w:spacing w:before="0" w:beforeAutospacing="0" w:after="0" w:afterAutospacing="0"/>
                    <w:ind w:left="0" w:right="0"/>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23</w:t>
                  </w:r>
                </w:p>
              </w:tc>
              <w:tc>
                <w:tcPr>
                  <w:tcW w:w="908" w:type="pct"/>
                  <w:tcBorders>
                    <w:top w:val="single" w:color="auto" w:sz="4" w:space="0"/>
                    <w:left w:val="single" w:color="auto" w:sz="4" w:space="0"/>
                    <w:bottom w:val="single" w:color="auto" w:sz="4" w:space="0"/>
                    <w:right w:val="single" w:color="auto" w:sz="4" w:space="0"/>
                  </w:tcBorders>
                  <w:vAlign w:val="center"/>
                </w:tcPr>
                <w:p w14:paraId="5600600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eastAsia="宋体"/>
                      <w:bCs/>
                      <w:color w:val="auto"/>
                      <w:sz w:val="21"/>
                      <w:szCs w:val="21"/>
                      <w:highlight w:val="none"/>
                      <w:lang w:val="en-US" w:eastAsia="zh-CN"/>
                    </w:rPr>
                  </w:pPr>
                  <w:r>
                    <w:rPr>
                      <w:rFonts w:hint="eastAsia"/>
                      <w:bCs/>
                      <w:color w:val="auto"/>
                      <w:sz w:val="21"/>
                      <w:szCs w:val="21"/>
                      <w:highlight w:val="none"/>
                      <w:lang w:val="en-US" w:eastAsia="zh-CN"/>
                    </w:rPr>
                    <w:t>0.326</w:t>
                  </w:r>
                </w:p>
              </w:tc>
              <w:tc>
                <w:tcPr>
                  <w:tcW w:w="910" w:type="pct"/>
                  <w:tcBorders>
                    <w:top w:val="single" w:color="auto" w:sz="4" w:space="0"/>
                    <w:left w:val="single" w:color="auto" w:sz="4" w:space="0"/>
                    <w:bottom w:val="single" w:color="auto" w:sz="4" w:space="0"/>
                    <w:right w:val="single" w:color="auto" w:sz="4" w:space="0"/>
                  </w:tcBorders>
                  <w:vAlign w:val="center"/>
                </w:tcPr>
                <w:p w14:paraId="4AE7B33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eastAsia="宋体"/>
                      <w:bCs/>
                      <w:color w:val="auto"/>
                      <w:sz w:val="21"/>
                      <w:szCs w:val="21"/>
                      <w:highlight w:val="none"/>
                      <w:lang w:val="en-US" w:eastAsia="zh-CN"/>
                    </w:rPr>
                  </w:pPr>
                  <w:r>
                    <w:rPr>
                      <w:rFonts w:hint="eastAsia"/>
                      <w:bCs/>
                      <w:color w:val="auto"/>
                      <w:sz w:val="21"/>
                      <w:szCs w:val="21"/>
                      <w:highlight w:val="none"/>
                      <w:lang w:val="en-US" w:eastAsia="zh-CN"/>
                    </w:rPr>
                    <w:t>6.57×10</w:t>
                  </w:r>
                  <w:r>
                    <w:rPr>
                      <w:rFonts w:hint="eastAsia"/>
                      <w:bCs/>
                      <w:color w:val="auto"/>
                      <w:sz w:val="21"/>
                      <w:szCs w:val="21"/>
                      <w:highlight w:val="none"/>
                      <w:vertAlign w:val="superscript"/>
                      <w:lang w:val="en-US" w:eastAsia="zh-CN"/>
                    </w:rPr>
                    <w:t>-5</w:t>
                  </w:r>
                </w:p>
              </w:tc>
              <w:tc>
                <w:tcPr>
                  <w:tcW w:w="910" w:type="pct"/>
                  <w:tcBorders>
                    <w:top w:val="single" w:color="auto" w:sz="4" w:space="0"/>
                    <w:left w:val="single" w:color="auto" w:sz="4" w:space="0"/>
                    <w:bottom w:val="single" w:color="auto" w:sz="4" w:space="0"/>
                    <w:right w:val="single" w:color="auto" w:sz="4" w:space="0"/>
                  </w:tcBorders>
                  <w:vAlign w:val="center"/>
                </w:tcPr>
                <w:p w14:paraId="57F01B0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eastAsia="宋体"/>
                      <w:bCs/>
                      <w:color w:val="auto"/>
                      <w:sz w:val="21"/>
                      <w:szCs w:val="21"/>
                      <w:highlight w:val="none"/>
                      <w:lang w:val="en-US" w:eastAsia="zh-CN"/>
                    </w:rPr>
                  </w:pPr>
                  <w:r>
                    <w:rPr>
                      <w:rFonts w:hint="eastAsia"/>
                      <w:bCs/>
                      <w:color w:val="auto"/>
                      <w:sz w:val="21"/>
                      <w:szCs w:val="21"/>
                      <w:highlight w:val="none"/>
                      <w:lang w:val="en-US" w:eastAsia="zh-CN"/>
                    </w:rPr>
                    <w:t>0.0015</w:t>
                  </w:r>
                </w:p>
              </w:tc>
            </w:tr>
          </w:tbl>
          <w:p w14:paraId="505B59D7">
            <w:pPr>
              <w:pStyle w:val="8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表4-4  储罐废气产生量情况表</w:t>
            </w:r>
          </w:p>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831"/>
              <w:gridCol w:w="1384"/>
              <w:gridCol w:w="1609"/>
              <w:gridCol w:w="1609"/>
              <w:gridCol w:w="1609"/>
            </w:tblGrid>
            <w:tr w14:paraId="346DF6B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85" w:hRule="atLeast"/>
              </w:trPr>
              <w:tc>
                <w:tcPr>
                  <w:tcW w:w="1139" w:type="pct"/>
                  <w:tcBorders>
                    <w:top w:val="single" w:color="auto" w:sz="4" w:space="0"/>
                    <w:left w:val="single" w:color="auto" w:sz="0" w:space="0"/>
                    <w:bottom w:val="single" w:color="auto" w:sz="4" w:space="0"/>
                    <w:right w:val="single" w:color="auto" w:sz="4" w:space="0"/>
                  </w:tcBorders>
                  <w:vAlign w:val="center"/>
                </w:tcPr>
                <w:p w14:paraId="5B92685E">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名称</w:t>
                  </w:r>
                </w:p>
              </w:tc>
              <w:tc>
                <w:tcPr>
                  <w:tcW w:w="860" w:type="pct"/>
                  <w:tcBorders>
                    <w:top w:val="single" w:color="auto" w:sz="4" w:space="0"/>
                    <w:left w:val="single" w:color="auto" w:sz="4" w:space="0"/>
                    <w:bottom w:val="single" w:color="auto" w:sz="4" w:space="0"/>
                    <w:right w:val="single" w:color="auto" w:sz="4" w:space="0"/>
                  </w:tcBorders>
                  <w:vAlign w:val="center"/>
                </w:tcPr>
                <w:p w14:paraId="1ABAC122">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数量（座）</w:t>
                  </w:r>
                </w:p>
              </w:tc>
              <w:tc>
                <w:tcPr>
                  <w:tcW w:w="1000" w:type="pct"/>
                  <w:tcBorders>
                    <w:top w:val="single" w:color="auto" w:sz="4" w:space="0"/>
                    <w:left w:val="single" w:color="auto" w:sz="4" w:space="0"/>
                    <w:bottom w:val="single" w:color="auto" w:sz="4" w:space="0"/>
                    <w:right w:val="single" w:color="auto" w:sz="4" w:space="0"/>
                  </w:tcBorders>
                  <w:vAlign w:val="center"/>
                </w:tcPr>
                <w:p w14:paraId="098FE6CF">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小呼吸损</w:t>
                  </w:r>
                </w:p>
                <w:p w14:paraId="7096422D">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（kg/a·罐）</w:t>
                  </w:r>
                </w:p>
              </w:tc>
              <w:tc>
                <w:tcPr>
                  <w:tcW w:w="1000" w:type="pct"/>
                  <w:tcBorders>
                    <w:top w:val="single" w:color="auto" w:sz="4" w:space="0"/>
                    <w:left w:val="single" w:color="auto" w:sz="4" w:space="0"/>
                    <w:bottom w:val="single" w:color="auto" w:sz="4" w:space="0"/>
                    <w:right w:val="single" w:color="auto" w:sz="4" w:space="0"/>
                  </w:tcBorders>
                  <w:vAlign w:val="center"/>
                </w:tcPr>
                <w:p w14:paraId="4F75B447">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大呼吸损失</w:t>
                  </w:r>
                </w:p>
                <w:p w14:paraId="7191F26A">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（kg/a·罐）</w:t>
                  </w:r>
                </w:p>
              </w:tc>
              <w:tc>
                <w:tcPr>
                  <w:tcW w:w="1000" w:type="pct"/>
                  <w:tcBorders>
                    <w:top w:val="single" w:color="auto" w:sz="4" w:space="0"/>
                    <w:left w:val="single" w:color="auto" w:sz="4" w:space="0"/>
                    <w:bottom w:val="single" w:color="auto" w:sz="4" w:space="0"/>
                    <w:right w:val="single" w:color="auto" w:sz="4" w:space="0"/>
                  </w:tcBorders>
                  <w:vAlign w:val="center"/>
                </w:tcPr>
                <w:p w14:paraId="070DB88F">
                  <w:pPr>
                    <w:keepNext w:val="0"/>
                    <w:keepLines w:val="0"/>
                    <w:widowControl/>
                    <w:suppressLineNumbers w:val="0"/>
                    <w:spacing w:before="0" w:beforeAutospacing="0" w:after="0" w:afterAutospacing="0" w:line="240" w:lineRule="exact"/>
                    <w:ind w:left="0" w:right="0"/>
                    <w:jc w:val="center"/>
                    <w:textAlignment w:val="center"/>
                    <w:rPr>
                      <w:b/>
                      <w:color w:val="auto"/>
                      <w:sz w:val="21"/>
                      <w:szCs w:val="21"/>
                      <w:highlight w:val="none"/>
                    </w:rPr>
                  </w:pPr>
                  <w:r>
                    <w:rPr>
                      <w:rFonts w:hint="eastAsia"/>
                      <w:color w:val="auto"/>
                      <w:sz w:val="21"/>
                      <w:szCs w:val="21"/>
                      <w:highlight w:val="none"/>
                    </w:rPr>
                    <w:t>罐区损失合计（kg/a）</w:t>
                  </w:r>
                </w:p>
              </w:tc>
            </w:tr>
            <w:tr w14:paraId="4B3B49F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93" w:hRule="atLeast"/>
              </w:trPr>
              <w:tc>
                <w:tcPr>
                  <w:tcW w:w="1139" w:type="pct"/>
                  <w:tcBorders>
                    <w:top w:val="single" w:color="auto" w:sz="4" w:space="0"/>
                    <w:left w:val="single" w:color="auto" w:sz="4" w:space="0"/>
                    <w:bottom w:val="single" w:color="auto" w:sz="4" w:space="0"/>
                    <w:right w:val="single" w:color="auto" w:sz="4" w:space="0"/>
                  </w:tcBorders>
                  <w:vAlign w:val="center"/>
                </w:tcPr>
                <w:p w14:paraId="799F20EC">
                  <w:pPr>
                    <w:pStyle w:val="82"/>
                    <w:keepNext w:val="0"/>
                    <w:keepLines w:val="0"/>
                    <w:suppressLineNumbers w:val="0"/>
                    <w:autoSpaceDE w:val="0"/>
                    <w:autoSpaceDN w:val="0"/>
                    <w:spacing w:before="0" w:beforeAutospacing="0" w:after="0" w:afterAutospacing="0"/>
                    <w:ind w:left="0" w:right="0"/>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微晶蜡</w:t>
                  </w:r>
                </w:p>
              </w:tc>
              <w:tc>
                <w:tcPr>
                  <w:tcW w:w="860" w:type="pct"/>
                  <w:tcBorders>
                    <w:top w:val="single" w:color="auto" w:sz="4" w:space="0"/>
                    <w:left w:val="single" w:color="auto" w:sz="4" w:space="0"/>
                    <w:bottom w:val="single" w:color="auto" w:sz="4" w:space="0"/>
                    <w:right w:val="single" w:color="auto" w:sz="4" w:space="0"/>
                  </w:tcBorders>
                  <w:vAlign w:val="center"/>
                </w:tcPr>
                <w:p w14:paraId="68BEF864">
                  <w:pPr>
                    <w:pStyle w:val="82"/>
                    <w:keepNext w:val="0"/>
                    <w:keepLines w:val="0"/>
                    <w:suppressLineNumbers w:val="0"/>
                    <w:autoSpaceDE w:val="0"/>
                    <w:autoSpaceDN w:val="0"/>
                    <w:spacing w:before="0" w:beforeAutospacing="0" w:after="0" w:afterAutospacing="0"/>
                    <w:ind w:left="0" w:right="0"/>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11</w:t>
                  </w:r>
                </w:p>
              </w:tc>
              <w:tc>
                <w:tcPr>
                  <w:tcW w:w="1000" w:type="pct"/>
                  <w:tcBorders>
                    <w:top w:val="single" w:color="auto" w:sz="4" w:space="0"/>
                    <w:left w:val="single" w:color="auto" w:sz="4" w:space="0"/>
                    <w:bottom w:val="single" w:color="auto" w:sz="4" w:space="0"/>
                    <w:right w:val="single" w:color="auto" w:sz="4" w:space="0"/>
                  </w:tcBorders>
                  <w:vAlign w:val="center"/>
                </w:tcPr>
                <w:p w14:paraId="014BFB82">
                  <w:pPr>
                    <w:pStyle w:val="82"/>
                    <w:keepNext w:val="0"/>
                    <w:keepLines w:val="0"/>
                    <w:suppressLineNumbers w:val="0"/>
                    <w:autoSpaceDE w:val="0"/>
                    <w:autoSpaceDN w:val="0"/>
                    <w:spacing w:before="0" w:beforeAutospacing="0" w:after="0" w:afterAutospacing="0"/>
                    <w:ind w:left="0" w:right="0"/>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0.326</w:t>
                  </w:r>
                </w:p>
              </w:tc>
              <w:tc>
                <w:tcPr>
                  <w:tcW w:w="1000" w:type="pct"/>
                  <w:tcBorders>
                    <w:top w:val="single" w:color="auto" w:sz="4" w:space="0"/>
                    <w:left w:val="single" w:color="auto" w:sz="4" w:space="0"/>
                    <w:bottom w:val="single" w:color="auto" w:sz="4" w:space="0"/>
                    <w:right w:val="single" w:color="auto" w:sz="4" w:space="0"/>
                  </w:tcBorders>
                  <w:vAlign w:val="center"/>
                </w:tcPr>
                <w:p w14:paraId="5AFC6246">
                  <w:pPr>
                    <w:pStyle w:val="82"/>
                    <w:keepNext w:val="0"/>
                    <w:keepLines w:val="0"/>
                    <w:suppressLineNumbers w:val="0"/>
                    <w:autoSpaceDE w:val="0"/>
                    <w:autoSpaceDN w:val="0"/>
                    <w:spacing w:before="0" w:beforeAutospacing="0" w:after="0" w:afterAutospacing="0"/>
                    <w:ind w:left="0" w:right="0"/>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0.0015</w:t>
                  </w:r>
                </w:p>
              </w:tc>
              <w:tc>
                <w:tcPr>
                  <w:tcW w:w="1000" w:type="pct"/>
                  <w:tcBorders>
                    <w:top w:val="single" w:color="auto" w:sz="4" w:space="0"/>
                    <w:left w:val="single" w:color="auto" w:sz="4" w:space="0"/>
                    <w:bottom w:val="single" w:color="auto" w:sz="4" w:space="0"/>
                    <w:right w:val="single" w:color="auto" w:sz="4" w:space="0"/>
                  </w:tcBorders>
                  <w:vAlign w:val="center"/>
                </w:tcPr>
                <w:p w14:paraId="1F52EC2D">
                  <w:pPr>
                    <w:pStyle w:val="82"/>
                    <w:keepNext w:val="0"/>
                    <w:keepLines w:val="0"/>
                    <w:suppressLineNumbers w:val="0"/>
                    <w:autoSpaceDE w:val="0"/>
                    <w:autoSpaceDN w:val="0"/>
                    <w:spacing w:before="0" w:beforeAutospacing="0" w:after="0" w:afterAutospacing="0"/>
                    <w:ind w:left="0" w:right="0"/>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4.0</w:t>
                  </w:r>
                </w:p>
              </w:tc>
            </w:tr>
          </w:tbl>
          <w:p w14:paraId="6F48A18C">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cs="Times New Roman"/>
                <w:color w:val="auto"/>
                <w:sz w:val="24"/>
                <w:highlight w:val="none"/>
              </w:rPr>
            </w:pPr>
          </w:p>
          <w:p w14:paraId="3C9298B3">
            <w:pPr>
              <w:pStyle w:val="82"/>
              <w:keepNext w:val="0"/>
              <w:keepLines w:val="0"/>
              <w:suppressLineNumbers w:val="0"/>
              <w:autoSpaceDE w:val="0"/>
              <w:autoSpaceDN w:val="0"/>
              <w:spacing w:before="0" w:beforeAutospacing="0" w:after="0" w:afterAutospacing="0" w:line="360" w:lineRule="auto"/>
              <w:ind w:left="0" w:right="0" w:firstLine="480" w:firstLineChars="200"/>
              <w:jc w:val="both"/>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本项目储罐为碳钢固定顶常压储罐，贮存物质为</w:t>
            </w:r>
            <w:r>
              <w:rPr>
                <w:rFonts w:hint="eastAsia" w:ascii="Times New Roman" w:hAnsi="Times New Roman" w:cs="Times New Roman"/>
                <w:color w:val="auto"/>
                <w:sz w:val="24"/>
                <w:highlight w:val="none"/>
                <w:lang w:val="en-US" w:eastAsia="zh-CN"/>
              </w:rPr>
              <w:t>微晶蜡</w:t>
            </w:r>
            <w:r>
              <w:rPr>
                <w:rFonts w:hint="eastAsia" w:ascii="Times New Roman" w:hAnsi="Times New Roman" w:cs="Times New Roman"/>
                <w:color w:val="auto"/>
                <w:sz w:val="24"/>
                <w:highlight w:val="none"/>
              </w:rPr>
              <w:t>液体，罐区无组织排放废气主要为非甲烷总烃，通过</w:t>
            </w:r>
            <w:r>
              <w:rPr>
                <w:rFonts w:hint="eastAsia" w:ascii="Times New Roman" w:hAnsi="Times New Roman" w:cs="Times New Roman"/>
                <w:color w:val="auto"/>
                <w:sz w:val="24"/>
                <w:highlight w:val="none"/>
                <w:lang w:val="en-US" w:eastAsia="zh-CN"/>
              </w:rPr>
              <w:t>微晶蜡</w:t>
            </w:r>
            <w:r>
              <w:rPr>
                <w:rFonts w:hint="eastAsia" w:ascii="Times New Roman" w:hAnsi="Times New Roman" w:cs="Times New Roman"/>
                <w:color w:val="auto"/>
                <w:sz w:val="24"/>
                <w:highlight w:val="none"/>
              </w:rPr>
              <w:t>液体的理化性质及上述计算结果可知，本项目罐区无组织排放的非甲烷总烃量极少，能满足《大气污染物综合排放标准》</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rPr>
              <w:t>GB16297-1996</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rPr>
              <w:t>表2中新污染源二级排放标准和《挥发性有机物无组织排放控制标准》（GB37822-2019）表A.1规定的特别排放限值标准。</w:t>
            </w:r>
          </w:p>
          <w:p w14:paraId="5C3E1EE9">
            <w:pPr>
              <w:keepNext w:val="0"/>
              <w:keepLines w:val="0"/>
              <w:suppressLineNumbers w:val="0"/>
              <w:tabs>
                <w:tab w:val="left" w:pos="3000"/>
              </w:tabs>
              <w:spacing w:before="0" w:beforeAutospacing="0" w:after="0" w:afterAutospacing="0" w:line="360" w:lineRule="auto"/>
              <w:ind w:left="0" w:right="0" w:firstLine="482" w:firstLineChars="200"/>
              <w:rPr>
                <w:rFonts w:hint="eastAsia"/>
                <w:b/>
                <w:color w:val="auto"/>
                <w:sz w:val="24"/>
                <w:highlight w:val="none"/>
              </w:rPr>
            </w:pPr>
          </w:p>
          <w:p w14:paraId="07C8FA08">
            <w:pPr>
              <w:keepNext w:val="0"/>
              <w:keepLines w:val="0"/>
              <w:suppressLineNumbers w:val="0"/>
              <w:tabs>
                <w:tab w:val="left" w:pos="3000"/>
              </w:tabs>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w:t>
            </w:r>
            <w:r>
              <w:rPr>
                <w:rFonts w:hint="eastAsia"/>
                <w:b/>
                <w:color w:val="auto"/>
                <w:sz w:val="24"/>
                <w:highlight w:val="none"/>
                <w:lang w:val="en-US" w:eastAsia="zh-CN"/>
              </w:rPr>
              <w:t>2</w:t>
            </w:r>
            <w:r>
              <w:rPr>
                <w:rFonts w:hint="eastAsia"/>
                <w:b/>
                <w:color w:val="auto"/>
                <w:sz w:val="24"/>
                <w:highlight w:val="none"/>
              </w:rPr>
              <w:t>）大气污染物排放量核算</w:t>
            </w:r>
          </w:p>
          <w:p w14:paraId="4F88F963">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5</w:t>
            </w:r>
            <w:r>
              <w:rPr>
                <w:rFonts w:hint="eastAsia"/>
                <w:color w:val="auto"/>
                <w:sz w:val="24"/>
                <w:highlight w:val="none"/>
              </w:rPr>
              <w:t xml:space="preserve">  本项目大气污染物无组织排放量核算表</w:t>
            </w:r>
          </w:p>
          <w:tbl>
            <w:tblPr>
              <w:tblStyle w:val="27"/>
              <w:tblW w:w="498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50"/>
              <w:gridCol w:w="533"/>
              <w:gridCol w:w="683"/>
              <w:gridCol w:w="244"/>
              <w:gridCol w:w="540"/>
              <w:gridCol w:w="973"/>
              <w:gridCol w:w="1873"/>
              <w:gridCol w:w="261"/>
              <w:gridCol w:w="1218"/>
              <w:gridCol w:w="1136"/>
            </w:tblGrid>
            <w:tr w14:paraId="56C0BC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344" w:type="pct"/>
                  <w:vMerge w:val="restart"/>
                  <w:vAlign w:val="center"/>
                </w:tcPr>
                <w:p w14:paraId="5864A426">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序号</w:t>
                  </w:r>
                </w:p>
              </w:tc>
              <w:tc>
                <w:tcPr>
                  <w:tcW w:w="333" w:type="pct"/>
                  <w:vMerge w:val="restart"/>
                  <w:vAlign w:val="center"/>
                </w:tcPr>
                <w:p w14:paraId="2977E80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排放口</w:t>
                  </w:r>
                </w:p>
              </w:tc>
              <w:tc>
                <w:tcPr>
                  <w:tcW w:w="426" w:type="pct"/>
                  <w:vMerge w:val="restart"/>
                  <w:vAlign w:val="center"/>
                </w:tcPr>
                <w:p w14:paraId="253EB84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产污环节</w:t>
                  </w:r>
                </w:p>
              </w:tc>
              <w:tc>
                <w:tcPr>
                  <w:tcW w:w="489" w:type="pct"/>
                  <w:gridSpan w:val="2"/>
                  <w:vMerge w:val="restart"/>
                  <w:vAlign w:val="center"/>
                </w:tcPr>
                <w:p w14:paraId="67E94430">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污染物</w:t>
                  </w:r>
                </w:p>
              </w:tc>
              <w:tc>
                <w:tcPr>
                  <w:tcW w:w="607" w:type="pct"/>
                  <w:vMerge w:val="restart"/>
                  <w:vAlign w:val="center"/>
                </w:tcPr>
                <w:p w14:paraId="29E6DDD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主要污染防治措施</w:t>
                  </w:r>
                </w:p>
              </w:tc>
              <w:tc>
                <w:tcPr>
                  <w:tcW w:w="2092" w:type="pct"/>
                  <w:gridSpan w:val="3"/>
                  <w:vAlign w:val="center"/>
                </w:tcPr>
                <w:p w14:paraId="68BED72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国家或地方污染物排放标准</w:t>
                  </w:r>
                </w:p>
              </w:tc>
              <w:tc>
                <w:tcPr>
                  <w:tcW w:w="707" w:type="pct"/>
                  <w:vMerge w:val="restart"/>
                  <w:vAlign w:val="center"/>
                </w:tcPr>
                <w:p w14:paraId="5AC2438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年排放量/（t/a）</w:t>
                  </w:r>
                </w:p>
              </w:tc>
            </w:tr>
            <w:tr w14:paraId="1993DF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1" w:hRule="atLeast"/>
              </w:trPr>
              <w:tc>
                <w:tcPr>
                  <w:tcW w:w="344" w:type="pct"/>
                  <w:vMerge w:val="continue"/>
                  <w:vAlign w:val="center"/>
                </w:tcPr>
                <w:p w14:paraId="70C5F0D2">
                  <w:pPr>
                    <w:keepNext w:val="0"/>
                    <w:keepLines w:val="0"/>
                    <w:widowControl/>
                    <w:suppressLineNumbers w:val="0"/>
                    <w:spacing w:before="0" w:beforeAutospacing="0" w:after="0" w:afterAutospacing="0"/>
                    <w:ind w:left="0" w:right="0"/>
                    <w:jc w:val="left"/>
                    <w:rPr>
                      <w:color w:val="auto"/>
                      <w:szCs w:val="21"/>
                      <w:highlight w:val="none"/>
                    </w:rPr>
                  </w:pPr>
                </w:p>
              </w:tc>
              <w:tc>
                <w:tcPr>
                  <w:tcW w:w="333" w:type="pct"/>
                  <w:vMerge w:val="continue"/>
                  <w:vAlign w:val="center"/>
                </w:tcPr>
                <w:p w14:paraId="6CB2FC18">
                  <w:pPr>
                    <w:keepNext w:val="0"/>
                    <w:keepLines w:val="0"/>
                    <w:widowControl/>
                    <w:suppressLineNumbers w:val="0"/>
                    <w:spacing w:before="0" w:beforeAutospacing="0" w:after="0" w:afterAutospacing="0"/>
                    <w:ind w:left="0" w:right="0"/>
                    <w:jc w:val="left"/>
                    <w:rPr>
                      <w:color w:val="auto"/>
                      <w:szCs w:val="21"/>
                      <w:highlight w:val="none"/>
                    </w:rPr>
                  </w:pPr>
                </w:p>
              </w:tc>
              <w:tc>
                <w:tcPr>
                  <w:tcW w:w="426" w:type="pct"/>
                  <w:vMerge w:val="continue"/>
                  <w:vAlign w:val="center"/>
                </w:tcPr>
                <w:p w14:paraId="315C60E3">
                  <w:pPr>
                    <w:keepNext w:val="0"/>
                    <w:keepLines w:val="0"/>
                    <w:widowControl/>
                    <w:suppressLineNumbers w:val="0"/>
                    <w:spacing w:before="0" w:beforeAutospacing="0" w:after="0" w:afterAutospacing="0"/>
                    <w:ind w:left="0" w:right="0"/>
                    <w:jc w:val="left"/>
                    <w:rPr>
                      <w:color w:val="auto"/>
                      <w:szCs w:val="21"/>
                      <w:highlight w:val="none"/>
                    </w:rPr>
                  </w:pPr>
                </w:p>
              </w:tc>
              <w:tc>
                <w:tcPr>
                  <w:tcW w:w="489" w:type="pct"/>
                  <w:gridSpan w:val="2"/>
                  <w:vMerge w:val="continue"/>
                  <w:vAlign w:val="center"/>
                </w:tcPr>
                <w:p w14:paraId="5BCCA498">
                  <w:pPr>
                    <w:keepNext w:val="0"/>
                    <w:keepLines w:val="0"/>
                    <w:widowControl/>
                    <w:suppressLineNumbers w:val="0"/>
                    <w:spacing w:before="0" w:beforeAutospacing="0" w:after="0" w:afterAutospacing="0"/>
                    <w:ind w:left="0" w:right="0"/>
                    <w:jc w:val="left"/>
                    <w:rPr>
                      <w:color w:val="auto"/>
                      <w:szCs w:val="21"/>
                      <w:highlight w:val="none"/>
                    </w:rPr>
                  </w:pPr>
                </w:p>
              </w:tc>
              <w:tc>
                <w:tcPr>
                  <w:tcW w:w="607" w:type="pct"/>
                  <w:vMerge w:val="continue"/>
                  <w:vAlign w:val="center"/>
                </w:tcPr>
                <w:p w14:paraId="51DFF332">
                  <w:pPr>
                    <w:keepNext w:val="0"/>
                    <w:keepLines w:val="0"/>
                    <w:widowControl/>
                    <w:suppressLineNumbers w:val="0"/>
                    <w:spacing w:before="0" w:beforeAutospacing="0" w:after="0" w:afterAutospacing="0"/>
                    <w:ind w:left="0" w:right="0"/>
                    <w:jc w:val="left"/>
                    <w:rPr>
                      <w:color w:val="auto"/>
                      <w:szCs w:val="21"/>
                      <w:highlight w:val="none"/>
                    </w:rPr>
                  </w:pPr>
                </w:p>
              </w:tc>
              <w:tc>
                <w:tcPr>
                  <w:tcW w:w="1332" w:type="pct"/>
                  <w:gridSpan w:val="2"/>
                  <w:vAlign w:val="center"/>
                </w:tcPr>
                <w:p w14:paraId="3517C040">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标准名称</w:t>
                  </w:r>
                </w:p>
              </w:tc>
              <w:tc>
                <w:tcPr>
                  <w:tcW w:w="759" w:type="pct"/>
                  <w:vAlign w:val="center"/>
                </w:tcPr>
                <w:p w14:paraId="27C3AE37">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浓度限值（</w:t>
                  </w:r>
                  <w:r>
                    <w:rPr>
                      <w:rFonts w:hint="eastAsia"/>
                      <w:color w:val="auto"/>
                      <w:szCs w:val="21"/>
                      <w:highlight w:val="none"/>
                    </w:rPr>
                    <w:t>m</w:t>
                  </w:r>
                  <w:r>
                    <w:rPr>
                      <w:color w:val="auto"/>
                      <w:szCs w:val="21"/>
                      <w:highlight w:val="none"/>
                    </w:rPr>
                    <w:t>g/m</w:t>
                  </w:r>
                  <w:r>
                    <w:rPr>
                      <w:color w:val="auto"/>
                      <w:szCs w:val="21"/>
                      <w:highlight w:val="none"/>
                      <w:vertAlign w:val="superscript"/>
                    </w:rPr>
                    <w:t>3</w:t>
                  </w:r>
                  <w:r>
                    <w:rPr>
                      <w:color w:val="auto"/>
                      <w:szCs w:val="21"/>
                      <w:highlight w:val="none"/>
                    </w:rPr>
                    <w:t>）</w:t>
                  </w:r>
                </w:p>
              </w:tc>
              <w:tc>
                <w:tcPr>
                  <w:tcW w:w="707" w:type="pct"/>
                  <w:vMerge w:val="continue"/>
                  <w:vAlign w:val="center"/>
                </w:tcPr>
                <w:p w14:paraId="2AD880E8">
                  <w:pPr>
                    <w:keepNext w:val="0"/>
                    <w:keepLines w:val="0"/>
                    <w:widowControl/>
                    <w:suppressLineNumbers w:val="0"/>
                    <w:spacing w:before="0" w:beforeAutospacing="0" w:after="0" w:afterAutospacing="0"/>
                    <w:ind w:left="0" w:right="0"/>
                    <w:jc w:val="left"/>
                    <w:rPr>
                      <w:color w:val="auto"/>
                      <w:szCs w:val="21"/>
                      <w:highlight w:val="none"/>
                    </w:rPr>
                  </w:pPr>
                </w:p>
              </w:tc>
            </w:tr>
            <w:tr w14:paraId="29617B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7" w:hRule="atLeast"/>
              </w:trPr>
              <w:tc>
                <w:tcPr>
                  <w:tcW w:w="344" w:type="pct"/>
                  <w:vAlign w:val="center"/>
                </w:tcPr>
                <w:p w14:paraId="6C777B51">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1</w:t>
                  </w:r>
                </w:p>
              </w:tc>
              <w:tc>
                <w:tcPr>
                  <w:tcW w:w="333" w:type="pct"/>
                  <w:vAlign w:val="center"/>
                </w:tcPr>
                <w:p w14:paraId="0FD50F5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生产车间</w:t>
                  </w:r>
                </w:p>
              </w:tc>
              <w:tc>
                <w:tcPr>
                  <w:tcW w:w="426" w:type="pct"/>
                  <w:vAlign w:val="center"/>
                </w:tcPr>
                <w:p w14:paraId="6338EF1C">
                  <w:pPr>
                    <w:keepNext w:val="0"/>
                    <w:keepLines w:val="0"/>
                    <w:suppressLineNumbers w:val="0"/>
                    <w:adjustRightInd w:val="0"/>
                    <w:snapToGrid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熔化</w:t>
                  </w:r>
                </w:p>
                <w:p w14:paraId="23E58007">
                  <w:pPr>
                    <w:keepNext w:val="0"/>
                    <w:keepLines w:val="0"/>
                    <w:suppressLineNumbers w:val="0"/>
                    <w:adjustRightInd w:val="0"/>
                    <w:snapToGrid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调配搅拌</w:t>
                  </w:r>
                </w:p>
                <w:p w14:paraId="315C364A">
                  <w:pPr>
                    <w:keepNext w:val="0"/>
                    <w:keepLines w:val="0"/>
                    <w:suppressLineNumbers w:val="0"/>
                    <w:adjustRightInd w:val="0"/>
                    <w:snapToGrid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造粒</w:t>
                  </w:r>
                </w:p>
              </w:tc>
              <w:tc>
                <w:tcPr>
                  <w:tcW w:w="489" w:type="pct"/>
                  <w:gridSpan w:val="2"/>
                  <w:vMerge w:val="restart"/>
                  <w:vAlign w:val="center"/>
                </w:tcPr>
                <w:p w14:paraId="789A3CB7">
                  <w:pPr>
                    <w:keepNext w:val="0"/>
                    <w:keepLines w:val="0"/>
                    <w:suppressLineNumbers w:val="0"/>
                    <w:spacing w:before="0" w:beforeAutospacing="0" w:after="0" w:afterAutospacing="0"/>
                    <w:ind w:left="0" w:right="0"/>
                    <w:jc w:val="center"/>
                    <w:rPr>
                      <w:bCs/>
                      <w:color w:val="auto"/>
                      <w:szCs w:val="21"/>
                      <w:highlight w:val="none"/>
                    </w:rPr>
                  </w:pPr>
                  <w:r>
                    <w:rPr>
                      <w:rFonts w:hint="eastAsia"/>
                      <w:bCs/>
                      <w:color w:val="auto"/>
                      <w:szCs w:val="21"/>
                      <w:highlight w:val="none"/>
                    </w:rPr>
                    <w:t>非甲烷总烃</w:t>
                  </w:r>
                </w:p>
              </w:tc>
              <w:tc>
                <w:tcPr>
                  <w:tcW w:w="607" w:type="pct"/>
                  <w:vAlign w:val="center"/>
                </w:tcPr>
                <w:p w14:paraId="678158A5">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阻隔</w:t>
                  </w:r>
                </w:p>
              </w:tc>
              <w:tc>
                <w:tcPr>
                  <w:tcW w:w="1332" w:type="pct"/>
                  <w:gridSpan w:val="2"/>
                  <w:vMerge w:val="restart"/>
                  <w:vAlign w:val="center"/>
                </w:tcPr>
                <w:p w14:paraId="3C20B3B4">
                  <w:pPr>
                    <w:keepNext w:val="0"/>
                    <w:keepLines w:val="0"/>
                    <w:suppressLineNumbers w:val="0"/>
                    <w:spacing w:before="0" w:beforeAutospacing="0" w:after="0" w:afterAutospacing="0"/>
                    <w:ind w:left="0" w:right="0"/>
                    <w:jc w:val="center"/>
                    <w:rPr>
                      <w:bCs/>
                      <w:color w:val="auto"/>
                      <w:szCs w:val="21"/>
                      <w:highlight w:val="none"/>
                    </w:rPr>
                  </w:pPr>
                  <w:r>
                    <w:rPr>
                      <w:rFonts w:hint="eastAsia"/>
                      <w:bCs/>
                      <w:color w:val="auto"/>
                      <w:szCs w:val="21"/>
                      <w:highlight w:val="none"/>
                    </w:rPr>
                    <w:t>《挥发性有机物无组织排放控制标准》（GB37822-2019）</w:t>
                  </w:r>
                </w:p>
              </w:tc>
              <w:tc>
                <w:tcPr>
                  <w:tcW w:w="759" w:type="pct"/>
                  <w:vMerge w:val="restart"/>
                  <w:vAlign w:val="center"/>
                </w:tcPr>
                <w:p w14:paraId="3E563179">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rPr>
                    <w:t>监控点处1h平均浓度值</w:t>
                  </w:r>
                  <w:r>
                    <w:rPr>
                      <w:rFonts w:hint="eastAsia"/>
                      <w:bCs/>
                      <w:color w:val="auto"/>
                      <w:szCs w:val="21"/>
                      <w:highlight w:val="none"/>
                      <w:lang w:eastAsia="zh-CN"/>
                    </w:rPr>
                    <w:t>：</w:t>
                  </w:r>
                  <w:r>
                    <w:rPr>
                      <w:rFonts w:hint="eastAsia"/>
                      <w:bCs/>
                      <w:color w:val="auto"/>
                      <w:szCs w:val="21"/>
                      <w:highlight w:val="none"/>
                      <w:lang w:val="en-US" w:eastAsia="zh-CN"/>
                    </w:rPr>
                    <w:t>6mg/m</w:t>
                  </w:r>
                  <w:r>
                    <w:rPr>
                      <w:rFonts w:hint="eastAsia"/>
                      <w:bCs/>
                      <w:color w:val="auto"/>
                      <w:szCs w:val="21"/>
                      <w:highlight w:val="none"/>
                      <w:vertAlign w:val="superscript"/>
                      <w:lang w:val="en-US" w:eastAsia="zh-CN"/>
                    </w:rPr>
                    <w:t>3</w:t>
                  </w:r>
                  <w:r>
                    <w:rPr>
                      <w:rFonts w:hint="eastAsia"/>
                      <w:bCs/>
                      <w:color w:val="auto"/>
                      <w:szCs w:val="21"/>
                      <w:highlight w:val="none"/>
                      <w:lang w:val="en-US" w:eastAsia="zh-CN"/>
                    </w:rPr>
                    <w:t>；</w:t>
                  </w:r>
                </w:p>
                <w:p w14:paraId="22471C2B">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rPr>
                    <w:t>监控点处任意一次浓度值</w:t>
                  </w:r>
                  <w:r>
                    <w:rPr>
                      <w:rFonts w:hint="eastAsia"/>
                      <w:bCs/>
                      <w:color w:val="auto"/>
                      <w:szCs w:val="21"/>
                      <w:highlight w:val="none"/>
                      <w:lang w:eastAsia="zh-CN"/>
                    </w:rPr>
                    <w:t>：</w:t>
                  </w:r>
                  <w:r>
                    <w:rPr>
                      <w:rFonts w:hint="eastAsia"/>
                      <w:bCs/>
                      <w:color w:val="auto"/>
                      <w:szCs w:val="21"/>
                      <w:highlight w:val="none"/>
                      <w:lang w:val="en-US" w:eastAsia="zh-CN"/>
                    </w:rPr>
                    <w:t>20mg/m</w:t>
                  </w:r>
                  <w:r>
                    <w:rPr>
                      <w:rFonts w:hint="eastAsia"/>
                      <w:bCs/>
                      <w:color w:val="auto"/>
                      <w:szCs w:val="21"/>
                      <w:highlight w:val="none"/>
                      <w:vertAlign w:val="superscript"/>
                      <w:lang w:val="en-US" w:eastAsia="zh-CN"/>
                    </w:rPr>
                    <w:t>3</w:t>
                  </w:r>
                </w:p>
              </w:tc>
              <w:tc>
                <w:tcPr>
                  <w:tcW w:w="707" w:type="pct"/>
                  <w:shd w:val="clear" w:color="auto" w:fill="auto"/>
                  <w:vAlign w:val="center"/>
                </w:tcPr>
                <w:p w14:paraId="2A62D154">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w:t>
                  </w:r>
                </w:p>
              </w:tc>
            </w:tr>
            <w:tr w14:paraId="03743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8" w:hRule="atLeast"/>
              </w:trPr>
              <w:tc>
                <w:tcPr>
                  <w:tcW w:w="344" w:type="pct"/>
                  <w:vAlign w:val="center"/>
                </w:tcPr>
                <w:p w14:paraId="5820D38D">
                  <w:pPr>
                    <w:keepNext w:val="0"/>
                    <w:keepLines w:val="0"/>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2</w:t>
                  </w:r>
                </w:p>
              </w:tc>
              <w:tc>
                <w:tcPr>
                  <w:tcW w:w="333" w:type="pct"/>
                  <w:vAlign w:val="center"/>
                </w:tcPr>
                <w:p w14:paraId="308490A6">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罐区C</w:t>
                  </w:r>
                </w:p>
              </w:tc>
              <w:tc>
                <w:tcPr>
                  <w:tcW w:w="426" w:type="pct"/>
                  <w:vAlign w:val="center"/>
                </w:tcPr>
                <w:p w14:paraId="5B6DABBC">
                  <w:pPr>
                    <w:keepNext w:val="0"/>
                    <w:keepLines w:val="0"/>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大小呼吸</w:t>
                  </w:r>
                </w:p>
              </w:tc>
              <w:tc>
                <w:tcPr>
                  <w:tcW w:w="489" w:type="pct"/>
                  <w:gridSpan w:val="2"/>
                  <w:vMerge w:val="continue"/>
                  <w:vAlign w:val="center"/>
                </w:tcPr>
                <w:p w14:paraId="1E557691">
                  <w:pPr>
                    <w:keepNext w:val="0"/>
                    <w:keepLines w:val="0"/>
                    <w:suppressLineNumbers w:val="0"/>
                    <w:spacing w:before="0" w:beforeAutospacing="0" w:after="0" w:afterAutospacing="0"/>
                    <w:ind w:left="0" w:right="0"/>
                    <w:jc w:val="center"/>
                    <w:rPr>
                      <w:rFonts w:hint="eastAsia"/>
                      <w:bCs/>
                      <w:color w:val="auto"/>
                      <w:szCs w:val="21"/>
                      <w:highlight w:val="none"/>
                    </w:rPr>
                  </w:pPr>
                </w:p>
              </w:tc>
              <w:tc>
                <w:tcPr>
                  <w:tcW w:w="607" w:type="pct"/>
                  <w:vAlign w:val="center"/>
                </w:tcPr>
                <w:p w14:paraId="2071EC1D">
                  <w:pPr>
                    <w:keepNext w:val="0"/>
                    <w:keepLines w:val="0"/>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332" w:type="pct"/>
                  <w:gridSpan w:val="2"/>
                  <w:vMerge w:val="continue"/>
                  <w:vAlign w:val="center"/>
                </w:tcPr>
                <w:p w14:paraId="306E2A2A">
                  <w:pPr>
                    <w:keepNext w:val="0"/>
                    <w:keepLines w:val="0"/>
                    <w:suppressLineNumbers w:val="0"/>
                    <w:adjustRightInd w:val="0"/>
                    <w:snapToGrid w:val="0"/>
                    <w:spacing w:before="0" w:beforeAutospacing="0" w:after="0" w:afterAutospacing="0"/>
                    <w:ind w:left="0" w:right="0"/>
                    <w:jc w:val="center"/>
                    <w:rPr>
                      <w:color w:val="auto"/>
                      <w:szCs w:val="21"/>
                      <w:highlight w:val="none"/>
                    </w:rPr>
                  </w:pPr>
                </w:p>
              </w:tc>
              <w:tc>
                <w:tcPr>
                  <w:tcW w:w="759" w:type="pct"/>
                  <w:vMerge w:val="continue"/>
                  <w:vAlign w:val="center"/>
                </w:tcPr>
                <w:p w14:paraId="736FE6F2">
                  <w:pPr>
                    <w:keepNext w:val="0"/>
                    <w:keepLines w:val="0"/>
                    <w:suppressLineNumbers w:val="0"/>
                    <w:spacing w:before="0" w:beforeAutospacing="0" w:after="0" w:afterAutospacing="0"/>
                    <w:ind w:left="0" w:right="0"/>
                    <w:jc w:val="center"/>
                    <w:rPr>
                      <w:rFonts w:hint="eastAsia"/>
                      <w:bCs/>
                      <w:color w:val="auto"/>
                      <w:szCs w:val="21"/>
                      <w:highlight w:val="none"/>
                    </w:rPr>
                  </w:pPr>
                </w:p>
              </w:tc>
              <w:tc>
                <w:tcPr>
                  <w:tcW w:w="707" w:type="pct"/>
                  <w:shd w:val="clear" w:color="auto" w:fill="auto"/>
                  <w:vAlign w:val="center"/>
                </w:tcPr>
                <w:p w14:paraId="140114EF">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0.004</w:t>
                  </w:r>
                </w:p>
              </w:tc>
            </w:tr>
            <w:tr w14:paraId="26A428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5000" w:type="pct"/>
                  <w:gridSpan w:val="10"/>
                  <w:vAlign w:val="center"/>
                </w:tcPr>
                <w:p w14:paraId="364E890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无组织排放总计</w:t>
                  </w:r>
                </w:p>
              </w:tc>
            </w:tr>
            <w:tr w14:paraId="381F31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1" w:hRule="atLeast"/>
              </w:trPr>
              <w:tc>
                <w:tcPr>
                  <w:tcW w:w="1255" w:type="pct"/>
                  <w:gridSpan w:val="4"/>
                  <w:vAlign w:val="center"/>
                </w:tcPr>
                <w:p w14:paraId="19DF8B9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无组织排放总计</w:t>
                  </w:r>
                </w:p>
              </w:tc>
              <w:tc>
                <w:tcPr>
                  <w:tcW w:w="2113" w:type="pct"/>
                  <w:gridSpan w:val="3"/>
                  <w:shd w:val="clear" w:color="auto" w:fill="auto"/>
                  <w:vAlign w:val="center"/>
                </w:tcPr>
                <w:p w14:paraId="4FD4EEB8">
                  <w:pPr>
                    <w:keepNext w:val="0"/>
                    <w:keepLines w:val="0"/>
                    <w:suppressLineNumbers w:val="0"/>
                    <w:spacing w:before="0" w:beforeAutospacing="0" w:after="0" w:afterAutospacing="0"/>
                    <w:ind w:left="0" w:right="0"/>
                    <w:jc w:val="center"/>
                    <w:rPr>
                      <w:rFonts w:ascii="Times New Roman" w:hAnsi="Times New Roman" w:eastAsia="宋体" w:cs="Times New Roman"/>
                      <w:bCs/>
                      <w:color w:val="auto"/>
                      <w:kern w:val="2"/>
                      <w:sz w:val="21"/>
                      <w:szCs w:val="21"/>
                      <w:highlight w:val="none"/>
                      <w:lang w:val="en-US" w:eastAsia="zh-CN" w:bidi="ar-SA"/>
                    </w:rPr>
                  </w:pPr>
                  <w:r>
                    <w:rPr>
                      <w:rFonts w:hint="eastAsia"/>
                      <w:bCs/>
                      <w:color w:val="auto"/>
                      <w:szCs w:val="21"/>
                      <w:highlight w:val="none"/>
                    </w:rPr>
                    <w:t>非甲烷总烃</w:t>
                  </w:r>
                </w:p>
              </w:tc>
              <w:tc>
                <w:tcPr>
                  <w:tcW w:w="1631" w:type="pct"/>
                  <w:gridSpan w:val="3"/>
                  <w:shd w:val="clear" w:color="auto" w:fill="auto"/>
                  <w:vAlign w:val="center"/>
                </w:tcPr>
                <w:p w14:paraId="6C2861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0.004</w:t>
                  </w:r>
                </w:p>
              </w:tc>
            </w:tr>
          </w:tbl>
          <w:p w14:paraId="5CE87F58">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6</w:t>
            </w:r>
            <w:r>
              <w:rPr>
                <w:rFonts w:hint="eastAsia"/>
                <w:color w:val="auto"/>
                <w:sz w:val="24"/>
                <w:highlight w:val="none"/>
              </w:rPr>
              <w:t xml:space="preserve">  本项目大气污染物排放量核算表</w:t>
            </w:r>
          </w:p>
          <w:tbl>
            <w:tblPr>
              <w:tblStyle w:val="27"/>
              <w:tblW w:w="499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674"/>
              <w:gridCol w:w="2675"/>
              <w:gridCol w:w="2670"/>
            </w:tblGrid>
            <w:tr w14:paraId="7B7EA4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1667" w:type="pct"/>
                  <w:vAlign w:val="center"/>
                </w:tcPr>
                <w:p w14:paraId="6B2A62F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序号</w:t>
                  </w:r>
                </w:p>
              </w:tc>
              <w:tc>
                <w:tcPr>
                  <w:tcW w:w="1667" w:type="pct"/>
                  <w:vAlign w:val="center"/>
                </w:tcPr>
                <w:p w14:paraId="1CF9DF6B">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污染物</w:t>
                  </w:r>
                </w:p>
              </w:tc>
              <w:tc>
                <w:tcPr>
                  <w:tcW w:w="1664" w:type="pct"/>
                  <w:vAlign w:val="center"/>
                </w:tcPr>
                <w:p w14:paraId="19965C5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年排放量（t/a）</w:t>
                  </w:r>
                </w:p>
              </w:tc>
            </w:tr>
            <w:tr w14:paraId="3F3DF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1667" w:type="pct"/>
                  <w:vAlign w:val="center"/>
                </w:tcPr>
                <w:p w14:paraId="4102385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1</w:t>
                  </w:r>
                </w:p>
              </w:tc>
              <w:tc>
                <w:tcPr>
                  <w:tcW w:w="1667" w:type="pct"/>
                  <w:shd w:val="clear" w:color="auto" w:fill="auto"/>
                  <w:vAlign w:val="center"/>
                </w:tcPr>
                <w:p w14:paraId="70C21298">
                  <w:pPr>
                    <w:keepNext w:val="0"/>
                    <w:keepLines w:val="0"/>
                    <w:suppressLineNumbers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NMHC</w:t>
                  </w:r>
                </w:p>
              </w:tc>
              <w:tc>
                <w:tcPr>
                  <w:tcW w:w="1664" w:type="pct"/>
                  <w:shd w:val="clear" w:color="auto" w:fill="auto"/>
                  <w:vAlign w:val="center"/>
                </w:tcPr>
                <w:p w14:paraId="585B59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0.004</w:t>
                  </w:r>
                </w:p>
              </w:tc>
            </w:tr>
          </w:tbl>
          <w:p w14:paraId="5D99F2A2">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lang w:eastAsia="zh-CN"/>
              </w:rPr>
              <w:t>（</w:t>
            </w:r>
            <w:r>
              <w:rPr>
                <w:rFonts w:hint="eastAsia" w:cs="Times New Roman"/>
                <w:b/>
                <w:color w:val="auto"/>
                <w:sz w:val="24"/>
                <w:highlight w:val="none"/>
                <w:lang w:val="en-US" w:eastAsia="zh-CN"/>
              </w:rPr>
              <w:t>3</w:t>
            </w:r>
            <w:r>
              <w:rPr>
                <w:rFonts w:hint="eastAsia" w:ascii="Times New Roman" w:hAnsi="Times New Roman" w:eastAsia="宋体" w:cs="Times New Roman"/>
                <w:b/>
                <w:color w:val="auto"/>
                <w:sz w:val="24"/>
                <w:highlight w:val="none"/>
                <w:lang w:eastAsia="zh-CN"/>
              </w:rPr>
              <w:t>）</w:t>
            </w:r>
            <w:r>
              <w:rPr>
                <w:rFonts w:hint="eastAsia" w:ascii="Times New Roman" w:hAnsi="Times New Roman" w:eastAsia="宋体" w:cs="Times New Roman"/>
                <w:b/>
                <w:color w:val="auto"/>
                <w:sz w:val="24"/>
                <w:highlight w:val="none"/>
              </w:rPr>
              <w:t>排放口情况</w:t>
            </w:r>
          </w:p>
          <w:p w14:paraId="06F6D4A0">
            <w:pPr>
              <w:pStyle w:val="5"/>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b w:val="0"/>
                <w:bCs w:val="0"/>
                <w:color w:val="auto"/>
                <w:sz w:val="24"/>
                <w:szCs w:val="24"/>
                <w:highlight w:val="none"/>
                <w:lang w:val="en-US" w:eastAsia="zh-CN"/>
              </w:rPr>
            </w:pPr>
            <w:r>
              <w:rPr>
                <w:rFonts w:hint="eastAsia"/>
                <w:b w:val="0"/>
                <w:bCs w:val="0"/>
                <w:color w:val="auto"/>
                <w:sz w:val="24"/>
                <w:szCs w:val="24"/>
                <w:highlight w:val="none"/>
                <w:lang w:val="en-US" w:eastAsia="zh-CN"/>
              </w:rPr>
              <w:t>本项目因工艺废气VOCs产生量极小，故不设排气筒。</w:t>
            </w:r>
          </w:p>
          <w:p w14:paraId="14C0728B">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highlight w:val="none"/>
                <w:lang w:eastAsia="zh-CN"/>
              </w:rPr>
            </w:pPr>
            <w:r>
              <w:rPr>
                <w:rFonts w:hint="eastAsia" w:ascii="Times New Roman" w:hAnsi="Times New Roman" w:eastAsia="宋体" w:cs="Times New Roman"/>
                <w:b/>
                <w:color w:val="auto"/>
                <w:sz w:val="24"/>
                <w:highlight w:val="none"/>
                <w:lang w:eastAsia="zh-CN"/>
              </w:rPr>
              <w:t>（</w:t>
            </w:r>
            <w:r>
              <w:rPr>
                <w:rFonts w:hint="eastAsia" w:cs="Times New Roman"/>
                <w:b/>
                <w:color w:val="auto"/>
                <w:sz w:val="24"/>
                <w:highlight w:val="none"/>
                <w:lang w:val="en-US" w:eastAsia="zh-CN"/>
              </w:rPr>
              <w:t>4</w:t>
            </w:r>
            <w:r>
              <w:rPr>
                <w:rFonts w:hint="eastAsia" w:ascii="Times New Roman" w:hAnsi="Times New Roman" w:eastAsia="宋体" w:cs="Times New Roman"/>
                <w:b/>
                <w:color w:val="auto"/>
                <w:sz w:val="24"/>
                <w:highlight w:val="none"/>
                <w:lang w:eastAsia="zh-CN"/>
              </w:rPr>
              <w:t>）达标分析</w:t>
            </w:r>
          </w:p>
          <w:p w14:paraId="37857DE8">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eastAsia="宋体"/>
                <w:bCs/>
                <w:color w:val="auto"/>
                <w:sz w:val="24"/>
                <w:highlight w:val="none"/>
                <w:lang w:val="en-US" w:eastAsia="zh-CN"/>
              </w:rPr>
            </w:pPr>
            <w:r>
              <w:rPr>
                <w:rFonts w:hint="eastAsia"/>
                <w:bCs/>
                <w:color w:val="auto"/>
                <w:sz w:val="24"/>
                <w:highlight w:val="none"/>
              </w:rPr>
              <w:t>本项目车间面源大气污染源源强参数表详见下表</w:t>
            </w:r>
            <w:r>
              <w:rPr>
                <w:rFonts w:hint="eastAsia"/>
                <w:bCs/>
                <w:color w:val="auto"/>
                <w:sz w:val="24"/>
                <w:highlight w:val="none"/>
                <w:lang w:val="en-US" w:eastAsia="zh-CN"/>
              </w:rPr>
              <w:t>。</w:t>
            </w:r>
          </w:p>
          <w:p w14:paraId="173BF225">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表4-</w:t>
            </w:r>
            <w:r>
              <w:rPr>
                <w:rFonts w:hint="eastAsia" w:cs="Times New Roman"/>
                <w:color w:val="auto"/>
                <w:sz w:val="24"/>
                <w:highlight w:val="none"/>
                <w:lang w:val="en-US" w:eastAsia="zh-CN"/>
              </w:rPr>
              <w:t xml:space="preserve">7 </w:t>
            </w:r>
            <w:r>
              <w:rPr>
                <w:rFonts w:hint="eastAsia" w:ascii="Times New Roman" w:hAnsi="Times New Roman" w:eastAsia="宋体" w:cs="Times New Roman"/>
                <w:color w:val="auto"/>
                <w:sz w:val="24"/>
                <w:highlight w:val="none"/>
              </w:rPr>
              <w:t xml:space="preserve"> 车间面源大气污染源源强参数表</w:t>
            </w:r>
          </w:p>
          <w:tbl>
            <w:tblPr>
              <w:tblStyle w:val="28"/>
              <w:tblW w:w="8023"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135"/>
              <w:gridCol w:w="1350"/>
              <w:gridCol w:w="1545"/>
              <w:gridCol w:w="1001"/>
              <w:gridCol w:w="994"/>
              <w:gridCol w:w="998"/>
            </w:tblGrid>
            <w:tr w14:paraId="022E0F3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621" w:hRule="atLeast"/>
                <w:jc w:val="center"/>
              </w:trPr>
              <w:tc>
                <w:tcPr>
                  <w:tcW w:w="2135" w:type="dxa"/>
                  <w:tcBorders>
                    <w:top w:val="single" w:color="auto" w:sz="4" w:space="0"/>
                    <w:left w:val="single" w:color="auto" w:sz="0" w:space="0"/>
                    <w:bottom w:val="single" w:color="auto" w:sz="4" w:space="0"/>
                    <w:right w:val="single" w:color="auto" w:sz="4" w:space="0"/>
                  </w:tcBorders>
                  <w:vAlign w:val="center"/>
                </w:tcPr>
                <w:p w14:paraId="71C52624">
                  <w:pPr>
                    <w:pStyle w:val="86"/>
                    <w:keepNext w:val="0"/>
                    <w:keepLines w:val="0"/>
                    <w:suppressLineNumbers w:val="0"/>
                    <w:spacing w:before="0" w:beforeAutospacing="0" w:after="0" w:afterAutospacing="0"/>
                    <w:ind w:left="0" w:right="0"/>
                    <w:rPr>
                      <w:color w:val="auto"/>
                      <w:highlight w:val="none"/>
                    </w:rPr>
                  </w:pPr>
                  <w:r>
                    <w:rPr>
                      <w:color w:val="auto"/>
                      <w:highlight w:val="none"/>
                    </w:rPr>
                    <w:t>污染源</w:t>
                  </w:r>
                </w:p>
              </w:tc>
              <w:tc>
                <w:tcPr>
                  <w:tcW w:w="2895" w:type="dxa"/>
                  <w:gridSpan w:val="2"/>
                  <w:tcBorders>
                    <w:top w:val="single" w:color="auto" w:sz="4" w:space="0"/>
                    <w:left w:val="single" w:color="auto" w:sz="4" w:space="0"/>
                    <w:bottom w:val="single" w:color="auto" w:sz="4" w:space="0"/>
                    <w:right w:val="single" w:color="auto" w:sz="4" w:space="0"/>
                  </w:tcBorders>
                  <w:vAlign w:val="center"/>
                </w:tcPr>
                <w:p w14:paraId="335535D4">
                  <w:pPr>
                    <w:pStyle w:val="86"/>
                    <w:keepNext w:val="0"/>
                    <w:keepLines w:val="0"/>
                    <w:suppressLineNumbers w:val="0"/>
                    <w:spacing w:before="0" w:beforeAutospacing="0" w:after="0" w:afterAutospacing="0"/>
                    <w:ind w:left="0" w:right="0"/>
                    <w:rPr>
                      <w:color w:val="auto"/>
                      <w:highlight w:val="none"/>
                    </w:rPr>
                  </w:pPr>
                  <w:r>
                    <w:rPr>
                      <w:color w:val="auto"/>
                      <w:highlight w:val="none"/>
                    </w:rPr>
                    <w:t>污染物</w:t>
                  </w:r>
                </w:p>
              </w:tc>
              <w:tc>
                <w:tcPr>
                  <w:tcW w:w="1001" w:type="dxa"/>
                  <w:tcBorders>
                    <w:top w:val="single" w:color="auto" w:sz="4" w:space="0"/>
                    <w:left w:val="single" w:color="auto" w:sz="4" w:space="0"/>
                    <w:bottom w:val="single" w:color="auto" w:sz="4" w:space="0"/>
                    <w:right w:val="single" w:color="auto" w:sz="4" w:space="0"/>
                  </w:tcBorders>
                  <w:vAlign w:val="center"/>
                </w:tcPr>
                <w:p w14:paraId="66FEDE81">
                  <w:pPr>
                    <w:pStyle w:val="86"/>
                    <w:keepNext w:val="0"/>
                    <w:keepLines w:val="0"/>
                    <w:suppressLineNumbers w:val="0"/>
                    <w:spacing w:before="0" w:beforeAutospacing="0" w:after="0" w:afterAutospacing="0"/>
                    <w:ind w:left="0" w:right="0"/>
                    <w:rPr>
                      <w:color w:val="auto"/>
                      <w:highlight w:val="none"/>
                    </w:rPr>
                  </w:pPr>
                  <w:r>
                    <w:rPr>
                      <w:color w:val="auto"/>
                      <w:highlight w:val="none"/>
                    </w:rPr>
                    <w:t>有效高度m</w:t>
                  </w:r>
                </w:p>
              </w:tc>
              <w:tc>
                <w:tcPr>
                  <w:tcW w:w="994" w:type="dxa"/>
                  <w:tcBorders>
                    <w:top w:val="single" w:color="auto" w:sz="4" w:space="0"/>
                    <w:left w:val="single" w:color="auto" w:sz="4" w:space="0"/>
                    <w:bottom w:val="single" w:color="auto" w:sz="4" w:space="0"/>
                    <w:right w:val="single" w:color="auto" w:sz="4" w:space="0"/>
                  </w:tcBorders>
                  <w:vAlign w:val="center"/>
                </w:tcPr>
                <w:p w14:paraId="5AAAE88F">
                  <w:pPr>
                    <w:pStyle w:val="86"/>
                    <w:keepNext w:val="0"/>
                    <w:keepLines w:val="0"/>
                    <w:suppressLineNumbers w:val="0"/>
                    <w:spacing w:before="0" w:beforeAutospacing="0" w:after="0" w:afterAutospacing="0"/>
                    <w:ind w:left="0" w:right="0"/>
                    <w:rPr>
                      <w:color w:val="auto"/>
                      <w:highlight w:val="none"/>
                    </w:rPr>
                  </w:pPr>
                  <w:r>
                    <w:rPr>
                      <w:color w:val="auto"/>
                      <w:highlight w:val="none"/>
                    </w:rPr>
                    <w:t>面源长度m</w:t>
                  </w:r>
                </w:p>
              </w:tc>
              <w:tc>
                <w:tcPr>
                  <w:tcW w:w="998" w:type="dxa"/>
                  <w:tcBorders>
                    <w:top w:val="single" w:color="auto" w:sz="4" w:space="0"/>
                    <w:left w:val="single" w:color="auto" w:sz="4" w:space="0"/>
                    <w:bottom w:val="single" w:color="auto" w:sz="4" w:space="0"/>
                    <w:right w:val="single" w:color="auto" w:sz="4" w:space="0"/>
                  </w:tcBorders>
                  <w:vAlign w:val="center"/>
                </w:tcPr>
                <w:p w14:paraId="69A88CCA">
                  <w:pPr>
                    <w:pStyle w:val="86"/>
                    <w:keepNext w:val="0"/>
                    <w:keepLines w:val="0"/>
                    <w:suppressLineNumbers w:val="0"/>
                    <w:spacing w:before="0" w:beforeAutospacing="0" w:after="0" w:afterAutospacing="0"/>
                    <w:ind w:left="0" w:right="0"/>
                    <w:rPr>
                      <w:color w:val="auto"/>
                      <w:highlight w:val="none"/>
                    </w:rPr>
                  </w:pPr>
                  <w:r>
                    <w:rPr>
                      <w:color w:val="auto"/>
                      <w:highlight w:val="none"/>
                    </w:rPr>
                    <w:t>面源宽度m</w:t>
                  </w:r>
                </w:p>
              </w:tc>
            </w:tr>
            <w:tr w14:paraId="5453BC8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4" w:hRule="atLeast"/>
                <w:jc w:val="center"/>
              </w:trPr>
              <w:tc>
                <w:tcPr>
                  <w:tcW w:w="2135" w:type="dxa"/>
                  <w:tcBorders>
                    <w:top w:val="single" w:color="auto" w:sz="4" w:space="0"/>
                    <w:left w:val="single" w:color="auto" w:sz="4" w:space="0"/>
                    <w:bottom w:val="single" w:color="auto" w:sz="4" w:space="0"/>
                    <w:right w:val="single" w:color="auto" w:sz="4" w:space="0"/>
                  </w:tcBorders>
                  <w:vAlign w:val="center"/>
                </w:tcPr>
                <w:p w14:paraId="159113C7">
                  <w:pPr>
                    <w:pStyle w:val="86"/>
                    <w:keepNext w:val="0"/>
                    <w:keepLines w:val="0"/>
                    <w:suppressLineNumbers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罐区C（11座23m</w:t>
                  </w:r>
                  <w:r>
                    <w:rPr>
                      <w:rFonts w:hint="eastAsia"/>
                      <w:color w:val="auto"/>
                      <w:highlight w:val="none"/>
                      <w:vertAlign w:val="superscript"/>
                      <w:lang w:val="en-US" w:eastAsia="zh-CN"/>
                    </w:rPr>
                    <w:t>3</w:t>
                  </w:r>
                  <w:r>
                    <w:rPr>
                      <w:rFonts w:hint="eastAsia"/>
                      <w:color w:val="auto"/>
                      <w:highlight w:val="none"/>
                      <w:lang w:val="en-US" w:eastAsia="zh-CN"/>
                    </w:rPr>
                    <w:t>）</w:t>
                  </w:r>
                </w:p>
              </w:tc>
              <w:tc>
                <w:tcPr>
                  <w:tcW w:w="1350" w:type="dxa"/>
                  <w:tcBorders>
                    <w:top w:val="single" w:color="auto" w:sz="4" w:space="0"/>
                    <w:left w:val="single" w:color="auto" w:sz="4" w:space="0"/>
                    <w:bottom w:val="single" w:color="auto" w:sz="4" w:space="0"/>
                    <w:right w:val="single" w:color="auto" w:sz="4" w:space="0"/>
                  </w:tcBorders>
                  <w:vAlign w:val="center"/>
                </w:tcPr>
                <w:p w14:paraId="79B0783B">
                  <w:pPr>
                    <w:keepNext w:val="0"/>
                    <w:keepLines w:val="0"/>
                    <w:suppressLineNumbers w:val="0"/>
                    <w:spacing w:before="0" w:beforeAutospacing="0" w:after="0" w:afterAutospacing="0"/>
                    <w:ind w:left="0" w:right="0"/>
                    <w:rPr>
                      <w:color w:val="auto"/>
                      <w:highlight w:val="none"/>
                    </w:rPr>
                  </w:pPr>
                  <w:r>
                    <w:rPr>
                      <w:rFonts w:hint="eastAsia"/>
                      <w:color w:val="auto"/>
                      <w:highlight w:val="none"/>
                    </w:rPr>
                    <w:t>非甲烷总烃</w:t>
                  </w:r>
                </w:p>
              </w:tc>
              <w:tc>
                <w:tcPr>
                  <w:tcW w:w="1545" w:type="dxa"/>
                  <w:tcBorders>
                    <w:top w:val="single" w:color="auto" w:sz="4" w:space="0"/>
                    <w:left w:val="single" w:color="auto" w:sz="4" w:space="0"/>
                    <w:bottom w:val="single" w:color="auto" w:sz="4" w:space="0"/>
                    <w:right w:val="single" w:color="auto" w:sz="4" w:space="0"/>
                  </w:tcBorders>
                  <w:vAlign w:val="center"/>
                </w:tcPr>
                <w:p w14:paraId="02015F75">
                  <w:pPr>
                    <w:pStyle w:val="86"/>
                    <w:keepNext w:val="0"/>
                    <w:keepLines w:val="0"/>
                    <w:suppressLineNumbers w:val="0"/>
                    <w:spacing w:before="0" w:beforeAutospacing="0" w:after="0" w:afterAutospacing="0"/>
                    <w:ind w:left="0" w:right="0"/>
                    <w:rPr>
                      <w:color w:val="auto"/>
                      <w:highlight w:val="none"/>
                    </w:rPr>
                  </w:pPr>
                  <w:r>
                    <w:rPr>
                      <w:rFonts w:hint="eastAsia"/>
                      <w:color w:val="auto"/>
                      <w:highlight w:val="none"/>
                      <w:lang w:val="en-US" w:eastAsia="zh-CN"/>
                    </w:rPr>
                    <w:t>6.66×10</w:t>
                  </w:r>
                  <w:r>
                    <w:rPr>
                      <w:rFonts w:hint="eastAsia"/>
                      <w:color w:val="auto"/>
                      <w:highlight w:val="none"/>
                      <w:vertAlign w:val="superscript"/>
                      <w:lang w:val="en-US" w:eastAsia="zh-CN"/>
                    </w:rPr>
                    <w:t>-7</w:t>
                  </w:r>
                  <w:r>
                    <w:rPr>
                      <w:rFonts w:hint="eastAsia"/>
                      <w:color w:val="auto"/>
                      <w:highlight w:val="none"/>
                    </w:rPr>
                    <w:t>kg/h</w:t>
                  </w:r>
                </w:p>
              </w:tc>
              <w:tc>
                <w:tcPr>
                  <w:tcW w:w="1001" w:type="dxa"/>
                  <w:tcBorders>
                    <w:top w:val="single" w:color="auto" w:sz="4" w:space="0"/>
                    <w:left w:val="single" w:color="auto" w:sz="4" w:space="0"/>
                    <w:bottom w:val="single" w:color="auto" w:sz="4" w:space="0"/>
                    <w:right w:val="single" w:color="auto" w:sz="4" w:space="0"/>
                  </w:tcBorders>
                  <w:vAlign w:val="center"/>
                </w:tcPr>
                <w:p w14:paraId="09B7ADE6">
                  <w:pPr>
                    <w:pStyle w:val="86"/>
                    <w:keepNext w:val="0"/>
                    <w:keepLines w:val="0"/>
                    <w:suppressLineNumbers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5</w:t>
                  </w:r>
                </w:p>
              </w:tc>
              <w:tc>
                <w:tcPr>
                  <w:tcW w:w="994" w:type="dxa"/>
                  <w:tcBorders>
                    <w:top w:val="single" w:color="auto" w:sz="4" w:space="0"/>
                    <w:left w:val="single" w:color="auto" w:sz="4" w:space="0"/>
                    <w:bottom w:val="single" w:color="auto" w:sz="4" w:space="0"/>
                    <w:right w:val="single" w:color="auto" w:sz="4" w:space="0"/>
                  </w:tcBorders>
                  <w:vAlign w:val="center"/>
                </w:tcPr>
                <w:p w14:paraId="66971258">
                  <w:pPr>
                    <w:pStyle w:val="86"/>
                    <w:keepNext w:val="0"/>
                    <w:keepLines w:val="0"/>
                    <w:suppressLineNumbers w:val="0"/>
                    <w:spacing w:before="0" w:beforeAutospacing="0" w:after="0" w:afterAutospacing="0"/>
                    <w:ind w:left="0" w:right="0"/>
                    <w:rPr>
                      <w:rFonts w:hint="default" w:eastAsia="宋体"/>
                      <w:color w:val="auto"/>
                      <w:highlight w:val="none"/>
                      <w:lang w:val="en-US" w:eastAsia="zh-CN"/>
                    </w:rPr>
                  </w:pPr>
                  <w:r>
                    <w:rPr>
                      <w:rFonts w:hint="eastAsia"/>
                      <w:color w:val="auto"/>
                      <w:highlight w:val="none"/>
                      <w:lang w:val="en-US" w:eastAsia="zh-CN"/>
                    </w:rPr>
                    <w:t>40</w:t>
                  </w:r>
                </w:p>
              </w:tc>
              <w:tc>
                <w:tcPr>
                  <w:tcW w:w="998" w:type="dxa"/>
                  <w:tcBorders>
                    <w:top w:val="single" w:color="auto" w:sz="4" w:space="0"/>
                    <w:left w:val="single" w:color="auto" w:sz="4" w:space="0"/>
                    <w:bottom w:val="single" w:color="auto" w:sz="4" w:space="0"/>
                    <w:right w:val="single" w:color="auto" w:sz="4" w:space="0"/>
                  </w:tcBorders>
                  <w:vAlign w:val="center"/>
                </w:tcPr>
                <w:p w14:paraId="4CA796DF">
                  <w:pPr>
                    <w:pStyle w:val="86"/>
                    <w:keepNext w:val="0"/>
                    <w:keepLines w:val="0"/>
                    <w:suppressLineNumbers w:val="0"/>
                    <w:spacing w:before="0" w:beforeAutospacing="0" w:after="0" w:afterAutospacing="0"/>
                    <w:ind w:left="0" w:right="0"/>
                    <w:rPr>
                      <w:rFonts w:hint="eastAsia" w:eastAsia="宋体"/>
                      <w:color w:val="auto"/>
                      <w:highlight w:val="none"/>
                      <w:lang w:eastAsia="zh-CN"/>
                    </w:rPr>
                  </w:pPr>
                  <w:r>
                    <w:rPr>
                      <w:rFonts w:hint="eastAsia"/>
                      <w:color w:val="auto"/>
                      <w:highlight w:val="none"/>
                      <w:lang w:val="en-US" w:eastAsia="zh-CN"/>
                    </w:rPr>
                    <w:t>5</w:t>
                  </w:r>
                </w:p>
              </w:tc>
            </w:tr>
          </w:tbl>
          <w:p w14:paraId="2B7581BB">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rPr>
              <w:t>根据估算模式计算本项目无组织废气排放情况，详见表4-</w:t>
            </w:r>
            <w:r>
              <w:rPr>
                <w:rFonts w:hint="eastAsia" w:cs="Times New Roman"/>
                <w:bCs/>
                <w:color w:val="auto"/>
                <w:sz w:val="24"/>
                <w:highlight w:val="none"/>
                <w:lang w:val="en-US" w:eastAsia="zh-CN"/>
              </w:rPr>
              <w:t>8</w:t>
            </w:r>
            <w:r>
              <w:rPr>
                <w:rFonts w:hint="eastAsia" w:ascii="Times New Roman" w:hAnsi="Times New Roman" w:eastAsia="宋体" w:cs="Times New Roman"/>
                <w:bCs/>
                <w:color w:val="auto"/>
                <w:sz w:val="24"/>
                <w:highlight w:val="none"/>
              </w:rPr>
              <w:t>。</w:t>
            </w:r>
          </w:p>
          <w:p w14:paraId="55FEBD39">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表4-</w:t>
            </w:r>
            <w:r>
              <w:rPr>
                <w:rFonts w:hint="eastAsia" w:cs="Times New Roman"/>
                <w:color w:val="auto"/>
                <w:sz w:val="24"/>
                <w:highlight w:val="none"/>
                <w:lang w:val="en-US" w:eastAsia="zh-CN"/>
              </w:rPr>
              <w:t>8</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无组织废气排放基本情况表</w:t>
            </w:r>
          </w:p>
          <w:tbl>
            <w:tblPr>
              <w:tblStyle w:val="27"/>
              <w:tblW w:w="496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857"/>
              <w:gridCol w:w="790"/>
              <w:gridCol w:w="512"/>
              <w:gridCol w:w="509"/>
              <w:gridCol w:w="624"/>
              <w:gridCol w:w="538"/>
              <w:gridCol w:w="496"/>
              <w:gridCol w:w="718"/>
              <w:gridCol w:w="830"/>
              <w:gridCol w:w="670"/>
              <w:gridCol w:w="339"/>
            </w:tblGrid>
            <w:tr w14:paraId="0EAC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3" w:type="pct"/>
                  <w:vMerge w:val="restart"/>
                  <w:tcBorders>
                    <w:tl2br w:val="nil"/>
                    <w:tr2bl w:val="nil"/>
                  </w:tcBorders>
                  <w:vAlign w:val="center"/>
                </w:tcPr>
                <w:p w14:paraId="28AE08D4">
                  <w:pPr>
                    <w:pStyle w:val="86"/>
                    <w:keepNext w:val="0"/>
                    <w:keepLines w:val="0"/>
                    <w:suppressLineNumbers w:val="0"/>
                    <w:spacing w:before="0" w:beforeAutospacing="0" w:after="0" w:afterAutospacing="0"/>
                    <w:ind w:left="0" w:right="0"/>
                    <w:rPr>
                      <w:color w:val="auto"/>
                      <w:highlight w:val="none"/>
                    </w:rPr>
                  </w:pPr>
                  <w:r>
                    <w:rPr>
                      <w:color w:val="auto"/>
                      <w:highlight w:val="none"/>
                    </w:rPr>
                    <w:t>污染源名称</w:t>
                  </w:r>
                </w:p>
              </w:tc>
              <w:tc>
                <w:tcPr>
                  <w:tcW w:w="1032" w:type="pct"/>
                  <w:gridSpan w:val="2"/>
                  <w:tcBorders>
                    <w:tl2br w:val="nil"/>
                    <w:tr2bl w:val="nil"/>
                  </w:tcBorders>
                  <w:vAlign w:val="center"/>
                </w:tcPr>
                <w:p w14:paraId="37956DAE">
                  <w:pPr>
                    <w:pStyle w:val="86"/>
                    <w:keepNext w:val="0"/>
                    <w:keepLines w:val="0"/>
                    <w:suppressLineNumbers w:val="0"/>
                    <w:spacing w:before="0" w:beforeAutospacing="0" w:after="0" w:afterAutospacing="0"/>
                    <w:ind w:left="0" w:right="0"/>
                    <w:rPr>
                      <w:color w:val="auto"/>
                      <w:highlight w:val="none"/>
                    </w:rPr>
                  </w:pPr>
                  <w:r>
                    <w:rPr>
                      <w:color w:val="auto"/>
                      <w:highlight w:val="none"/>
                    </w:rPr>
                    <w:t>左下角坐标（°）</w:t>
                  </w:r>
                </w:p>
              </w:tc>
              <w:tc>
                <w:tcPr>
                  <w:tcW w:w="1031" w:type="pct"/>
                  <w:gridSpan w:val="3"/>
                  <w:tcBorders>
                    <w:tl2br w:val="nil"/>
                    <w:tr2bl w:val="nil"/>
                  </w:tcBorders>
                  <w:vAlign w:val="center"/>
                </w:tcPr>
                <w:p w14:paraId="7A9D7CAE">
                  <w:pPr>
                    <w:pStyle w:val="86"/>
                    <w:keepNext w:val="0"/>
                    <w:keepLines w:val="0"/>
                    <w:suppressLineNumbers w:val="0"/>
                    <w:spacing w:before="0" w:beforeAutospacing="0" w:after="0" w:afterAutospacing="0"/>
                    <w:ind w:left="0" w:right="0"/>
                    <w:rPr>
                      <w:color w:val="auto"/>
                      <w:highlight w:val="none"/>
                    </w:rPr>
                  </w:pPr>
                  <w:r>
                    <w:rPr>
                      <w:color w:val="auto"/>
                      <w:highlight w:val="none"/>
                    </w:rPr>
                    <w:t>矩形面源</w:t>
                  </w:r>
                </w:p>
              </w:tc>
              <w:tc>
                <w:tcPr>
                  <w:tcW w:w="337" w:type="pct"/>
                  <w:vMerge w:val="restart"/>
                  <w:tcBorders>
                    <w:tl2br w:val="nil"/>
                    <w:tr2bl w:val="nil"/>
                  </w:tcBorders>
                  <w:vAlign w:val="center"/>
                </w:tcPr>
                <w:p w14:paraId="06C52290">
                  <w:pPr>
                    <w:pStyle w:val="86"/>
                    <w:keepNext w:val="0"/>
                    <w:keepLines w:val="0"/>
                    <w:suppressLineNumbers w:val="0"/>
                    <w:spacing w:before="0" w:beforeAutospacing="0" w:after="0" w:afterAutospacing="0"/>
                    <w:ind w:left="0" w:right="0"/>
                    <w:rPr>
                      <w:color w:val="auto"/>
                      <w:highlight w:val="none"/>
                    </w:rPr>
                  </w:pPr>
                  <w:r>
                    <w:rPr>
                      <w:color w:val="auto"/>
                      <w:highlight w:val="none"/>
                    </w:rPr>
                    <w:t>污染物</w:t>
                  </w:r>
                </w:p>
              </w:tc>
              <w:tc>
                <w:tcPr>
                  <w:tcW w:w="311" w:type="pct"/>
                  <w:vMerge w:val="restart"/>
                  <w:tcBorders>
                    <w:tl2br w:val="nil"/>
                    <w:tr2bl w:val="nil"/>
                  </w:tcBorders>
                  <w:vAlign w:val="center"/>
                </w:tcPr>
                <w:p w14:paraId="53CBB1D2">
                  <w:pPr>
                    <w:pStyle w:val="86"/>
                    <w:keepNext w:val="0"/>
                    <w:keepLines w:val="0"/>
                    <w:suppressLineNumbers w:val="0"/>
                    <w:spacing w:before="0" w:beforeAutospacing="0" w:after="0" w:afterAutospacing="0"/>
                    <w:ind w:left="0" w:right="0"/>
                    <w:rPr>
                      <w:color w:val="auto"/>
                      <w:highlight w:val="none"/>
                    </w:rPr>
                  </w:pPr>
                  <w:r>
                    <w:rPr>
                      <w:color w:val="auto"/>
                      <w:highlight w:val="none"/>
                    </w:rPr>
                    <w:t>排放量</w:t>
                  </w:r>
                </w:p>
                <w:p w14:paraId="4871B861">
                  <w:pPr>
                    <w:pStyle w:val="86"/>
                    <w:keepNext w:val="0"/>
                    <w:keepLines w:val="0"/>
                    <w:suppressLineNumbers w:val="0"/>
                    <w:spacing w:before="0" w:beforeAutospacing="0" w:after="0" w:afterAutospacing="0"/>
                    <w:ind w:left="0" w:right="0"/>
                    <w:rPr>
                      <w:color w:val="auto"/>
                      <w:highlight w:val="none"/>
                    </w:rPr>
                  </w:pPr>
                  <w:r>
                    <w:rPr>
                      <w:color w:val="auto"/>
                      <w:highlight w:val="none"/>
                    </w:rPr>
                    <w:t>t/a</w:t>
                  </w:r>
                </w:p>
              </w:tc>
              <w:tc>
                <w:tcPr>
                  <w:tcW w:w="450" w:type="pct"/>
                  <w:vMerge w:val="restart"/>
                  <w:tcBorders>
                    <w:tl2br w:val="nil"/>
                    <w:tr2bl w:val="nil"/>
                  </w:tcBorders>
                  <w:vAlign w:val="center"/>
                </w:tcPr>
                <w:p w14:paraId="4DBB3B14">
                  <w:pPr>
                    <w:pStyle w:val="86"/>
                    <w:keepNext w:val="0"/>
                    <w:keepLines w:val="0"/>
                    <w:suppressLineNumbers w:val="0"/>
                    <w:spacing w:before="0" w:beforeAutospacing="0" w:after="0" w:afterAutospacing="0"/>
                    <w:ind w:left="0" w:right="0"/>
                    <w:rPr>
                      <w:color w:val="auto"/>
                      <w:highlight w:val="none"/>
                    </w:rPr>
                  </w:pPr>
                  <w:r>
                    <w:rPr>
                      <w:color w:val="auto"/>
                      <w:highlight w:val="none"/>
                    </w:rPr>
                    <w:t>排放</w:t>
                  </w:r>
                </w:p>
                <w:p w14:paraId="22D63FF1">
                  <w:pPr>
                    <w:pStyle w:val="86"/>
                    <w:keepNext w:val="0"/>
                    <w:keepLines w:val="0"/>
                    <w:suppressLineNumbers w:val="0"/>
                    <w:spacing w:before="0" w:beforeAutospacing="0" w:after="0" w:afterAutospacing="0"/>
                    <w:ind w:left="0" w:right="0"/>
                    <w:rPr>
                      <w:color w:val="auto"/>
                      <w:highlight w:val="none"/>
                    </w:rPr>
                  </w:pPr>
                  <w:r>
                    <w:rPr>
                      <w:color w:val="auto"/>
                      <w:highlight w:val="none"/>
                    </w:rPr>
                    <w:t>速率kg/h</w:t>
                  </w:r>
                </w:p>
              </w:tc>
              <w:tc>
                <w:tcPr>
                  <w:tcW w:w="520" w:type="pct"/>
                  <w:vMerge w:val="restart"/>
                  <w:tcBorders>
                    <w:tl2br w:val="nil"/>
                    <w:tr2bl w:val="nil"/>
                  </w:tcBorders>
                  <w:vAlign w:val="center"/>
                </w:tcPr>
                <w:p w14:paraId="105FB395">
                  <w:pPr>
                    <w:pStyle w:val="86"/>
                    <w:keepNext w:val="0"/>
                    <w:keepLines w:val="0"/>
                    <w:suppressLineNumbers w:val="0"/>
                    <w:spacing w:before="0" w:beforeAutospacing="0" w:after="0" w:afterAutospacing="0"/>
                    <w:ind w:left="0" w:right="0"/>
                    <w:rPr>
                      <w:color w:val="auto"/>
                      <w:highlight w:val="none"/>
                    </w:rPr>
                  </w:pPr>
                  <w:r>
                    <w:rPr>
                      <w:color w:val="auto"/>
                      <w:highlight w:val="none"/>
                    </w:rPr>
                    <w:t>厂界最大落地点浓度mg/m</w:t>
                  </w:r>
                  <w:r>
                    <w:rPr>
                      <w:color w:val="auto"/>
                      <w:highlight w:val="none"/>
                      <w:vertAlign w:val="superscript"/>
                    </w:rPr>
                    <w:t>3</w:t>
                  </w:r>
                </w:p>
              </w:tc>
              <w:tc>
                <w:tcPr>
                  <w:tcW w:w="420" w:type="pct"/>
                  <w:vMerge w:val="restart"/>
                  <w:tcBorders>
                    <w:tl2br w:val="nil"/>
                    <w:tr2bl w:val="nil"/>
                  </w:tcBorders>
                  <w:vAlign w:val="center"/>
                </w:tcPr>
                <w:p w14:paraId="427902FE">
                  <w:pPr>
                    <w:pStyle w:val="86"/>
                    <w:keepNext w:val="0"/>
                    <w:keepLines w:val="0"/>
                    <w:suppressLineNumbers w:val="0"/>
                    <w:spacing w:before="0" w:beforeAutospacing="0" w:after="0" w:afterAutospacing="0"/>
                    <w:ind w:left="0" w:right="0"/>
                    <w:rPr>
                      <w:color w:val="auto"/>
                      <w:highlight w:val="none"/>
                    </w:rPr>
                  </w:pPr>
                  <w:r>
                    <w:rPr>
                      <w:color w:val="auto"/>
                      <w:highlight w:val="none"/>
                    </w:rPr>
                    <w:t>排放标准mg/m</w:t>
                  </w:r>
                  <w:r>
                    <w:rPr>
                      <w:color w:val="auto"/>
                      <w:highlight w:val="none"/>
                      <w:vertAlign w:val="superscript"/>
                    </w:rPr>
                    <w:t>3</w:t>
                  </w:r>
                </w:p>
              </w:tc>
              <w:tc>
                <w:tcPr>
                  <w:tcW w:w="212" w:type="pct"/>
                  <w:vMerge w:val="restart"/>
                  <w:tcBorders>
                    <w:tl2br w:val="nil"/>
                    <w:tr2bl w:val="nil"/>
                  </w:tcBorders>
                  <w:vAlign w:val="center"/>
                </w:tcPr>
                <w:p w14:paraId="37749607">
                  <w:pPr>
                    <w:pStyle w:val="86"/>
                    <w:keepNext w:val="0"/>
                    <w:keepLines w:val="0"/>
                    <w:suppressLineNumbers w:val="0"/>
                    <w:spacing w:before="0" w:beforeAutospacing="0" w:after="0" w:afterAutospacing="0"/>
                    <w:ind w:left="0" w:right="0"/>
                    <w:rPr>
                      <w:color w:val="auto"/>
                      <w:highlight w:val="none"/>
                    </w:rPr>
                  </w:pPr>
                  <w:r>
                    <w:rPr>
                      <w:color w:val="auto"/>
                      <w:highlight w:val="none"/>
                    </w:rPr>
                    <w:t>是否达标</w:t>
                  </w:r>
                </w:p>
              </w:tc>
            </w:tr>
            <w:tr w14:paraId="1F6A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683" w:type="pct"/>
                  <w:vMerge w:val="continue"/>
                  <w:tcBorders>
                    <w:tl2br w:val="nil"/>
                    <w:tr2bl w:val="nil"/>
                  </w:tcBorders>
                  <w:vAlign w:val="center"/>
                </w:tcPr>
                <w:p w14:paraId="04800D34">
                  <w:pPr>
                    <w:pStyle w:val="86"/>
                    <w:keepNext w:val="0"/>
                    <w:keepLines w:val="0"/>
                    <w:suppressLineNumbers w:val="0"/>
                    <w:spacing w:before="0" w:beforeAutospacing="0" w:after="0" w:afterAutospacing="0"/>
                    <w:ind w:left="0" w:right="0"/>
                    <w:rPr>
                      <w:color w:val="auto"/>
                      <w:highlight w:val="none"/>
                    </w:rPr>
                  </w:pPr>
                </w:p>
              </w:tc>
              <w:tc>
                <w:tcPr>
                  <w:tcW w:w="537" w:type="pct"/>
                  <w:tcBorders>
                    <w:tl2br w:val="nil"/>
                    <w:tr2bl w:val="nil"/>
                  </w:tcBorders>
                  <w:vAlign w:val="center"/>
                </w:tcPr>
                <w:p w14:paraId="3F87320C">
                  <w:pPr>
                    <w:pStyle w:val="86"/>
                    <w:keepNext w:val="0"/>
                    <w:keepLines w:val="0"/>
                    <w:suppressLineNumbers w:val="0"/>
                    <w:spacing w:before="0" w:beforeAutospacing="0" w:after="0" w:afterAutospacing="0"/>
                    <w:ind w:left="0" w:right="0"/>
                    <w:rPr>
                      <w:color w:val="auto"/>
                      <w:highlight w:val="none"/>
                    </w:rPr>
                  </w:pPr>
                  <w:r>
                    <w:rPr>
                      <w:color w:val="auto"/>
                      <w:highlight w:val="none"/>
                    </w:rPr>
                    <w:t>经度</w:t>
                  </w:r>
                </w:p>
              </w:tc>
              <w:tc>
                <w:tcPr>
                  <w:tcW w:w="495" w:type="pct"/>
                  <w:tcBorders>
                    <w:tl2br w:val="nil"/>
                    <w:tr2bl w:val="nil"/>
                  </w:tcBorders>
                  <w:vAlign w:val="center"/>
                </w:tcPr>
                <w:p w14:paraId="4097CC01">
                  <w:pPr>
                    <w:pStyle w:val="86"/>
                    <w:keepNext w:val="0"/>
                    <w:keepLines w:val="0"/>
                    <w:suppressLineNumbers w:val="0"/>
                    <w:spacing w:before="0" w:beforeAutospacing="0" w:after="0" w:afterAutospacing="0"/>
                    <w:ind w:left="0" w:right="0"/>
                    <w:rPr>
                      <w:color w:val="auto"/>
                      <w:highlight w:val="none"/>
                    </w:rPr>
                  </w:pPr>
                  <w:r>
                    <w:rPr>
                      <w:color w:val="auto"/>
                      <w:highlight w:val="none"/>
                    </w:rPr>
                    <w:t>经度</w:t>
                  </w:r>
                </w:p>
              </w:tc>
              <w:tc>
                <w:tcPr>
                  <w:tcW w:w="321" w:type="pct"/>
                  <w:tcBorders>
                    <w:tl2br w:val="nil"/>
                    <w:tr2bl w:val="nil"/>
                  </w:tcBorders>
                  <w:vAlign w:val="center"/>
                </w:tcPr>
                <w:p w14:paraId="1A7A0D72">
                  <w:pPr>
                    <w:pStyle w:val="86"/>
                    <w:keepNext w:val="0"/>
                    <w:keepLines w:val="0"/>
                    <w:suppressLineNumbers w:val="0"/>
                    <w:spacing w:before="0" w:beforeAutospacing="0" w:after="0" w:afterAutospacing="0"/>
                    <w:ind w:left="0" w:right="0"/>
                    <w:rPr>
                      <w:color w:val="auto"/>
                      <w:highlight w:val="none"/>
                    </w:rPr>
                  </w:pPr>
                  <w:r>
                    <w:rPr>
                      <w:color w:val="auto"/>
                      <w:highlight w:val="none"/>
                    </w:rPr>
                    <w:t>长度</w:t>
                  </w:r>
                </w:p>
                <w:p w14:paraId="5762820A">
                  <w:pPr>
                    <w:pStyle w:val="86"/>
                    <w:keepNext w:val="0"/>
                    <w:keepLines w:val="0"/>
                    <w:suppressLineNumbers w:val="0"/>
                    <w:spacing w:before="0" w:beforeAutospacing="0" w:after="0" w:afterAutospacing="0"/>
                    <w:ind w:left="0" w:right="0"/>
                    <w:rPr>
                      <w:color w:val="auto"/>
                      <w:highlight w:val="none"/>
                    </w:rPr>
                  </w:pPr>
                  <w:r>
                    <w:rPr>
                      <w:color w:val="auto"/>
                      <w:highlight w:val="none"/>
                    </w:rPr>
                    <w:t>m</w:t>
                  </w:r>
                </w:p>
              </w:tc>
              <w:tc>
                <w:tcPr>
                  <w:tcW w:w="319" w:type="pct"/>
                  <w:tcBorders>
                    <w:tl2br w:val="nil"/>
                    <w:tr2bl w:val="nil"/>
                  </w:tcBorders>
                  <w:vAlign w:val="center"/>
                </w:tcPr>
                <w:p w14:paraId="7923993D">
                  <w:pPr>
                    <w:pStyle w:val="86"/>
                    <w:keepNext w:val="0"/>
                    <w:keepLines w:val="0"/>
                    <w:suppressLineNumbers w:val="0"/>
                    <w:spacing w:before="0" w:beforeAutospacing="0" w:after="0" w:afterAutospacing="0"/>
                    <w:ind w:left="0" w:right="0"/>
                    <w:rPr>
                      <w:color w:val="auto"/>
                      <w:highlight w:val="none"/>
                    </w:rPr>
                  </w:pPr>
                  <w:r>
                    <w:rPr>
                      <w:color w:val="auto"/>
                      <w:highlight w:val="none"/>
                    </w:rPr>
                    <w:t>宽度</w:t>
                  </w:r>
                </w:p>
                <w:p w14:paraId="65BAB0AB">
                  <w:pPr>
                    <w:pStyle w:val="86"/>
                    <w:keepNext w:val="0"/>
                    <w:keepLines w:val="0"/>
                    <w:suppressLineNumbers w:val="0"/>
                    <w:spacing w:before="0" w:beforeAutospacing="0" w:after="0" w:afterAutospacing="0"/>
                    <w:ind w:left="0" w:right="0"/>
                    <w:rPr>
                      <w:color w:val="auto"/>
                      <w:highlight w:val="none"/>
                    </w:rPr>
                  </w:pPr>
                  <w:r>
                    <w:rPr>
                      <w:color w:val="auto"/>
                      <w:highlight w:val="none"/>
                    </w:rPr>
                    <w:t>m</w:t>
                  </w:r>
                </w:p>
              </w:tc>
              <w:tc>
                <w:tcPr>
                  <w:tcW w:w="391" w:type="pct"/>
                  <w:tcBorders>
                    <w:tl2br w:val="nil"/>
                    <w:tr2bl w:val="nil"/>
                  </w:tcBorders>
                  <w:vAlign w:val="center"/>
                </w:tcPr>
                <w:p w14:paraId="46188589">
                  <w:pPr>
                    <w:pStyle w:val="86"/>
                    <w:keepNext w:val="0"/>
                    <w:keepLines w:val="0"/>
                    <w:suppressLineNumbers w:val="0"/>
                    <w:spacing w:before="0" w:beforeAutospacing="0" w:after="0" w:afterAutospacing="0"/>
                    <w:ind w:left="0" w:right="0"/>
                    <w:rPr>
                      <w:color w:val="auto"/>
                      <w:highlight w:val="none"/>
                    </w:rPr>
                  </w:pPr>
                  <w:r>
                    <w:rPr>
                      <w:color w:val="auto"/>
                      <w:highlight w:val="none"/>
                    </w:rPr>
                    <w:t>有效高</w:t>
                  </w:r>
                </w:p>
                <w:p w14:paraId="35C7A473">
                  <w:pPr>
                    <w:pStyle w:val="86"/>
                    <w:keepNext w:val="0"/>
                    <w:keepLines w:val="0"/>
                    <w:suppressLineNumbers w:val="0"/>
                    <w:spacing w:before="0" w:beforeAutospacing="0" w:after="0" w:afterAutospacing="0"/>
                    <w:ind w:left="0" w:right="0"/>
                    <w:rPr>
                      <w:color w:val="auto"/>
                      <w:highlight w:val="none"/>
                    </w:rPr>
                  </w:pPr>
                  <w:r>
                    <w:rPr>
                      <w:color w:val="auto"/>
                      <w:highlight w:val="none"/>
                    </w:rPr>
                    <w:t>度m</w:t>
                  </w:r>
                </w:p>
              </w:tc>
              <w:tc>
                <w:tcPr>
                  <w:tcW w:w="337" w:type="pct"/>
                  <w:vMerge w:val="continue"/>
                  <w:tcBorders>
                    <w:tl2br w:val="nil"/>
                    <w:tr2bl w:val="nil"/>
                  </w:tcBorders>
                  <w:vAlign w:val="center"/>
                </w:tcPr>
                <w:p w14:paraId="46FC94C9">
                  <w:pPr>
                    <w:pStyle w:val="86"/>
                    <w:keepNext w:val="0"/>
                    <w:keepLines w:val="0"/>
                    <w:suppressLineNumbers w:val="0"/>
                    <w:spacing w:before="0" w:beforeAutospacing="0" w:after="0" w:afterAutospacing="0"/>
                    <w:ind w:left="0" w:right="0"/>
                    <w:rPr>
                      <w:color w:val="auto"/>
                      <w:highlight w:val="none"/>
                    </w:rPr>
                  </w:pPr>
                </w:p>
              </w:tc>
              <w:tc>
                <w:tcPr>
                  <w:tcW w:w="311" w:type="pct"/>
                  <w:vMerge w:val="continue"/>
                  <w:tcBorders>
                    <w:tl2br w:val="nil"/>
                    <w:tr2bl w:val="nil"/>
                  </w:tcBorders>
                  <w:vAlign w:val="center"/>
                </w:tcPr>
                <w:p w14:paraId="62E4C805">
                  <w:pPr>
                    <w:pStyle w:val="86"/>
                    <w:keepNext w:val="0"/>
                    <w:keepLines w:val="0"/>
                    <w:suppressLineNumbers w:val="0"/>
                    <w:spacing w:before="0" w:beforeAutospacing="0" w:after="0" w:afterAutospacing="0"/>
                    <w:ind w:left="0" w:right="0"/>
                    <w:rPr>
                      <w:color w:val="auto"/>
                      <w:highlight w:val="none"/>
                    </w:rPr>
                  </w:pPr>
                </w:p>
              </w:tc>
              <w:tc>
                <w:tcPr>
                  <w:tcW w:w="450" w:type="pct"/>
                  <w:vMerge w:val="continue"/>
                  <w:tcBorders>
                    <w:tl2br w:val="nil"/>
                    <w:tr2bl w:val="nil"/>
                  </w:tcBorders>
                  <w:vAlign w:val="center"/>
                </w:tcPr>
                <w:p w14:paraId="7DDA6252">
                  <w:pPr>
                    <w:pStyle w:val="86"/>
                    <w:keepNext w:val="0"/>
                    <w:keepLines w:val="0"/>
                    <w:suppressLineNumbers w:val="0"/>
                    <w:spacing w:before="0" w:beforeAutospacing="0" w:after="0" w:afterAutospacing="0"/>
                    <w:ind w:left="0" w:right="0"/>
                    <w:rPr>
                      <w:color w:val="auto"/>
                      <w:highlight w:val="none"/>
                    </w:rPr>
                  </w:pPr>
                </w:p>
              </w:tc>
              <w:tc>
                <w:tcPr>
                  <w:tcW w:w="520" w:type="pct"/>
                  <w:vMerge w:val="continue"/>
                  <w:tcBorders>
                    <w:tl2br w:val="nil"/>
                    <w:tr2bl w:val="nil"/>
                  </w:tcBorders>
                  <w:vAlign w:val="center"/>
                </w:tcPr>
                <w:p w14:paraId="3DFAE351">
                  <w:pPr>
                    <w:pStyle w:val="86"/>
                    <w:keepNext w:val="0"/>
                    <w:keepLines w:val="0"/>
                    <w:suppressLineNumbers w:val="0"/>
                    <w:spacing w:before="0" w:beforeAutospacing="0" w:after="0" w:afterAutospacing="0"/>
                    <w:ind w:left="0" w:right="0"/>
                    <w:rPr>
                      <w:color w:val="auto"/>
                      <w:highlight w:val="none"/>
                    </w:rPr>
                  </w:pPr>
                </w:p>
              </w:tc>
              <w:tc>
                <w:tcPr>
                  <w:tcW w:w="420" w:type="pct"/>
                  <w:vMerge w:val="continue"/>
                  <w:tcBorders>
                    <w:tl2br w:val="nil"/>
                    <w:tr2bl w:val="nil"/>
                  </w:tcBorders>
                  <w:vAlign w:val="center"/>
                </w:tcPr>
                <w:p w14:paraId="5CEF7A42">
                  <w:pPr>
                    <w:pStyle w:val="86"/>
                    <w:keepNext w:val="0"/>
                    <w:keepLines w:val="0"/>
                    <w:suppressLineNumbers w:val="0"/>
                    <w:spacing w:before="0" w:beforeAutospacing="0" w:after="0" w:afterAutospacing="0"/>
                    <w:ind w:left="0" w:right="0"/>
                    <w:rPr>
                      <w:color w:val="auto"/>
                      <w:highlight w:val="none"/>
                    </w:rPr>
                  </w:pPr>
                </w:p>
              </w:tc>
              <w:tc>
                <w:tcPr>
                  <w:tcW w:w="212" w:type="pct"/>
                  <w:vMerge w:val="continue"/>
                  <w:tcBorders>
                    <w:tl2br w:val="nil"/>
                    <w:tr2bl w:val="nil"/>
                  </w:tcBorders>
                  <w:vAlign w:val="center"/>
                </w:tcPr>
                <w:p w14:paraId="6A321C07">
                  <w:pPr>
                    <w:pStyle w:val="86"/>
                    <w:keepNext w:val="0"/>
                    <w:keepLines w:val="0"/>
                    <w:suppressLineNumbers w:val="0"/>
                    <w:spacing w:before="0" w:beforeAutospacing="0" w:after="0" w:afterAutospacing="0"/>
                    <w:ind w:left="0" w:right="0"/>
                    <w:rPr>
                      <w:color w:val="auto"/>
                      <w:highlight w:val="none"/>
                    </w:rPr>
                  </w:pPr>
                </w:p>
              </w:tc>
            </w:tr>
            <w:tr w14:paraId="56EC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83" w:type="pct"/>
                  <w:tcBorders>
                    <w:tl2br w:val="nil"/>
                    <w:tr2bl w:val="nil"/>
                  </w:tcBorders>
                  <w:shd w:val="clear" w:color="auto" w:fill="auto"/>
                  <w:vAlign w:val="center"/>
                </w:tcPr>
                <w:p w14:paraId="689BF5AC">
                  <w:pPr>
                    <w:pStyle w:val="86"/>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罐区C（11座23m</w:t>
                  </w:r>
                  <w:r>
                    <w:rPr>
                      <w:rFonts w:hint="eastAsia"/>
                      <w:color w:val="auto"/>
                      <w:highlight w:val="none"/>
                      <w:vertAlign w:val="superscript"/>
                      <w:lang w:val="en-US" w:eastAsia="zh-CN"/>
                    </w:rPr>
                    <w:t>3</w:t>
                  </w:r>
                  <w:r>
                    <w:rPr>
                      <w:rFonts w:hint="eastAsia"/>
                      <w:color w:val="auto"/>
                      <w:highlight w:val="none"/>
                      <w:lang w:val="en-US" w:eastAsia="zh-CN"/>
                    </w:rPr>
                    <w:t>）</w:t>
                  </w:r>
                </w:p>
              </w:tc>
              <w:tc>
                <w:tcPr>
                  <w:tcW w:w="537" w:type="pct"/>
                  <w:tcBorders>
                    <w:tl2br w:val="nil"/>
                    <w:tr2bl w:val="nil"/>
                  </w:tcBorders>
                  <w:vAlign w:val="center"/>
                </w:tcPr>
                <w:p w14:paraId="422CB4F4">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124°2′46.11788″</w:t>
                  </w:r>
                </w:p>
              </w:tc>
              <w:tc>
                <w:tcPr>
                  <w:tcW w:w="495" w:type="pct"/>
                  <w:tcBorders>
                    <w:tl2br w:val="nil"/>
                    <w:tr2bl w:val="nil"/>
                  </w:tcBorders>
                  <w:vAlign w:val="center"/>
                </w:tcPr>
                <w:p w14:paraId="4826DCF1">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41°48′43.61388″</w:t>
                  </w:r>
                </w:p>
              </w:tc>
              <w:tc>
                <w:tcPr>
                  <w:tcW w:w="321" w:type="pct"/>
                  <w:tcBorders>
                    <w:tl2br w:val="nil"/>
                    <w:tr2bl w:val="nil"/>
                  </w:tcBorders>
                  <w:vAlign w:val="center"/>
                </w:tcPr>
                <w:p w14:paraId="15F6DD66">
                  <w:pPr>
                    <w:pStyle w:val="86"/>
                    <w:keepNext w:val="0"/>
                    <w:keepLines w:val="0"/>
                    <w:suppressLineNumbers w:val="0"/>
                    <w:spacing w:before="0" w:beforeAutospacing="0" w:after="0" w:afterAutospacing="0"/>
                    <w:ind w:left="0" w:right="0"/>
                    <w:rPr>
                      <w:rFonts w:hint="default" w:eastAsia="宋体"/>
                      <w:color w:val="auto"/>
                      <w:highlight w:val="none"/>
                      <w:lang w:val="en-US" w:eastAsia="zh-CN"/>
                    </w:rPr>
                  </w:pPr>
                  <w:r>
                    <w:rPr>
                      <w:rFonts w:hint="eastAsia"/>
                      <w:color w:val="auto"/>
                      <w:highlight w:val="none"/>
                      <w:lang w:val="en-US" w:eastAsia="zh-CN"/>
                    </w:rPr>
                    <w:t>40</w:t>
                  </w:r>
                </w:p>
              </w:tc>
              <w:tc>
                <w:tcPr>
                  <w:tcW w:w="319" w:type="pct"/>
                  <w:tcBorders>
                    <w:tl2br w:val="nil"/>
                    <w:tr2bl w:val="nil"/>
                  </w:tcBorders>
                  <w:vAlign w:val="center"/>
                </w:tcPr>
                <w:p w14:paraId="3A984F59">
                  <w:pPr>
                    <w:pStyle w:val="86"/>
                    <w:keepNext w:val="0"/>
                    <w:keepLines w:val="0"/>
                    <w:suppressLineNumbers w:val="0"/>
                    <w:spacing w:before="0" w:beforeAutospacing="0" w:after="0" w:afterAutospacing="0"/>
                    <w:ind w:left="0" w:right="0"/>
                    <w:rPr>
                      <w:rFonts w:hint="eastAsia" w:eastAsia="宋体"/>
                      <w:color w:val="auto"/>
                      <w:highlight w:val="none"/>
                      <w:lang w:eastAsia="zh-CN"/>
                    </w:rPr>
                  </w:pPr>
                  <w:r>
                    <w:rPr>
                      <w:rFonts w:hint="eastAsia"/>
                      <w:color w:val="auto"/>
                      <w:highlight w:val="none"/>
                      <w:lang w:val="en-US" w:eastAsia="zh-CN"/>
                    </w:rPr>
                    <w:t>5</w:t>
                  </w:r>
                </w:p>
              </w:tc>
              <w:tc>
                <w:tcPr>
                  <w:tcW w:w="391" w:type="pct"/>
                  <w:tcBorders>
                    <w:tl2br w:val="nil"/>
                    <w:tr2bl w:val="nil"/>
                  </w:tcBorders>
                  <w:vAlign w:val="center"/>
                </w:tcPr>
                <w:p w14:paraId="0028D324">
                  <w:pPr>
                    <w:pStyle w:val="86"/>
                    <w:keepNext w:val="0"/>
                    <w:keepLines w:val="0"/>
                    <w:suppressLineNumbers w:val="0"/>
                    <w:spacing w:before="0" w:beforeAutospacing="0" w:after="0" w:afterAutospacing="0"/>
                    <w:ind w:left="0" w:right="0"/>
                    <w:rPr>
                      <w:rFonts w:hint="eastAsia" w:eastAsia="宋体"/>
                      <w:color w:val="auto"/>
                      <w:highlight w:val="none"/>
                      <w:lang w:eastAsia="zh-CN"/>
                    </w:rPr>
                  </w:pPr>
                  <w:r>
                    <w:rPr>
                      <w:rFonts w:hint="eastAsia"/>
                      <w:color w:val="auto"/>
                      <w:highlight w:val="none"/>
                      <w:lang w:val="en-US" w:eastAsia="zh-CN"/>
                    </w:rPr>
                    <w:t>5</w:t>
                  </w:r>
                </w:p>
              </w:tc>
              <w:tc>
                <w:tcPr>
                  <w:tcW w:w="337" w:type="pct"/>
                  <w:tcBorders>
                    <w:tl2br w:val="nil"/>
                    <w:tr2bl w:val="nil"/>
                  </w:tcBorders>
                  <w:vAlign w:val="center"/>
                </w:tcPr>
                <w:p w14:paraId="3938BC55">
                  <w:pPr>
                    <w:keepNext w:val="0"/>
                    <w:keepLines w:val="0"/>
                    <w:suppressLineNumbers w:val="0"/>
                    <w:spacing w:before="0" w:beforeAutospacing="0" w:after="0" w:afterAutospacing="0"/>
                    <w:ind w:left="0" w:right="0"/>
                    <w:rPr>
                      <w:color w:val="auto"/>
                      <w:highlight w:val="none"/>
                    </w:rPr>
                  </w:pPr>
                  <w:r>
                    <w:rPr>
                      <w:rFonts w:hint="eastAsia"/>
                      <w:color w:val="auto"/>
                      <w:highlight w:val="none"/>
                    </w:rPr>
                    <w:t>非甲烷总烃</w:t>
                  </w:r>
                </w:p>
              </w:tc>
              <w:tc>
                <w:tcPr>
                  <w:tcW w:w="311" w:type="pct"/>
                  <w:tcBorders>
                    <w:tl2br w:val="nil"/>
                    <w:tr2bl w:val="nil"/>
                  </w:tcBorders>
                  <w:vAlign w:val="center"/>
                </w:tcPr>
                <w:p w14:paraId="509DE1D2">
                  <w:pPr>
                    <w:pStyle w:val="86"/>
                    <w:keepNext w:val="0"/>
                    <w:keepLines w:val="0"/>
                    <w:suppressLineNumbers w:val="0"/>
                    <w:spacing w:before="0" w:beforeAutospacing="0" w:after="0" w:afterAutospacing="0"/>
                    <w:ind w:left="0" w:right="0"/>
                    <w:rPr>
                      <w:rFonts w:hint="default" w:eastAsia="宋体"/>
                      <w:color w:val="auto"/>
                      <w:highlight w:val="none"/>
                      <w:lang w:val="en-US" w:eastAsia="zh-CN"/>
                    </w:rPr>
                  </w:pPr>
                  <w:r>
                    <w:rPr>
                      <w:rFonts w:hint="eastAsia"/>
                      <w:color w:val="auto"/>
                      <w:highlight w:val="none"/>
                      <w:lang w:val="en-US" w:eastAsia="zh-CN"/>
                    </w:rPr>
                    <w:t>0.004</w:t>
                  </w:r>
                </w:p>
              </w:tc>
              <w:tc>
                <w:tcPr>
                  <w:tcW w:w="450" w:type="pct"/>
                  <w:tcBorders>
                    <w:tl2br w:val="nil"/>
                    <w:tr2bl w:val="nil"/>
                  </w:tcBorders>
                  <w:vAlign w:val="center"/>
                </w:tcPr>
                <w:p w14:paraId="53ED0E74">
                  <w:pPr>
                    <w:pStyle w:val="86"/>
                    <w:keepNext w:val="0"/>
                    <w:keepLines w:val="0"/>
                    <w:suppressLineNumbers w:val="0"/>
                    <w:spacing w:before="0" w:beforeAutospacing="0" w:after="0" w:afterAutospacing="0"/>
                    <w:ind w:left="0" w:right="0"/>
                    <w:rPr>
                      <w:color w:val="auto"/>
                      <w:highlight w:val="none"/>
                    </w:rPr>
                  </w:pPr>
                  <w:r>
                    <w:rPr>
                      <w:rFonts w:hint="eastAsia"/>
                      <w:color w:val="auto"/>
                      <w:highlight w:val="none"/>
                      <w:lang w:val="en-US" w:eastAsia="zh-CN"/>
                    </w:rPr>
                    <w:t>6.66×10</w:t>
                  </w:r>
                  <w:r>
                    <w:rPr>
                      <w:rFonts w:hint="eastAsia"/>
                      <w:color w:val="auto"/>
                      <w:highlight w:val="none"/>
                      <w:vertAlign w:val="superscript"/>
                      <w:lang w:val="en-US" w:eastAsia="zh-CN"/>
                    </w:rPr>
                    <w:t>-7</w:t>
                  </w:r>
                </w:p>
              </w:tc>
              <w:tc>
                <w:tcPr>
                  <w:tcW w:w="520" w:type="pct"/>
                  <w:tcBorders>
                    <w:tl2br w:val="nil"/>
                    <w:tr2bl w:val="nil"/>
                  </w:tcBorders>
                  <w:vAlign w:val="center"/>
                </w:tcPr>
                <w:p w14:paraId="485057D3">
                  <w:pPr>
                    <w:pStyle w:val="86"/>
                    <w:keepNext w:val="0"/>
                    <w:keepLines w:val="0"/>
                    <w:suppressLineNumbers w:val="0"/>
                    <w:spacing w:before="0" w:beforeAutospacing="0" w:after="0" w:afterAutospacing="0"/>
                    <w:ind w:left="0" w:right="0"/>
                    <w:rPr>
                      <w:rFonts w:hint="default" w:eastAsia="宋体"/>
                      <w:color w:val="auto"/>
                      <w:highlight w:val="none"/>
                      <w:lang w:val="en-US" w:eastAsia="zh-CN"/>
                    </w:rPr>
                  </w:pPr>
                  <w:r>
                    <w:rPr>
                      <w:rFonts w:hint="eastAsia"/>
                      <w:color w:val="auto"/>
                      <w:highlight w:val="none"/>
                      <w:lang w:val="en-US" w:eastAsia="zh-CN"/>
                    </w:rPr>
                    <w:t>0.00038</w:t>
                  </w:r>
                </w:p>
              </w:tc>
              <w:tc>
                <w:tcPr>
                  <w:tcW w:w="420" w:type="pct"/>
                  <w:tcBorders>
                    <w:tl2br w:val="nil"/>
                    <w:tr2bl w:val="nil"/>
                  </w:tcBorders>
                  <w:vAlign w:val="center"/>
                </w:tcPr>
                <w:p w14:paraId="4D4611C4">
                  <w:pPr>
                    <w:pStyle w:val="86"/>
                    <w:keepNext w:val="0"/>
                    <w:keepLines w:val="0"/>
                    <w:suppressLineNumbers w:val="0"/>
                    <w:spacing w:before="0" w:beforeAutospacing="0" w:after="0" w:afterAutospacing="0"/>
                    <w:ind w:left="0" w:right="0"/>
                    <w:rPr>
                      <w:color w:val="auto"/>
                      <w:highlight w:val="none"/>
                    </w:rPr>
                  </w:pPr>
                  <w:r>
                    <w:rPr>
                      <w:rFonts w:hint="eastAsia"/>
                      <w:color w:val="auto"/>
                      <w:highlight w:val="none"/>
                    </w:rPr>
                    <w:t>4</w:t>
                  </w:r>
                </w:p>
              </w:tc>
              <w:tc>
                <w:tcPr>
                  <w:tcW w:w="212" w:type="pct"/>
                  <w:tcBorders>
                    <w:tl2br w:val="nil"/>
                    <w:tr2bl w:val="nil"/>
                  </w:tcBorders>
                  <w:vAlign w:val="center"/>
                </w:tcPr>
                <w:p w14:paraId="14247D6C">
                  <w:pPr>
                    <w:pStyle w:val="86"/>
                    <w:keepNext w:val="0"/>
                    <w:keepLines w:val="0"/>
                    <w:suppressLineNumbers w:val="0"/>
                    <w:spacing w:before="0" w:beforeAutospacing="0" w:after="0" w:afterAutospacing="0"/>
                    <w:ind w:left="0" w:right="0"/>
                    <w:rPr>
                      <w:color w:val="auto"/>
                      <w:highlight w:val="none"/>
                    </w:rPr>
                  </w:pPr>
                  <w:r>
                    <w:rPr>
                      <w:color w:val="auto"/>
                      <w:highlight w:val="none"/>
                    </w:rPr>
                    <w:t>达标</w:t>
                  </w:r>
                </w:p>
              </w:tc>
            </w:tr>
          </w:tbl>
          <w:p w14:paraId="44C4D866">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color w:val="auto"/>
                <w:highlight w:val="none"/>
              </w:rPr>
            </w:pPr>
            <w:r>
              <w:rPr>
                <w:color w:val="auto"/>
                <w:sz w:val="24"/>
                <w:highlight w:val="none"/>
              </w:rPr>
              <w:t>通过估算模型计算</w:t>
            </w:r>
            <w:r>
              <w:rPr>
                <w:rFonts w:hint="eastAsia"/>
                <w:color w:val="auto"/>
                <w:sz w:val="24"/>
                <w:highlight w:val="none"/>
              </w:rPr>
              <w:t>结果可知</w:t>
            </w:r>
            <w:r>
              <w:rPr>
                <w:color w:val="auto"/>
                <w:sz w:val="24"/>
                <w:highlight w:val="none"/>
              </w:rPr>
              <w:t>：非甲烷总烃无组织排放浓度</w:t>
            </w:r>
            <w:r>
              <w:rPr>
                <w:rFonts w:hint="eastAsia"/>
                <w:color w:val="auto"/>
                <w:sz w:val="24"/>
                <w:highlight w:val="none"/>
              </w:rPr>
              <w:t>满足《大气污染物综合排放标准》（GB16297-1996）中相关限值。</w:t>
            </w:r>
          </w:p>
          <w:p w14:paraId="376F6AFF">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2" w:firstLineChars="200"/>
              <w:textAlignment w:val="auto"/>
              <w:rPr>
                <w:rFonts w:hint="default" w:ascii="Times New Roman" w:hAnsi="Times New Roman" w:eastAsia="宋体" w:cs="Times New Roman"/>
                <w:color w:val="auto"/>
                <w:sz w:val="24"/>
                <w:highlight w:val="none"/>
                <w:lang w:val="en-US" w:eastAsia="zh-CN"/>
              </w:rPr>
            </w:pPr>
            <w:r>
              <w:rPr>
                <w:rFonts w:hint="eastAsia" w:cs="Times New Roman"/>
                <w:b/>
                <w:color w:val="auto"/>
                <w:sz w:val="24"/>
                <w:highlight w:val="none"/>
                <w:lang w:eastAsia="zh-CN"/>
              </w:rPr>
              <w:t>（</w:t>
            </w:r>
            <w:r>
              <w:rPr>
                <w:rFonts w:hint="eastAsia" w:cs="Times New Roman"/>
                <w:b/>
                <w:color w:val="auto"/>
                <w:sz w:val="24"/>
                <w:highlight w:val="none"/>
                <w:lang w:val="en-US" w:eastAsia="zh-CN"/>
              </w:rPr>
              <w:t>5</w:t>
            </w:r>
            <w:r>
              <w:rPr>
                <w:rFonts w:hint="eastAsia" w:cs="Times New Roman"/>
                <w:b/>
                <w:color w:val="auto"/>
                <w:sz w:val="24"/>
                <w:highlight w:val="none"/>
                <w:lang w:eastAsia="zh-CN"/>
              </w:rPr>
              <w:t>）</w:t>
            </w:r>
            <w:r>
              <w:rPr>
                <w:rFonts w:hint="eastAsia" w:cs="Times New Roman"/>
                <w:b/>
                <w:color w:val="auto"/>
                <w:sz w:val="24"/>
                <w:highlight w:val="none"/>
                <w:lang w:val="en-US" w:eastAsia="zh-CN"/>
              </w:rPr>
              <w:t>可行技术分析</w:t>
            </w:r>
          </w:p>
          <w:p w14:paraId="05CE7894">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生态环境部暂未发布</w:t>
            </w:r>
            <w:r>
              <w:rPr>
                <w:rFonts w:hint="eastAsia" w:ascii="Times New Roman" w:hAnsi="Times New Roman" w:eastAsia="宋体" w:cs="Times New Roman"/>
                <w:color w:val="auto"/>
                <w:sz w:val="24"/>
                <w:highlight w:val="none"/>
              </w:rPr>
              <w:t>原油加工及石油制品制造</w:t>
            </w:r>
            <w:r>
              <w:rPr>
                <w:rFonts w:hint="eastAsia" w:ascii="Times New Roman" w:hAnsi="Times New Roman" w:eastAsia="宋体" w:cs="Times New Roman"/>
                <w:color w:val="auto"/>
                <w:sz w:val="24"/>
                <w:highlight w:val="none"/>
                <w:lang w:val="en-US" w:eastAsia="zh-CN"/>
              </w:rPr>
              <w:t>行业排污许可证申请与核发技术规范 ，本项目参照执行《排污许可证申请与核发技术规范  石化工业》（HJ853-2017）、《挥发性有机物无组织排放控制标准》（GB37822-2019）。</w:t>
            </w:r>
          </w:p>
          <w:p w14:paraId="01E5FF14">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本项目采取以下措施抑制VOCs产生：</w:t>
            </w:r>
          </w:p>
          <w:p w14:paraId="3253BF51">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a.本项目造粒机采用密闭式，液体物料均为密闭管道进料和输送；石蜡储存于密闭的包装袋、原料仓库及储罐中；固体袋装石蜡存放于原料仓库内，周转固体石蜡暂存于设置有雨棚、遮阳和防渗设施的原材料储存雨棚；固体石蜡的包装袋在非取用状态时封口、保持密闭。原料仓库及储罐满足《挥发性有机物无组织排放控制标准》（GB37822-2019）中3.6条对密闭空间的要求。</w:t>
            </w:r>
          </w:p>
          <w:p w14:paraId="51002EB4">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b、项目固体物料投料采用密闭投料，固体物料密闭管道进入反应釜内，以减少车间内固体投料产生的无组织废气排放。液体投料采用高位槽投料，泵入反应釜内；</w:t>
            </w:r>
          </w:p>
          <w:p w14:paraId="2E5C196F">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c、各工艺操作应采用密闭操作，VOCs物料的投放、配料、混合等过程均采用密闭设备或在密闭空间内操作；</w:t>
            </w:r>
          </w:p>
          <w:p w14:paraId="2C10A9D8">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d、含VOCs物料转移和输送，采用密闭管道或密闭容器；</w:t>
            </w:r>
          </w:p>
          <w:p w14:paraId="7042E10F">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e、对设备、管道、阀门经常检查、检修，保持装置气密性良好，反应设备的进料口、出料口、检修口、搅拌口、观察孔等开口（孔）在不操作时须密闭；</w:t>
            </w:r>
          </w:p>
          <w:p w14:paraId="03764C35">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f、本项目使用低（无）泄漏的泵；</w:t>
            </w:r>
          </w:p>
          <w:p w14:paraId="64F48D5A">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g、加强操作工的培训和管理，所有操作严格按照既定的规程进行，以减少人为造成的对环境的污染。</w:t>
            </w:r>
          </w:p>
          <w:p w14:paraId="1D6A6234">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上述技术为《排污许可证申请与核发技术规范  石化工业》（HJ853-2017）、《挥发性有机物无组织排放控制标准》（GB37822-2019）中可行技术。</w:t>
            </w:r>
          </w:p>
          <w:p w14:paraId="211A0C00">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highlight w:val="none"/>
                <w:lang w:eastAsia="zh-CN"/>
              </w:rPr>
            </w:pPr>
            <w:r>
              <w:rPr>
                <w:rFonts w:hint="eastAsia" w:ascii="Times New Roman" w:hAnsi="Times New Roman" w:eastAsia="宋体" w:cs="Times New Roman"/>
                <w:b/>
                <w:color w:val="auto"/>
                <w:sz w:val="24"/>
                <w:highlight w:val="none"/>
                <w:lang w:eastAsia="zh-CN"/>
              </w:rPr>
              <w:t>（</w:t>
            </w:r>
            <w:r>
              <w:rPr>
                <w:rFonts w:hint="eastAsia" w:cs="Times New Roman"/>
                <w:b/>
                <w:color w:val="auto"/>
                <w:sz w:val="24"/>
                <w:highlight w:val="none"/>
                <w:lang w:val="en-US" w:eastAsia="zh-CN"/>
              </w:rPr>
              <w:t>6</w:t>
            </w:r>
            <w:r>
              <w:rPr>
                <w:rFonts w:hint="eastAsia" w:ascii="Times New Roman" w:hAnsi="Times New Roman" w:eastAsia="宋体" w:cs="Times New Roman"/>
                <w:b/>
                <w:color w:val="auto"/>
                <w:sz w:val="24"/>
                <w:highlight w:val="none"/>
                <w:lang w:eastAsia="zh-CN"/>
              </w:rPr>
              <w:t>）废气监测计划</w:t>
            </w:r>
          </w:p>
          <w:p w14:paraId="7F4B1F82">
            <w:pPr>
              <w:pStyle w:val="5"/>
              <w:suppressLineNumbers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olor w:val="auto"/>
                <w:kern w:val="0"/>
                <w:sz w:val="24"/>
                <w:szCs w:val="20"/>
                <w:highlight w:val="none"/>
                <w:lang w:val="en-US" w:eastAsia="zh-CN" w:bidi="ar-SA"/>
              </w:rPr>
            </w:pPr>
            <w:r>
              <w:rPr>
                <w:rFonts w:hint="eastAsia" w:ascii="Times New Roman" w:hAnsi="Times New Roman" w:eastAsia="宋体" w:cs="Times New Roman"/>
                <w:b w:val="0"/>
                <w:bCs/>
                <w:color w:val="auto"/>
                <w:kern w:val="0"/>
                <w:sz w:val="24"/>
                <w:szCs w:val="20"/>
                <w:highlight w:val="none"/>
                <w:lang w:val="en-US" w:eastAsia="zh-CN" w:bidi="ar-SA"/>
              </w:rPr>
              <w:t>根据《排污单位自行监测技术指南 总则》（HJ819-2017）</w:t>
            </w:r>
            <w:r>
              <w:rPr>
                <w:rFonts w:hint="eastAsia" w:cs="Times New Roman"/>
                <w:b w:val="0"/>
                <w:bCs/>
                <w:color w:val="auto"/>
                <w:kern w:val="0"/>
                <w:sz w:val="24"/>
                <w:szCs w:val="20"/>
                <w:highlight w:val="none"/>
                <w:lang w:val="en-US" w:eastAsia="zh-CN" w:bidi="ar-SA"/>
              </w:rPr>
              <w:t>、《排污单位自行监测技术指南  石油化学工业》（HJ947-2018）</w:t>
            </w:r>
            <w:r>
              <w:rPr>
                <w:rFonts w:hint="eastAsia" w:ascii="Times New Roman" w:hAnsi="Times New Roman" w:eastAsia="宋体" w:cs="Times New Roman"/>
                <w:b w:val="0"/>
                <w:bCs/>
                <w:color w:val="auto"/>
                <w:kern w:val="0"/>
                <w:sz w:val="24"/>
                <w:szCs w:val="20"/>
                <w:highlight w:val="none"/>
                <w:lang w:val="en-US" w:eastAsia="zh-CN" w:bidi="ar-SA"/>
              </w:rPr>
              <w:t>要求，本项目委托有资质单位对营运期产生的废气进行定期监测，监测内容及监测频次见下表4-</w:t>
            </w:r>
            <w:r>
              <w:rPr>
                <w:rFonts w:hint="eastAsia" w:cs="Times New Roman"/>
                <w:b w:val="0"/>
                <w:bCs/>
                <w:color w:val="auto"/>
                <w:kern w:val="0"/>
                <w:sz w:val="24"/>
                <w:szCs w:val="20"/>
                <w:highlight w:val="none"/>
                <w:lang w:val="en-US" w:eastAsia="zh-CN" w:bidi="ar-SA"/>
              </w:rPr>
              <w:t>9</w:t>
            </w:r>
            <w:r>
              <w:rPr>
                <w:rFonts w:hint="eastAsia" w:ascii="Times New Roman" w:hAnsi="Times New Roman" w:eastAsia="宋体" w:cs="Times New Roman"/>
                <w:b w:val="0"/>
                <w:bCs/>
                <w:color w:val="auto"/>
                <w:kern w:val="0"/>
                <w:sz w:val="24"/>
                <w:szCs w:val="20"/>
                <w:highlight w:val="none"/>
                <w:lang w:val="en-US" w:eastAsia="zh-CN" w:bidi="ar-SA"/>
              </w:rPr>
              <w:t>所示。</w:t>
            </w:r>
          </w:p>
          <w:p w14:paraId="0004B152">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表4-</w:t>
            </w:r>
            <w:r>
              <w:rPr>
                <w:rFonts w:hint="eastAsia" w:cs="Times New Roman"/>
                <w:color w:val="auto"/>
                <w:sz w:val="24"/>
                <w:highlight w:val="none"/>
                <w:lang w:val="en-US" w:eastAsia="zh-CN"/>
              </w:rPr>
              <w:t>9</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 xml:space="preserve"> 本项目营运期废气污染物监测计划表</w:t>
            </w:r>
          </w:p>
          <w:tbl>
            <w:tblPr>
              <w:tblStyle w:val="27"/>
              <w:tblW w:w="80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3"/>
              <w:gridCol w:w="1376"/>
              <w:gridCol w:w="3420"/>
              <w:gridCol w:w="2161"/>
            </w:tblGrid>
            <w:tr w14:paraId="5D1F9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1083" w:type="dxa"/>
                  <w:tcBorders>
                    <w:tl2br w:val="nil"/>
                    <w:tr2bl w:val="nil"/>
                  </w:tcBorders>
                  <w:vAlign w:val="center"/>
                </w:tcPr>
                <w:p w14:paraId="4F134A44">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类别</w:t>
                  </w:r>
                </w:p>
              </w:tc>
              <w:tc>
                <w:tcPr>
                  <w:tcW w:w="1376" w:type="dxa"/>
                  <w:tcBorders>
                    <w:tl2br w:val="nil"/>
                    <w:tr2bl w:val="nil"/>
                  </w:tcBorders>
                  <w:vAlign w:val="center"/>
                </w:tcPr>
                <w:p w14:paraId="3214E461">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监测指标</w:t>
                  </w:r>
                </w:p>
              </w:tc>
              <w:tc>
                <w:tcPr>
                  <w:tcW w:w="3420" w:type="dxa"/>
                  <w:tcBorders>
                    <w:tl2br w:val="nil"/>
                    <w:tr2bl w:val="nil"/>
                  </w:tcBorders>
                  <w:vAlign w:val="center"/>
                </w:tcPr>
                <w:p w14:paraId="668A1E20">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监测点位</w:t>
                  </w:r>
                </w:p>
              </w:tc>
              <w:tc>
                <w:tcPr>
                  <w:tcW w:w="2161" w:type="dxa"/>
                  <w:tcBorders>
                    <w:tl2br w:val="nil"/>
                    <w:tr2bl w:val="nil"/>
                  </w:tcBorders>
                  <w:vAlign w:val="center"/>
                </w:tcPr>
                <w:p w14:paraId="5BB29700">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监测频率</w:t>
                  </w:r>
                </w:p>
              </w:tc>
            </w:tr>
            <w:tr w14:paraId="5DEEA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1083" w:type="dxa"/>
                  <w:tcBorders>
                    <w:tl2br w:val="nil"/>
                    <w:tr2bl w:val="nil"/>
                  </w:tcBorders>
                  <w:vAlign w:val="center"/>
                </w:tcPr>
                <w:p w14:paraId="48EE4440">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废气</w:t>
                  </w:r>
                </w:p>
              </w:tc>
              <w:tc>
                <w:tcPr>
                  <w:tcW w:w="1376" w:type="dxa"/>
                  <w:tcBorders>
                    <w:tl2br w:val="nil"/>
                    <w:tr2bl w:val="nil"/>
                  </w:tcBorders>
                  <w:vAlign w:val="center"/>
                </w:tcPr>
                <w:p w14:paraId="5813777D">
                  <w:pPr>
                    <w:keepNext w:val="0"/>
                    <w:keepLines w:val="0"/>
                    <w:widowControl/>
                    <w:suppressLineNumbers w:val="0"/>
                    <w:spacing w:before="0" w:beforeAutospacing="0" w:after="0" w:afterAutospacing="0" w:line="240" w:lineRule="exact"/>
                    <w:ind w:left="0" w:right="0"/>
                    <w:jc w:val="center"/>
                    <w:textAlignment w:val="center"/>
                    <w:rPr>
                      <w:color w:val="auto"/>
                      <w:sz w:val="21"/>
                      <w:szCs w:val="21"/>
                      <w:highlight w:val="none"/>
                    </w:rPr>
                  </w:pPr>
                  <w:r>
                    <w:rPr>
                      <w:rFonts w:hint="eastAsia"/>
                      <w:color w:val="auto"/>
                      <w:sz w:val="21"/>
                      <w:szCs w:val="21"/>
                      <w:highlight w:val="none"/>
                    </w:rPr>
                    <w:t>非甲烷总烃</w:t>
                  </w:r>
                </w:p>
              </w:tc>
              <w:tc>
                <w:tcPr>
                  <w:tcW w:w="3420" w:type="dxa"/>
                  <w:tcBorders>
                    <w:tl2br w:val="nil"/>
                    <w:tr2bl w:val="nil"/>
                  </w:tcBorders>
                  <w:vAlign w:val="center"/>
                </w:tcPr>
                <w:p w14:paraId="771B8311">
                  <w:pPr>
                    <w:keepNext w:val="0"/>
                    <w:keepLines w:val="0"/>
                    <w:widowControl/>
                    <w:suppressLineNumbers w:val="0"/>
                    <w:spacing w:before="0" w:beforeAutospacing="0" w:after="0" w:afterAutospacing="0" w:line="240" w:lineRule="exact"/>
                    <w:ind w:left="0" w:right="0"/>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企业边界</w:t>
                  </w:r>
                </w:p>
              </w:tc>
              <w:tc>
                <w:tcPr>
                  <w:tcW w:w="2161" w:type="dxa"/>
                  <w:tcBorders>
                    <w:tl2br w:val="nil"/>
                    <w:tr2bl w:val="nil"/>
                  </w:tcBorders>
                  <w:vAlign w:val="center"/>
                </w:tcPr>
                <w:p w14:paraId="2A76082D">
                  <w:pPr>
                    <w:keepNext w:val="0"/>
                    <w:keepLines w:val="0"/>
                    <w:widowControl/>
                    <w:suppressLineNumbers w:val="0"/>
                    <w:spacing w:before="0" w:beforeAutospacing="0" w:after="0" w:afterAutospacing="0" w:line="240" w:lineRule="exact"/>
                    <w:ind w:left="0" w:right="0"/>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1次/季度</w:t>
                  </w:r>
                </w:p>
              </w:tc>
            </w:tr>
          </w:tbl>
          <w:p w14:paraId="2A6B45D0">
            <w:pPr>
              <w:keepNext w:val="0"/>
              <w:keepLines w:val="0"/>
              <w:pageBreakBefore w:val="0"/>
              <w:suppressLineNumbers w:val="0"/>
              <w:tabs>
                <w:tab w:val="left" w:pos="3000"/>
              </w:tabs>
              <w:kinsoku/>
              <w:wordWrap/>
              <w:overflowPunct/>
              <w:topLinePunct w:val="0"/>
              <w:autoSpaceDE/>
              <w:autoSpaceDN/>
              <w:bidi w:val="0"/>
              <w:spacing w:before="0" w:beforeAutospacing="0" w:after="0" w:afterAutospacing="0" w:line="360" w:lineRule="auto"/>
              <w:ind w:left="0" w:right="0"/>
              <w:textAlignment w:val="auto"/>
              <w:rPr>
                <w:rFonts w:hint="default" w:eastAsia="宋体"/>
                <w:b/>
                <w:color w:val="auto"/>
                <w:sz w:val="21"/>
                <w:szCs w:val="21"/>
                <w:highlight w:val="none"/>
                <w:lang w:val="en-US" w:eastAsia="zh-CN"/>
              </w:rPr>
            </w:pPr>
            <w:r>
              <w:rPr>
                <w:rFonts w:hint="eastAsia"/>
                <w:b/>
                <w:color w:val="auto"/>
                <w:sz w:val="21"/>
                <w:szCs w:val="21"/>
                <w:highlight w:val="none"/>
                <w:lang w:val="en-US" w:eastAsia="zh-CN"/>
              </w:rPr>
              <w:t>注：本项目动静密封点数量小于2000个，无需开展LDAR检测。</w:t>
            </w:r>
          </w:p>
          <w:p w14:paraId="5D47B46E">
            <w:pPr>
              <w:keepNext w:val="0"/>
              <w:keepLines w:val="0"/>
              <w:pageBreakBefore w:val="0"/>
              <w:suppressLineNumbers w:val="0"/>
              <w:tabs>
                <w:tab w:val="left" w:pos="3000"/>
              </w:tabs>
              <w:kinsoku/>
              <w:wordWrap/>
              <w:overflowPunct/>
              <w:topLinePunct w:val="0"/>
              <w:autoSpaceDE/>
              <w:autoSpaceDN/>
              <w:bidi w:val="0"/>
              <w:spacing w:before="0" w:beforeAutospacing="0" w:after="0" w:afterAutospacing="0" w:line="360" w:lineRule="auto"/>
              <w:ind w:left="0" w:right="0" w:firstLine="482" w:firstLineChars="200"/>
              <w:textAlignment w:val="auto"/>
              <w:rPr>
                <w:b/>
                <w:color w:val="auto"/>
                <w:sz w:val="24"/>
                <w:highlight w:val="none"/>
              </w:rPr>
            </w:pPr>
            <w:r>
              <w:rPr>
                <w:rFonts w:hint="eastAsia"/>
                <w:b/>
                <w:color w:val="auto"/>
                <w:sz w:val="24"/>
                <w:highlight w:val="none"/>
              </w:rPr>
              <w:t>（</w:t>
            </w:r>
            <w:r>
              <w:rPr>
                <w:rFonts w:hint="eastAsia"/>
                <w:b/>
                <w:color w:val="auto"/>
                <w:sz w:val="24"/>
                <w:highlight w:val="none"/>
                <w:lang w:val="en-US" w:eastAsia="zh-CN"/>
              </w:rPr>
              <w:t>7</w:t>
            </w:r>
            <w:r>
              <w:rPr>
                <w:rFonts w:hint="eastAsia"/>
                <w:b/>
                <w:color w:val="auto"/>
                <w:sz w:val="24"/>
                <w:highlight w:val="none"/>
              </w:rPr>
              <w:t>）大气评价结论</w:t>
            </w:r>
          </w:p>
          <w:p w14:paraId="047D63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color w:val="auto"/>
                <w:kern w:val="0"/>
                <w:sz w:val="24"/>
                <w:highlight w:val="none"/>
                <w:lang w:bidi="en-US"/>
              </w:rPr>
            </w:pPr>
            <w:r>
              <w:rPr>
                <w:rFonts w:hint="eastAsia"/>
                <w:color w:val="auto"/>
                <w:kern w:val="0"/>
                <w:sz w:val="24"/>
                <w:highlight w:val="none"/>
                <w:lang w:bidi="en-US"/>
              </w:rPr>
              <w:t>本项目新增污染物主要为非甲烷总烃。建设单位采用了成熟的环保措施，各大气污染物均可达标排放。环评要求建设单位加强废气处理装置的维护、检修，保证正常稳定运行，发生故障时，应立即停产，减少对环境空气的影响。综上所述，项目大气环境影响可接受。</w:t>
            </w:r>
          </w:p>
          <w:p w14:paraId="76202DE4">
            <w:pPr>
              <w:keepNext w:val="0"/>
              <w:keepLines w:val="0"/>
              <w:suppressLineNumbers w:val="0"/>
              <w:tabs>
                <w:tab w:val="left" w:pos="3000"/>
              </w:tabs>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2、</w:t>
            </w:r>
            <w:r>
              <w:rPr>
                <w:b/>
                <w:color w:val="auto"/>
                <w:sz w:val="24"/>
                <w:highlight w:val="none"/>
              </w:rPr>
              <w:t>废水</w:t>
            </w:r>
          </w:p>
          <w:p w14:paraId="61B868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（1）本项目废水产生量及源强</w:t>
            </w:r>
          </w:p>
          <w:p w14:paraId="3A3AD1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本项目需新增蒸汽4410t/a，损失量取10%，则蒸汽冷凝水产生量约3970m</w:t>
            </w:r>
            <w:r>
              <w:rPr>
                <w:rFonts w:hint="eastAsia"/>
                <w:color w:val="auto"/>
                <w:sz w:val="24"/>
                <w:highlight w:val="none"/>
                <w:vertAlign w:val="superscript"/>
                <w:lang w:val="en-US" w:eastAsia="zh-CN"/>
              </w:rPr>
              <w:t>3</w:t>
            </w:r>
            <w:r>
              <w:rPr>
                <w:rFonts w:hint="eastAsia"/>
                <w:color w:val="auto"/>
                <w:sz w:val="24"/>
                <w:highlight w:val="none"/>
                <w:lang w:val="en-US" w:eastAsia="zh-CN"/>
              </w:rPr>
              <w:t>/a（约0.99m</w:t>
            </w:r>
            <w:r>
              <w:rPr>
                <w:rFonts w:hint="eastAsia"/>
                <w:color w:val="auto"/>
                <w:sz w:val="24"/>
                <w:highlight w:val="none"/>
                <w:vertAlign w:val="superscript"/>
                <w:lang w:val="en-US" w:eastAsia="zh-CN"/>
              </w:rPr>
              <w:t>3</w:t>
            </w:r>
            <w:r>
              <w:rPr>
                <w:rFonts w:hint="eastAsia"/>
                <w:color w:val="auto"/>
                <w:sz w:val="24"/>
                <w:highlight w:val="none"/>
                <w:lang w:val="en-US" w:eastAsia="zh-CN"/>
              </w:rPr>
              <w:t>/h），回用于地面冲洗，地面冲洗废水产生量约0.792m</w:t>
            </w:r>
            <w:r>
              <w:rPr>
                <w:rFonts w:hint="eastAsia"/>
                <w:color w:val="auto"/>
                <w:sz w:val="24"/>
                <w:highlight w:val="none"/>
                <w:vertAlign w:val="superscript"/>
                <w:lang w:val="en-US" w:eastAsia="zh-CN"/>
              </w:rPr>
              <w:t>3</w:t>
            </w:r>
            <w:r>
              <w:rPr>
                <w:rFonts w:hint="eastAsia"/>
                <w:color w:val="auto"/>
                <w:sz w:val="24"/>
                <w:highlight w:val="none"/>
                <w:lang w:val="en-US" w:eastAsia="zh-CN"/>
              </w:rPr>
              <w:t>/h、12.704m</w:t>
            </w:r>
            <w:r>
              <w:rPr>
                <w:rFonts w:hint="eastAsia"/>
                <w:color w:val="auto"/>
                <w:sz w:val="24"/>
                <w:highlight w:val="none"/>
                <w:vertAlign w:val="superscript"/>
                <w:lang w:val="en-US" w:eastAsia="zh-CN"/>
              </w:rPr>
              <w:t>3</w:t>
            </w:r>
            <w:r>
              <w:rPr>
                <w:rFonts w:hint="eastAsia"/>
                <w:color w:val="auto"/>
                <w:sz w:val="24"/>
                <w:highlight w:val="none"/>
                <w:lang w:val="en-US" w:eastAsia="zh-CN"/>
              </w:rPr>
              <w:t>/d（类比同类项目，COD 约300mg/L、SS 约1000mg/L）经污水总排口进入园区污水管网，送东泽污水处理厂处理。</w:t>
            </w:r>
          </w:p>
          <w:p w14:paraId="3A2D14B1">
            <w:pPr>
              <w:keepNext w:val="0"/>
              <w:keepLines w:val="0"/>
              <w:suppressLineNumbers w:val="0"/>
              <w:tabs>
                <w:tab w:val="left" w:pos="3000"/>
              </w:tabs>
              <w:spacing w:before="0" w:beforeAutospacing="0" w:after="0" w:afterAutospacing="0" w:line="360" w:lineRule="auto"/>
              <w:ind w:left="0" w:right="0" w:firstLine="480" w:firstLineChars="200"/>
              <w:rPr>
                <w:rFonts w:hint="default"/>
                <w:color w:val="auto"/>
                <w:sz w:val="24"/>
                <w:highlight w:val="none"/>
                <w:lang w:val="en-US" w:eastAsia="zh-CN"/>
              </w:rPr>
            </w:pPr>
            <w:r>
              <w:rPr>
                <w:rFonts w:hint="eastAsia"/>
                <w:color w:val="auto"/>
                <w:sz w:val="24"/>
                <w:highlight w:val="none"/>
                <w:lang w:val="en-US" w:eastAsia="zh-CN"/>
              </w:rPr>
              <w:t>（2）全厂综合废水</w:t>
            </w:r>
          </w:p>
          <w:p w14:paraId="3D89016A">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eastAsia" w:eastAsia="宋体" w:cs="宋体"/>
                <w:color w:val="auto"/>
                <w:sz w:val="24"/>
                <w:szCs w:val="24"/>
                <w:highlight w:val="none"/>
                <w:lang w:val="en-US" w:eastAsia="zh-CN"/>
              </w:rPr>
            </w:pPr>
            <w:r>
              <w:rPr>
                <w:rFonts w:hint="eastAsia" w:eastAsia="宋体" w:cs="宋体"/>
                <w:color w:val="auto"/>
                <w:sz w:val="24"/>
                <w:szCs w:val="24"/>
                <w:highlight w:val="none"/>
                <w:lang w:val="en-US" w:eastAsia="zh-CN"/>
              </w:rPr>
              <w:t>按照“雨污分流”原则，汉圣化工配套建有雨水管网和污水管网。初期雨水经雨水收集池收集后排入东泽污水处理厂；现有项目污水包括：循环水系统排水、地面冲洗水和生活污水，经化粪池预处理后经污水总排口排入东泽污水处理厂。</w:t>
            </w:r>
          </w:p>
          <w:p w14:paraId="560A26F9">
            <w:pPr>
              <w:pStyle w:val="21"/>
              <w:keepNext w:val="0"/>
              <w:keepLines w:val="0"/>
              <w:pageBreakBefore w:val="0"/>
              <w:suppressLineNumbers w:val="0"/>
              <w:kinsoku/>
              <w:wordWrap/>
              <w:overflowPunct/>
              <w:topLinePunct w:val="0"/>
              <w:autoSpaceDE/>
              <w:autoSpaceDN/>
              <w:bidi w:val="0"/>
              <w:adjustRightInd/>
              <w:spacing w:before="0" w:beforeAutospacing="0" w:after="0" w:afterAutospacing="0" w:line="360" w:lineRule="auto"/>
              <w:ind w:left="0" w:leftChars="0" w:right="0" w:firstLine="480" w:firstLineChars="200"/>
              <w:textAlignment w:val="auto"/>
              <w:rPr>
                <w:rFonts w:hint="default" w:eastAsia="宋体" w:cs="宋体"/>
                <w:color w:val="auto"/>
                <w:sz w:val="24"/>
                <w:szCs w:val="24"/>
                <w:highlight w:val="none"/>
                <w:lang w:val="en-US" w:eastAsia="zh-CN"/>
              </w:rPr>
            </w:pPr>
            <w:r>
              <w:rPr>
                <w:rFonts w:hint="default" w:eastAsia="宋体" w:cs="宋体"/>
                <w:color w:val="auto"/>
                <w:sz w:val="24"/>
                <w:szCs w:val="24"/>
                <w:highlight w:val="none"/>
                <w:lang w:val="en-US" w:eastAsia="zh-CN"/>
              </w:rPr>
              <w:t>根据</w:t>
            </w:r>
            <w:r>
              <w:rPr>
                <w:rFonts w:hint="eastAsia" w:eastAsia="宋体" w:cs="宋体"/>
                <w:color w:val="auto"/>
                <w:sz w:val="24"/>
                <w:szCs w:val="24"/>
                <w:highlight w:val="none"/>
                <w:lang w:val="en-US" w:eastAsia="zh-CN"/>
              </w:rPr>
              <w:t>抚顺市绿谷源环境检测有限公司于</w:t>
            </w:r>
            <w:r>
              <w:rPr>
                <w:rFonts w:hint="default" w:eastAsia="宋体" w:cs="宋体"/>
                <w:color w:val="auto"/>
                <w:sz w:val="24"/>
                <w:szCs w:val="24"/>
                <w:highlight w:val="none"/>
                <w:lang w:val="en-US" w:eastAsia="zh-CN"/>
              </w:rPr>
              <w:t>202</w:t>
            </w:r>
            <w:r>
              <w:rPr>
                <w:rFonts w:hint="eastAsia" w:eastAsia="宋体" w:cs="宋体"/>
                <w:color w:val="auto"/>
                <w:sz w:val="24"/>
                <w:szCs w:val="24"/>
                <w:highlight w:val="none"/>
                <w:lang w:val="en-US" w:eastAsia="zh-CN"/>
              </w:rPr>
              <w:t>6</w:t>
            </w:r>
            <w:r>
              <w:rPr>
                <w:rFonts w:hint="default" w:eastAsia="宋体" w:cs="宋体"/>
                <w:color w:val="auto"/>
                <w:sz w:val="24"/>
                <w:szCs w:val="24"/>
                <w:highlight w:val="none"/>
                <w:lang w:val="en-US" w:eastAsia="zh-CN"/>
              </w:rPr>
              <w:t>年</w:t>
            </w:r>
            <w:r>
              <w:rPr>
                <w:rFonts w:hint="eastAsia" w:eastAsia="宋体" w:cs="宋体"/>
                <w:color w:val="auto"/>
                <w:sz w:val="24"/>
                <w:szCs w:val="24"/>
                <w:highlight w:val="none"/>
                <w:lang w:val="en-US" w:eastAsia="zh-CN"/>
              </w:rPr>
              <w:t>3</w:t>
            </w:r>
            <w:r>
              <w:rPr>
                <w:rFonts w:hint="default" w:eastAsia="宋体" w:cs="宋体"/>
                <w:color w:val="auto"/>
                <w:sz w:val="24"/>
                <w:szCs w:val="24"/>
                <w:highlight w:val="none"/>
                <w:lang w:val="en-US" w:eastAsia="zh-CN"/>
              </w:rPr>
              <w:t>月对汉圣化工（抚顺）有限公司</w:t>
            </w:r>
            <w:r>
              <w:rPr>
                <w:rFonts w:hint="eastAsia" w:eastAsia="宋体" w:cs="宋体"/>
                <w:color w:val="auto"/>
                <w:sz w:val="24"/>
                <w:szCs w:val="24"/>
                <w:highlight w:val="none"/>
                <w:lang w:val="en-US" w:eastAsia="zh-CN"/>
              </w:rPr>
              <w:t>的例行检测报告（检测文件编号：绿谷源（环检）字2026第03-019号），厂区污水总排口出口：pH 7.3、COD 48mg/L、NH</w:t>
            </w:r>
            <w:r>
              <w:rPr>
                <w:rFonts w:hint="eastAsia" w:eastAsia="宋体" w:cs="宋体"/>
                <w:color w:val="auto"/>
                <w:sz w:val="24"/>
                <w:szCs w:val="24"/>
                <w:highlight w:val="none"/>
                <w:vertAlign w:val="subscript"/>
                <w:lang w:val="en-US" w:eastAsia="zh-CN"/>
              </w:rPr>
              <w:t>3</w:t>
            </w:r>
            <w:r>
              <w:rPr>
                <w:rFonts w:hint="eastAsia" w:eastAsia="宋体" w:cs="宋体"/>
                <w:color w:val="auto"/>
                <w:sz w:val="24"/>
                <w:szCs w:val="24"/>
                <w:highlight w:val="none"/>
                <w:lang w:val="en-US" w:eastAsia="zh-CN"/>
              </w:rPr>
              <w:t>-N 0.223mg/L、石油类0.95mg/L。</w:t>
            </w:r>
          </w:p>
          <w:p w14:paraId="24D58BB8">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表</w:t>
            </w:r>
            <w:r>
              <w:rPr>
                <w:rFonts w:hint="eastAsia" w:ascii="Times New Roman" w:hAnsi="Times New Roman" w:eastAsia="宋体" w:cs="Times New Roman"/>
                <w:color w:val="auto"/>
                <w:sz w:val="24"/>
                <w:highlight w:val="none"/>
                <w:lang w:val="en-US" w:eastAsia="zh-CN"/>
              </w:rPr>
              <w:t>4-14  本项目废水源强统计表</w:t>
            </w:r>
          </w:p>
          <w:tbl>
            <w:tblPr>
              <w:tblStyle w:val="27"/>
              <w:tblW w:w="805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00"/>
              <w:gridCol w:w="1020"/>
              <w:gridCol w:w="1126"/>
              <w:gridCol w:w="1126"/>
              <w:gridCol w:w="1126"/>
              <w:gridCol w:w="1126"/>
              <w:gridCol w:w="1129"/>
            </w:tblGrid>
            <w:tr w14:paraId="755320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69" w:type="pct"/>
                  <w:tcBorders>
                    <w:tl2br w:val="nil"/>
                    <w:tr2bl w:val="nil"/>
                  </w:tcBorders>
                  <w:noWrap w:val="0"/>
                  <w:vAlign w:val="center"/>
                </w:tcPr>
                <w:p w14:paraId="53A22A2A">
                  <w:pPr>
                    <w:keepNext w:val="0"/>
                    <w:keepLines w:val="0"/>
                    <w:widowControl w:val="0"/>
                    <w:suppressLineNumbers w:val="0"/>
                    <w:spacing w:before="0" w:beforeAutospacing="0" w:after="0" w:afterAutospacing="0"/>
                    <w:ind w:left="0" w:right="0"/>
                    <w:jc w:val="center"/>
                    <w:rPr>
                      <w:color w:val="auto"/>
                      <w:sz w:val="18"/>
                      <w:szCs w:val="18"/>
                      <w:lang w:val="en-US"/>
                    </w:rPr>
                  </w:pPr>
                  <w:r>
                    <w:rPr>
                      <w:rFonts w:hint="eastAsia" w:ascii="Times New Roman" w:hAnsi="Times New Roman" w:eastAsia="宋体" w:cs="宋体"/>
                      <w:color w:val="auto"/>
                      <w:kern w:val="2"/>
                      <w:sz w:val="18"/>
                      <w:szCs w:val="18"/>
                      <w:lang w:val="en-US" w:eastAsia="zh-CN" w:bidi="ar"/>
                    </w:rPr>
                    <w:t>项目</w:t>
                  </w:r>
                </w:p>
              </w:tc>
              <w:tc>
                <w:tcPr>
                  <w:tcW w:w="633" w:type="pct"/>
                  <w:tcBorders>
                    <w:tl2br w:val="nil"/>
                    <w:tr2bl w:val="nil"/>
                  </w:tcBorders>
                  <w:noWrap w:val="0"/>
                  <w:vAlign w:val="center"/>
                </w:tcPr>
                <w:p w14:paraId="1654D739">
                  <w:pPr>
                    <w:keepNext w:val="0"/>
                    <w:keepLines w:val="0"/>
                    <w:widowControl w:val="0"/>
                    <w:suppressLineNumbers w:val="0"/>
                    <w:spacing w:before="0" w:beforeAutospacing="0" w:after="0" w:afterAutospacing="0"/>
                    <w:ind w:left="0" w:right="0"/>
                    <w:jc w:val="center"/>
                    <w:rPr>
                      <w:color w:val="auto"/>
                      <w:sz w:val="18"/>
                      <w:szCs w:val="18"/>
                      <w:lang w:val="en-US"/>
                    </w:rPr>
                  </w:pPr>
                  <w:r>
                    <w:rPr>
                      <w:rFonts w:hint="eastAsia" w:ascii="Times New Roman" w:hAnsi="Times New Roman" w:eastAsia="宋体" w:cs="宋体"/>
                      <w:color w:val="auto"/>
                      <w:kern w:val="2"/>
                      <w:sz w:val="18"/>
                      <w:szCs w:val="18"/>
                      <w:lang w:val="en-US" w:eastAsia="zh-CN" w:bidi="ar"/>
                    </w:rPr>
                    <w:t>类别</w:t>
                  </w:r>
                </w:p>
              </w:tc>
              <w:tc>
                <w:tcPr>
                  <w:tcW w:w="699" w:type="pct"/>
                  <w:tcBorders>
                    <w:tl2br w:val="nil"/>
                    <w:tr2bl w:val="nil"/>
                  </w:tcBorders>
                  <w:noWrap w:val="0"/>
                  <w:vAlign w:val="center"/>
                </w:tcPr>
                <w:p w14:paraId="10E6D2E7">
                  <w:pPr>
                    <w:keepNext w:val="0"/>
                    <w:keepLines w:val="0"/>
                    <w:widowControl w:val="0"/>
                    <w:suppressLineNumbers w:val="0"/>
                    <w:spacing w:before="0" w:beforeAutospacing="0" w:after="0" w:afterAutospacing="0"/>
                    <w:ind w:left="0" w:right="0"/>
                    <w:jc w:val="center"/>
                    <w:rPr>
                      <w:color w:val="auto"/>
                      <w:sz w:val="18"/>
                      <w:szCs w:val="18"/>
                      <w:lang w:val="en-US"/>
                    </w:rPr>
                  </w:pPr>
                  <w:r>
                    <w:rPr>
                      <w:rFonts w:hint="default" w:ascii="Times New Roman" w:hAnsi="Times New Roman" w:eastAsia="宋体" w:cs="Times New Roman"/>
                      <w:color w:val="auto"/>
                      <w:kern w:val="2"/>
                      <w:sz w:val="18"/>
                      <w:szCs w:val="18"/>
                      <w:lang w:val="en-US" w:eastAsia="zh-CN" w:bidi="ar"/>
                    </w:rPr>
                    <w:t>COD</w:t>
                  </w:r>
                </w:p>
              </w:tc>
              <w:tc>
                <w:tcPr>
                  <w:tcW w:w="699" w:type="pct"/>
                  <w:tcBorders>
                    <w:tl2br w:val="nil"/>
                    <w:tr2bl w:val="nil"/>
                  </w:tcBorders>
                  <w:noWrap w:val="0"/>
                  <w:vAlign w:val="center"/>
                </w:tcPr>
                <w:p w14:paraId="051EC6C4">
                  <w:pPr>
                    <w:keepNext w:val="0"/>
                    <w:keepLines w:val="0"/>
                    <w:widowControl w:val="0"/>
                    <w:suppressLineNumbers w:val="0"/>
                    <w:spacing w:before="0" w:beforeAutospacing="0" w:after="0" w:afterAutospacing="0"/>
                    <w:ind w:left="0" w:right="0"/>
                    <w:jc w:val="center"/>
                    <w:rPr>
                      <w:color w:val="auto"/>
                      <w:sz w:val="18"/>
                      <w:szCs w:val="18"/>
                      <w:lang w:val="en-US"/>
                    </w:rPr>
                  </w:pPr>
                  <w:r>
                    <w:rPr>
                      <w:rFonts w:hint="eastAsia" w:ascii="Times New Roman" w:hAnsi="Times New Roman" w:eastAsia="宋体" w:cs="宋体"/>
                      <w:color w:val="auto"/>
                      <w:kern w:val="2"/>
                      <w:sz w:val="18"/>
                      <w:szCs w:val="18"/>
                      <w:lang w:val="en-US" w:eastAsia="zh-CN" w:bidi="ar"/>
                    </w:rPr>
                    <w:t>氨氮</w:t>
                  </w:r>
                </w:p>
              </w:tc>
              <w:tc>
                <w:tcPr>
                  <w:tcW w:w="699" w:type="pct"/>
                  <w:tcBorders>
                    <w:tl2br w:val="nil"/>
                    <w:tr2bl w:val="nil"/>
                  </w:tcBorders>
                  <w:noWrap w:val="0"/>
                  <w:vAlign w:val="center"/>
                </w:tcPr>
                <w:p w14:paraId="3E21E3EF">
                  <w:pPr>
                    <w:keepNext w:val="0"/>
                    <w:keepLines w:val="0"/>
                    <w:widowControl w:val="0"/>
                    <w:suppressLineNumbers w:val="0"/>
                    <w:spacing w:before="0" w:beforeAutospacing="0" w:after="0" w:afterAutospacing="0"/>
                    <w:ind w:left="0" w:right="0"/>
                    <w:jc w:val="center"/>
                    <w:rPr>
                      <w:color w:val="auto"/>
                      <w:sz w:val="18"/>
                      <w:szCs w:val="18"/>
                      <w:lang w:val="en-US"/>
                    </w:rPr>
                  </w:pPr>
                  <w:r>
                    <w:rPr>
                      <w:rFonts w:hint="default" w:ascii="Times New Roman" w:hAnsi="Times New Roman" w:eastAsia="宋体" w:cs="Times New Roman"/>
                      <w:color w:val="auto"/>
                      <w:kern w:val="2"/>
                      <w:sz w:val="18"/>
                      <w:szCs w:val="18"/>
                      <w:lang w:val="en-US" w:eastAsia="zh-CN" w:bidi="ar"/>
                    </w:rPr>
                    <w:t>SS</w:t>
                  </w:r>
                </w:p>
              </w:tc>
              <w:tc>
                <w:tcPr>
                  <w:tcW w:w="699" w:type="pct"/>
                  <w:tcBorders>
                    <w:tl2br w:val="nil"/>
                    <w:tr2bl w:val="nil"/>
                  </w:tcBorders>
                  <w:noWrap w:val="0"/>
                  <w:vAlign w:val="center"/>
                </w:tcPr>
                <w:p w14:paraId="7A31FB9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18"/>
                      <w:szCs w:val="18"/>
                      <w:lang w:val="en-US" w:eastAsia="zh-CN" w:bidi="ar"/>
                    </w:rPr>
                  </w:pPr>
                  <w:r>
                    <w:rPr>
                      <w:rFonts w:hint="eastAsia" w:ascii="Times New Roman" w:hAnsi="Times New Roman" w:eastAsia="宋体" w:cs="Times New Roman"/>
                      <w:color w:val="auto"/>
                      <w:kern w:val="2"/>
                      <w:sz w:val="18"/>
                      <w:szCs w:val="18"/>
                      <w:lang w:val="en-US" w:eastAsia="zh-CN" w:bidi="ar"/>
                    </w:rPr>
                    <w:t>石油类</w:t>
                  </w:r>
                </w:p>
              </w:tc>
              <w:tc>
                <w:tcPr>
                  <w:tcW w:w="700" w:type="pct"/>
                  <w:tcBorders>
                    <w:tl2br w:val="nil"/>
                    <w:tr2bl w:val="nil"/>
                  </w:tcBorders>
                  <w:noWrap w:val="0"/>
                  <w:vAlign w:val="center"/>
                </w:tcPr>
                <w:p w14:paraId="226983BC">
                  <w:pPr>
                    <w:keepNext w:val="0"/>
                    <w:keepLines w:val="0"/>
                    <w:widowControl w:val="0"/>
                    <w:suppressLineNumbers w:val="0"/>
                    <w:spacing w:before="0" w:beforeAutospacing="0" w:after="0" w:afterAutospacing="0"/>
                    <w:ind w:left="0" w:right="0"/>
                    <w:jc w:val="center"/>
                    <w:rPr>
                      <w:color w:val="auto"/>
                      <w:sz w:val="18"/>
                      <w:szCs w:val="18"/>
                      <w:lang w:val="en-US"/>
                    </w:rPr>
                  </w:pPr>
                  <w:r>
                    <w:rPr>
                      <w:rFonts w:hint="eastAsia" w:ascii="Times New Roman" w:hAnsi="Times New Roman" w:eastAsia="宋体" w:cs="宋体"/>
                      <w:color w:val="auto"/>
                      <w:kern w:val="2"/>
                      <w:sz w:val="18"/>
                      <w:szCs w:val="18"/>
                      <w:lang w:val="en-US" w:eastAsia="zh-CN" w:bidi="ar"/>
                    </w:rPr>
                    <w:t>水量</w:t>
                  </w:r>
                  <w:r>
                    <w:rPr>
                      <w:rFonts w:hint="default" w:ascii="Times New Roman" w:hAnsi="Times New Roman" w:eastAsia="宋体" w:cs="Times New Roman"/>
                      <w:color w:val="auto"/>
                      <w:kern w:val="2"/>
                      <w:sz w:val="18"/>
                      <w:szCs w:val="18"/>
                      <w:lang w:val="en-US" w:eastAsia="zh-CN" w:bidi="ar"/>
                    </w:rPr>
                    <w:t>m</w:t>
                  </w:r>
                  <w:r>
                    <w:rPr>
                      <w:rFonts w:hint="default" w:ascii="Times New Roman" w:hAnsi="Times New Roman" w:eastAsia="宋体" w:cs="Times New Roman"/>
                      <w:color w:val="auto"/>
                      <w:kern w:val="2"/>
                      <w:sz w:val="18"/>
                      <w:szCs w:val="18"/>
                      <w:vertAlign w:val="superscript"/>
                      <w:lang w:val="en-US" w:eastAsia="zh-CN" w:bidi="ar"/>
                    </w:rPr>
                    <w:t>3</w:t>
                  </w:r>
                  <w:r>
                    <w:rPr>
                      <w:rFonts w:hint="default" w:ascii="Times New Roman" w:hAnsi="Times New Roman" w:eastAsia="宋体" w:cs="Times New Roman"/>
                      <w:color w:val="auto"/>
                      <w:kern w:val="2"/>
                      <w:sz w:val="18"/>
                      <w:szCs w:val="18"/>
                      <w:lang w:val="en-US" w:eastAsia="zh-CN" w:bidi="ar"/>
                    </w:rPr>
                    <w:t>/</w:t>
                  </w:r>
                  <w:r>
                    <w:rPr>
                      <w:rFonts w:hint="eastAsia" w:ascii="Times New Roman" w:hAnsi="Times New Roman" w:eastAsia="宋体" w:cs="Times New Roman"/>
                      <w:color w:val="auto"/>
                      <w:kern w:val="2"/>
                      <w:sz w:val="18"/>
                      <w:szCs w:val="18"/>
                      <w:lang w:val="en-US" w:eastAsia="zh-CN" w:bidi="ar"/>
                    </w:rPr>
                    <w:t>h</w:t>
                  </w:r>
                </w:p>
              </w:tc>
            </w:tr>
            <w:tr w14:paraId="51371E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69" w:type="pct"/>
                  <w:tcBorders>
                    <w:tl2br w:val="nil"/>
                    <w:tr2bl w:val="nil"/>
                  </w:tcBorders>
                  <w:noWrap w:val="0"/>
                  <w:vAlign w:val="center"/>
                </w:tcPr>
                <w:p w14:paraId="7F8B631C">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eastAsia="宋体"/>
                      <w:color w:val="auto"/>
                      <w:sz w:val="18"/>
                      <w:szCs w:val="18"/>
                      <w:lang w:val="en-US" w:eastAsia="zh-CN"/>
                    </w:rPr>
                    <w:t>本项目新增-地面冲洗废水</w:t>
                  </w:r>
                </w:p>
              </w:tc>
              <w:tc>
                <w:tcPr>
                  <w:tcW w:w="633" w:type="pct"/>
                  <w:tcBorders>
                    <w:tl2br w:val="nil"/>
                    <w:tr2bl w:val="nil"/>
                  </w:tcBorders>
                  <w:noWrap w:val="0"/>
                  <w:vAlign w:val="center"/>
                </w:tcPr>
                <w:p w14:paraId="56F759A6">
                  <w:pPr>
                    <w:keepNext w:val="0"/>
                    <w:keepLines w:val="0"/>
                    <w:widowControl w:val="0"/>
                    <w:suppressLineNumbers w:val="0"/>
                    <w:spacing w:before="0" w:beforeAutospacing="0" w:after="0" w:afterAutospacing="0"/>
                    <w:ind w:left="0" w:right="0"/>
                    <w:jc w:val="center"/>
                    <w:rPr>
                      <w:color w:val="auto"/>
                      <w:sz w:val="18"/>
                      <w:szCs w:val="18"/>
                      <w:lang w:val="en-US"/>
                    </w:rPr>
                  </w:pPr>
                  <w:r>
                    <w:rPr>
                      <w:rFonts w:hint="eastAsia" w:ascii="Times New Roman" w:hAnsi="Times New Roman" w:eastAsia="宋体" w:cs="宋体"/>
                      <w:color w:val="auto"/>
                      <w:kern w:val="2"/>
                      <w:sz w:val="18"/>
                      <w:szCs w:val="18"/>
                      <w:lang w:val="en-US" w:eastAsia="zh-CN" w:bidi="ar"/>
                    </w:rPr>
                    <w:t>浓度</w:t>
                  </w:r>
                  <w:r>
                    <w:rPr>
                      <w:rFonts w:hint="default" w:ascii="Times New Roman" w:hAnsi="Times New Roman" w:eastAsia="宋体" w:cs="Times New Roman"/>
                      <w:color w:val="auto"/>
                      <w:kern w:val="2"/>
                      <w:sz w:val="18"/>
                      <w:szCs w:val="18"/>
                      <w:lang w:val="en-US" w:eastAsia="zh-CN" w:bidi="ar"/>
                    </w:rPr>
                    <w:t>mg/L</w:t>
                  </w:r>
                </w:p>
              </w:tc>
              <w:tc>
                <w:tcPr>
                  <w:tcW w:w="699" w:type="pct"/>
                  <w:tcBorders>
                    <w:tl2br w:val="nil"/>
                    <w:tr2bl w:val="nil"/>
                  </w:tcBorders>
                  <w:noWrap w:val="0"/>
                  <w:vAlign w:val="center"/>
                </w:tcPr>
                <w:p w14:paraId="2A9E2998">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color w:val="auto"/>
                      <w:sz w:val="18"/>
                      <w:szCs w:val="18"/>
                      <w:lang w:val="en-US" w:eastAsia="zh-CN"/>
                    </w:rPr>
                    <w:t>300</w:t>
                  </w:r>
                </w:p>
              </w:tc>
              <w:tc>
                <w:tcPr>
                  <w:tcW w:w="699" w:type="pct"/>
                  <w:tcBorders>
                    <w:tl2br w:val="nil"/>
                    <w:tr2bl w:val="nil"/>
                  </w:tcBorders>
                  <w:noWrap w:val="0"/>
                  <w:vAlign w:val="center"/>
                </w:tcPr>
                <w:p w14:paraId="104B8053">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color w:val="auto"/>
                      <w:sz w:val="18"/>
                      <w:szCs w:val="18"/>
                      <w:lang w:val="en-US" w:eastAsia="zh-CN"/>
                    </w:rPr>
                    <w:t>/</w:t>
                  </w:r>
                </w:p>
              </w:tc>
              <w:tc>
                <w:tcPr>
                  <w:tcW w:w="699" w:type="pct"/>
                  <w:tcBorders>
                    <w:tl2br w:val="nil"/>
                    <w:tr2bl w:val="nil"/>
                  </w:tcBorders>
                  <w:noWrap w:val="0"/>
                  <w:vAlign w:val="center"/>
                </w:tcPr>
                <w:p w14:paraId="3369F3F8">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color w:val="auto"/>
                      <w:sz w:val="18"/>
                      <w:szCs w:val="18"/>
                      <w:lang w:val="en-US" w:eastAsia="zh-CN"/>
                    </w:rPr>
                    <w:t>1000</w:t>
                  </w:r>
                </w:p>
              </w:tc>
              <w:tc>
                <w:tcPr>
                  <w:tcW w:w="699" w:type="pct"/>
                  <w:tcBorders>
                    <w:tl2br w:val="nil"/>
                    <w:tr2bl w:val="nil"/>
                  </w:tcBorders>
                  <w:noWrap w:val="0"/>
                  <w:vAlign w:val="center"/>
                </w:tcPr>
                <w:p w14:paraId="0976CB79">
                  <w:pPr>
                    <w:keepNext w:val="0"/>
                    <w:keepLines w:val="0"/>
                    <w:widowControl w:val="0"/>
                    <w:suppressLineNumbers w:val="0"/>
                    <w:spacing w:before="0" w:beforeAutospacing="0" w:after="0" w:afterAutospacing="0"/>
                    <w:ind w:left="0" w:right="0"/>
                    <w:jc w:val="center"/>
                    <w:rPr>
                      <w:rFonts w:hint="default"/>
                      <w:color w:val="auto"/>
                      <w:sz w:val="18"/>
                      <w:szCs w:val="18"/>
                      <w:lang w:val="en-US" w:eastAsia="zh-CN"/>
                    </w:rPr>
                  </w:pPr>
                  <w:r>
                    <w:rPr>
                      <w:rFonts w:hint="eastAsia"/>
                      <w:color w:val="auto"/>
                      <w:sz w:val="18"/>
                      <w:szCs w:val="18"/>
                      <w:lang w:val="en-US" w:eastAsia="zh-CN"/>
                    </w:rPr>
                    <w:t>/</w:t>
                  </w:r>
                </w:p>
              </w:tc>
              <w:tc>
                <w:tcPr>
                  <w:tcW w:w="700" w:type="pct"/>
                  <w:tcBorders>
                    <w:tl2br w:val="nil"/>
                    <w:tr2bl w:val="nil"/>
                  </w:tcBorders>
                  <w:noWrap w:val="0"/>
                  <w:vAlign w:val="center"/>
                </w:tcPr>
                <w:p w14:paraId="24CA722E">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color w:val="auto"/>
                      <w:sz w:val="18"/>
                      <w:szCs w:val="18"/>
                      <w:lang w:val="en-US" w:eastAsia="zh-CN"/>
                    </w:rPr>
                    <w:t>0.792</w:t>
                  </w:r>
                </w:p>
              </w:tc>
            </w:tr>
            <w:tr w14:paraId="450E5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69" w:type="pct"/>
                  <w:tcBorders>
                    <w:tl2br w:val="nil"/>
                    <w:tr2bl w:val="nil"/>
                  </w:tcBorders>
                  <w:noWrap w:val="0"/>
                  <w:vAlign w:val="center"/>
                </w:tcPr>
                <w:p w14:paraId="710DB7E2">
                  <w:pPr>
                    <w:keepNext w:val="0"/>
                    <w:keepLines w:val="0"/>
                    <w:widowControl w:val="0"/>
                    <w:suppressLineNumbers w:val="0"/>
                    <w:spacing w:before="0" w:beforeAutospacing="0" w:after="0" w:afterAutospacing="0"/>
                    <w:ind w:left="0" w:right="0"/>
                    <w:jc w:val="center"/>
                    <w:rPr>
                      <w:rFonts w:hint="eastAsia" w:ascii="Times New Roman" w:hAnsi="Times New Roman" w:eastAsia="宋体" w:cs="宋体"/>
                      <w:bCs/>
                      <w:color w:val="auto"/>
                      <w:kern w:val="2"/>
                      <w:sz w:val="18"/>
                      <w:szCs w:val="18"/>
                      <w:lang w:val="en-US" w:eastAsia="zh-CN" w:bidi="ar"/>
                    </w:rPr>
                  </w:pPr>
                  <w:r>
                    <w:rPr>
                      <w:rFonts w:hint="eastAsia" w:ascii="Times New Roman" w:hAnsi="Times New Roman" w:eastAsia="宋体" w:cs="宋体"/>
                      <w:bCs/>
                      <w:color w:val="auto"/>
                      <w:kern w:val="2"/>
                      <w:sz w:val="18"/>
                      <w:szCs w:val="18"/>
                      <w:lang w:val="en-US" w:eastAsia="zh-CN" w:bidi="ar"/>
                    </w:rPr>
                    <w:t>现有项目</w:t>
                  </w:r>
                </w:p>
                <w:p w14:paraId="4569F939">
                  <w:pPr>
                    <w:keepNext w:val="0"/>
                    <w:keepLines w:val="0"/>
                    <w:widowControl w:val="0"/>
                    <w:suppressLineNumbers w:val="0"/>
                    <w:spacing w:before="0" w:beforeAutospacing="0" w:after="0" w:afterAutospacing="0"/>
                    <w:ind w:left="0" w:right="0"/>
                    <w:jc w:val="center"/>
                    <w:rPr>
                      <w:bCs/>
                      <w:color w:val="auto"/>
                      <w:sz w:val="18"/>
                      <w:szCs w:val="18"/>
                      <w:lang w:val="en-US"/>
                    </w:rPr>
                  </w:pPr>
                  <w:r>
                    <w:rPr>
                      <w:rFonts w:hint="eastAsia" w:ascii="Times New Roman" w:hAnsi="Times New Roman" w:eastAsia="宋体" w:cs="宋体"/>
                      <w:bCs/>
                      <w:color w:val="auto"/>
                      <w:kern w:val="2"/>
                      <w:sz w:val="18"/>
                      <w:szCs w:val="18"/>
                      <w:lang w:val="en-US" w:eastAsia="zh-CN" w:bidi="ar"/>
                    </w:rPr>
                    <w:t>综合废水</w:t>
                  </w:r>
                </w:p>
              </w:tc>
              <w:tc>
                <w:tcPr>
                  <w:tcW w:w="633" w:type="pct"/>
                  <w:tcBorders>
                    <w:tl2br w:val="nil"/>
                    <w:tr2bl w:val="nil"/>
                  </w:tcBorders>
                  <w:noWrap w:val="0"/>
                  <w:vAlign w:val="center"/>
                </w:tcPr>
                <w:p w14:paraId="39324FDB">
                  <w:pPr>
                    <w:keepNext w:val="0"/>
                    <w:keepLines w:val="0"/>
                    <w:widowControl w:val="0"/>
                    <w:suppressLineNumbers w:val="0"/>
                    <w:spacing w:before="0" w:beforeAutospacing="0" w:after="0" w:afterAutospacing="0"/>
                    <w:ind w:left="0" w:right="0"/>
                    <w:jc w:val="center"/>
                    <w:rPr>
                      <w:color w:val="auto"/>
                      <w:sz w:val="18"/>
                      <w:szCs w:val="18"/>
                      <w:lang w:val="en-US"/>
                    </w:rPr>
                  </w:pPr>
                  <w:r>
                    <w:rPr>
                      <w:rFonts w:hint="eastAsia" w:ascii="Times New Roman" w:hAnsi="Times New Roman" w:eastAsia="宋体" w:cs="宋体"/>
                      <w:color w:val="auto"/>
                      <w:kern w:val="2"/>
                      <w:sz w:val="18"/>
                      <w:szCs w:val="18"/>
                      <w:lang w:val="en-US" w:eastAsia="zh-CN" w:bidi="ar"/>
                    </w:rPr>
                    <w:t>浓度</w:t>
                  </w:r>
                  <w:r>
                    <w:rPr>
                      <w:rFonts w:hint="default" w:ascii="Times New Roman" w:hAnsi="Times New Roman" w:eastAsia="宋体" w:cs="Times New Roman"/>
                      <w:color w:val="auto"/>
                      <w:kern w:val="2"/>
                      <w:sz w:val="18"/>
                      <w:szCs w:val="18"/>
                      <w:lang w:val="en-US" w:eastAsia="zh-CN" w:bidi="ar"/>
                    </w:rPr>
                    <w:t>mg/L</w:t>
                  </w:r>
                </w:p>
              </w:tc>
              <w:tc>
                <w:tcPr>
                  <w:tcW w:w="699" w:type="pct"/>
                  <w:tcBorders>
                    <w:tl2br w:val="nil"/>
                    <w:tr2bl w:val="nil"/>
                  </w:tcBorders>
                  <w:noWrap w:val="0"/>
                  <w:vAlign w:val="center"/>
                </w:tcPr>
                <w:p w14:paraId="5A15F0E6">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eastAsia="宋体"/>
                      <w:color w:val="auto"/>
                      <w:sz w:val="18"/>
                      <w:szCs w:val="18"/>
                      <w:lang w:val="en-US" w:eastAsia="zh-CN"/>
                    </w:rPr>
                    <w:t>48</w:t>
                  </w:r>
                </w:p>
              </w:tc>
              <w:tc>
                <w:tcPr>
                  <w:tcW w:w="699" w:type="pct"/>
                  <w:tcBorders>
                    <w:tl2br w:val="nil"/>
                    <w:tr2bl w:val="nil"/>
                  </w:tcBorders>
                  <w:noWrap w:val="0"/>
                  <w:vAlign w:val="center"/>
                </w:tcPr>
                <w:p w14:paraId="23069B31">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eastAsia="宋体"/>
                      <w:color w:val="auto"/>
                      <w:sz w:val="18"/>
                      <w:szCs w:val="18"/>
                      <w:lang w:val="en-US" w:eastAsia="zh-CN"/>
                    </w:rPr>
                    <w:t>0.223</w:t>
                  </w:r>
                </w:p>
              </w:tc>
              <w:tc>
                <w:tcPr>
                  <w:tcW w:w="699" w:type="pct"/>
                  <w:tcBorders>
                    <w:tl2br w:val="nil"/>
                    <w:tr2bl w:val="nil"/>
                  </w:tcBorders>
                  <w:noWrap w:val="0"/>
                  <w:vAlign w:val="center"/>
                </w:tcPr>
                <w:p w14:paraId="1B94CD73">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eastAsia="宋体"/>
                      <w:color w:val="auto"/>
                      <w:sz w:val="18"/>
                      <w:szCs w:val="18"/>
                      <w:lang w:val="en-US" w:eastAsia="zh-CN"/>
                    </w:rPr>
                    <w:t>/</w:t>
                  </w:r>
                </w:p>
              </w:tc>
              <w:tc>
                <w:tcPr>
                  <w:tcW w:w="699" w:type="pct"/>
                  <w:tcBorders>
                    <w:tl2br w:val="nil"/>
                    <w:tr2bl w:val="nil"/>
                  </w:tcBorders>
                  <w:noWrap w:val="0"/>
                  <w:vAlign w:val="center"/>
                </w:tcPr>
                <w:p w14:paraId="21C1F994">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eastAsia="宋体"/>
                      <w:color w:val="auto"/>
                      <w:sz w:val="18"/>
                      <w:szCs w:val="18"/>
                      <w:lang w:val="en-US" w:eastAsia="zh-CN"/>
                    </w:rPr>
                    <w:t>0.95</w:t>
                  </w:r>
                </w:p>
              </w:tc>
              <w:tc>
                <w:tcPr>
                  <w:tcW w:w="700" w:type="pct"/>
                  <w:tcBorders>
                    <w:tl2br w:val="nil"/>
                    <w:tr2bl w:val="nil"/>
                  </w:tcBorders>
                  <w:noWrap w:val="0"/>
                  <w:vAlign w:val="center"/>
                </w:tcPr>
                <w:p w14:paraId="11A10FAD">
                  <w:pPr>
                    <w:keepNext w:val="0"/>
                    <w:keepLines w:val="0"/>
                    <w:widowControl w:val="0"/>
                    <w:suppressLineNumbers w:val="0"/>
                    <w:spacing w:before="0" w:beforeAutospacing="0" w:after="0" w:afterAutospacing="0"/>
                    <w:ind w:left="0" w:right="0"/>
                    <w:jc w:val="center"/>
                    <w:rPr>
                      <w:rFonts w:hint="default" w:eastAsia="宋体"/>
                      <w:color w:val="auto"/>
                      <w:sz w:val="18"/>
                      <w:szCs w:val="18"/>
                      <w:lang w:val="en-US" w:eastAsia="zh-CN"/>
                    </w:rPr>
                  </w:pPr>
                  <w:r>
                    <w:rPr>
                      <w:rFonts w:hint="eastAsia" w:eastAsia="宋体"/>
                      <w:color w:val="auto"/>
                      <w:sz w:val="18"/>
                      <w:szCs w:val="18"/>
                      <w:lang w:val="en-US" w:eastAsia="zh-CN"/>
                    </w:rPr>
                    <w:t>3.302</w:t>
                  </w:r>
                </w:p>
              </w:tc>
            </w:tr>
            <w:tr w14:paraId="7A3714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69" w:type="pct"/>
                  <w:tcBorders>
                    <w:tl2br w:val="nil"/>
                    <w:tr2bl w:val="nil"/>
                  </w:tcBorders>
                  <w:noWrap w:val="0"/>
                  <w:vAlign w:val="center"/>
                </w:tcPr>
                <w:p w14:paraId="1CA93A6E">
                  <w:pPr>
                    <w:keepNext w:val="0"/>
                    <w:keepLines w:val="0"/>
                    <w:widowControl w:val="0"/>
                    <w:suppressLineNumbers w:val="0"/>
                    <w:spacing w:before="0" w:beforeAutospacing="0" w:after="0" w:afterAutospacing="0"/>
                    <w:ind w:left="0" w:right="0"/>
                    <w:jc w:val="center"/>
                    <w:rPr>
                      <w:rFonts w:hint="default" w:ascii="Times New Roman" w:hAnsi="Times New Roman" w:eastAsia="宋体" w:cs="宋体"/>
                      <w:bCs/>
                      <w:color w:val="auto"/>
                      <w:kern w:val="2"/>
                      <w:sz w:val="18"/>
                      <w:szCs w:val="18"/>
                      <w:lang w:val="en-US" w:eastAsia="zh-CN" w:bidi="ar"/>
                    </w:rPr>
                  </w:pPr>
                  <w:r>
                    <w:rPr>
                      <w:rFonts w:hint="eastAsia" w:ascii="Times New Roman" w:hAnsi="Times New Roman" w:eastAsia="宋体" w:cs="宋体"/>
                      <w:bCs/>
                      <w:color w:val="auto"/>
                      <w:kern w:val="2"/>
                      <w:sz w:val="18"/>
                      <w:szCs w:val="18"/>
                      <w:lang w:val="en-US" w:eastAsia="zh-CN" w:bidi="ar"/>
                    </w:rPr>
                    <w:t>污水总排口</w:t>
                  </w:r>
                </w:p>
              </w:tc>
              <w:tc>
                <w:tcPr>
                  <w:tcW w:w="633" w:type="pct"/>
                  <w:tcBorders>
                    <w:tl2br w:val="nil"/>
                    <w:tr2bl w:val="nil"/>
                  </w:tcBorders>
                  <w:noWrap w:val="0"/>
                  <w:vAlign w:val="center"/>
                </w:tcPr>
                <w:p w14:paraId="69632D3F">
                  <w:pPr>
                    <w:keepNext w:val="0"/>
                    <w:keepLines w:val="0"/>
                    <w:widowControl w:val="0"/>
                    <w:suppressLineNumbers w:val="0"/>
                    <w:spacing w:before="0" w:beforeAutospacing="0" w:after="0" w:afterAutospacing="0"/>
                    <w:ind w:left="0" w:right="0"/>
                    <w:jc w:val="center"/>
                    <w:rPr>
                      <w:rFonts w:hint="eastAsia" w:ascii="Times New Roman" w:hAnsi="Times New Roman" w:eastAsia="宋体" w:cs="宋体"/>
                      <w:color w:val="auto"/>
                      <w:kern w:val="2"/>
                      <w:sz w:val="18"/>
                      <w:szCs w:val="18"/>
                      <w:lang w:val="en-US" w:eastAsia="zh-CN" w:bidi="ar"/>
                    </w:rPr>
                  </w:pPr>
                  <w:r>
                    <w:rPr>
                      <w:rFonts w:hint="eastAsia" w:ascii="Times New Roman" w:hAnsi="Times New Roman" w:eastAsia="宋体" w:cs="宋体"/>
                      <w:color w:val="auto"/>
                      <w:kern w:val="2"/>
                      <w:sz w:val="18"/>
                      <w:szCs w:val="18"/>
                      <w:lang w:val="en-US" w:eastAsia="zh-CN" w:bidi="ar"/>
                    </w:rPr>
                    <w:t>浓度</w:t>
                  </w:r>
                  <w:r>
                    <w:rPr>
                      <w:rFonts w:hint="default" w:ascii="Times New Roman" w:hAnsi="Times New Roman" w:eastAsia="宋体" w:cs="Times New Roman"/>
                      <w:color w:val="auto"/>
                      <w:kern w:val="2"/>
                      <w:sz w:val="18"/>
                      <w:szCs w:val="18"/>
                      <w:lang w:val="en-US" w:eastAsia="zh-CN" w:bidi="ar"/>
                    </w:rPr>
                    <w:t>mg/L</w:t>
                  </w:r>
                </w:p>
              </w:tc>
              <w:tc>
                <w:tcPr>
                  <w:tcW w:w="699" w:type="pct"/>
                  <w:tcBorders>
                    <w:tl2br w:val="nil"/>
                    <w:tr2bl w:val="nil"/>
                  </w:tcBorders>
                  <w:noWrap w:val="0"/>
                  <w:vAlign w:val="center"/>
                </w:tcPr>
                <w:p w14:paraId="724A2D96">
                  <w:pPr>
                    <w:keepNext w:val="0"/>
                    <w:keepLines w:val="0"/>
                    <w:widowControl w:val="0"/>
                    <w:suppressLineNumbers w:val="0"/>
                    <w:spacing w:before="0" w:beforeAutospacing="0" w:after="0" w:afterAutospacing="0"/>
                    <w:ind w:left="0" w:right="0"/>
                    <w:jc w:val="center"/>
                    <w:rPr>
                      <w:rFonts w:hint="default"/>
                      <w:color w:val="auto"/>
                      <w:sz w:val="18"/>
                      <w:szCs w:val="18"/>
                      <w:lang w:val="en-US" w:eastAsia="zh-CN"/>
                    </w:rPr>
                  </w:pPr>
                  <w:r>
                    <w:rPr>
                      <w:rFonts w:hint="eastAsia"/>
                      <w:color w:val="auto"/>
                      <w:sz w:val="18"/>
                      <w:szCs w:val="18"/>
                      <w:lang w:val="en-US" w:eastAsia="zh-CN"/>
                    </w:rPr>
                    <w:t>96.75</w:t>
                  </w:r>
                </w:p>
              </w:tc>
              <w:tc>
                <w:tcPr>
                  <w:tcW w:w="699" w:type="pct"/>
                  <w:tcBorders>
                    <w:tl2br w:val="nil"/>
                    <w:tr2bl w:val="nil"/>
                  </w:tcBorders>
                  <w:noWrap w:val="0"/>
                  <w:vAlign w:val="center"/>
                </w:tcPr>
                <w:p w14:paraId="323B7B68">
                  <w:pPr>
                    <w:keepNext w:val="0"/>
                    <w:keepLines w:val="0"/>
                    <w:widowControl w:val="0"/>
                    <w:suppressLineNumbers w:val="0"/>
                    <w:spacing w:before="0" w:beforeAutospacing="0" w:after="0" w:afterAutospacing="0"/>
                    <w:ind w:left="0" w:right="0"/>
                    <w:jc w:val="center"/>
                    <w:rPr>
                      <w:rFonts w:hint="default"/>
                      <w:color w:val="auto"/>
                      <w:sz w:val="18"/>
                      <w:szCs w:val="18"/>
                      <w:lang w:val="en-US" w:eastAsia="zh-CN"/>
                    </w:rPr>
                  </w:pPr>
                  <w:r>
                    <w:rPr>
                      <w:rFonts w:hint="eastAsia"/>
                      <w:color w:val="auto"/>
                      <w:sz w:val="18"/>
                      <w:szCs w:val="18"/>
                      <w:lang w:val="en-US" w:eastAsia="zh-CN"/>
                    </w:rPr>
                    <w:t>0.18</w:t>
                  </w:r>
                </w:p>
              </w:tc>
              <w:tc>
                <w:tcPr>
                  <w:tcW w:w="699" w:type="pct"/>
                  <w:tcBorders>
                    <w:tl2br w:val="nil"/>
                    <w:tr2bl w:val="nil"/>
                  </w:tcBorders>
                  <w:noWrap w:val="0"/>
                  <w:vAlign w:val="center"/>
                </w:tcPr>
                <w:p w14:paraId="772621B7">
                  <w:pPr>
                    <w:keepNext w:val="0"/>
                    <w:keepLines w:val="0"/>
                    <w:widowControl w:val="0"/>
                    <w:suppressLineNumbers w:val="0"/>
                    <w:spacing w:before="0" w:beforeAutospacing="0" w:after="0" w:afterAutospacing="0"/>
                    <w:ind w:left="0" w:right="0"/>
                    <w:jc w:val="center"/>
                    <w:rPr>
                      <w:rFonts w:hint="default"/>
                      <w:color w:val="auto"/>
                      <w:sz w:val="18"/>
                      <w:szCs w:val="18"/>
                      <w:lang w:val="en-US" w:eastAsia="zh-CN"/>
                    </w:rPr>
                  </w:pPr>
                  <w:r>
                    <w:rPr>
                      <w:rFonts w:hint="eastAsia"/>
                      <w:color w:val="auto"/>
                      <w:sz w:val="18"/>
                      <w:szCs w:val="18"/>
                      <w:lang w:val="en-US" w:eastAsia="zh-CN"/>
                    </w:rPr>
                    <w:t>193.45</w:t>
                  </w:r>
                </w:p>
              </w:tc>
              <w:tc>
                <w:tcPr>
                  <w:tcW w:w="699" w:type="pct"/>
                  <w:tcBorders>
                    <w:tl2br w:val="nil"/>
                    <w:tr2bl w:val="nil"/>
                  </w:tcBorders>
                  <w:noWrap w:val="0"/>
                  <w:vAlign w:val="center"/>
                </w:tcPr>
                <w:p w14:paraId="52C344D3">
                  <w:pPr>
                    <w:keepNext w:val="0"/>
                    <w:keepLines w:val="0"/>
                    <w:widowControl w:val="0"/>
                    <w:suppressLineNumbers w:val="0"/>
                    <w:spacing w:before="0" w:beforeAutospacing="0" w:after="0" w:afterAutospacing="0"/>
                    <w:ind w:left="0" w:right="0"/>
                    <w:jc w:val="center"/>
                    <w:rPr>
                      <w:rFonts w:hint="default"/>
                      <w:color w:val="auto"/>
                      <w:sz w:val="18"/>
                      <w:szCs w:val="18"/>
                      <w:lang w:val="en-US" w:eastAsia="zh-CN"/>
                    </w:rPr>
                  </w:pPr>
                  <w:r>
                    <w:rPr>
                      <w:rFonts w:hint="eastAsia"/>
                      <w:color w:val="auto"/>
                      <w:sz w:val="18"/>
                      <w:szCs w:val="18"/>
                      <w:lang w:val="en-US" w:eastAsia="zh-CN"/>
                    </w:rPr>
                    <w:t>0.77</w:t>
                  </w:r>
                </w:p>
              </w:tc>
              <w:tc>
                <w:tcPr>
                  <w:tcW w:w="700" w:type="pct"/>
                  <w:tcBorders>
                    <w:tl2br w:val="nil"/>
                    <w:tr2bl w:val="nil"/>
                  </w:tcBorders>
                  <w:noWrap w:val="0"/>
                  <w:vAlign w:val="center"/>
                </w:tcPr>
                <w:p w14:paraId="59DD73D4">
                  <w:pPr>
                    <w:keepNext w:val="0"/>
                    <w:keepLines w:val="0"/>
                    <w:widowControl w:val="0"/>
                    <w:suppressLineNumbers w:val="0"/>
                    <w:spacing w:before="0" w:beforeAutospacing="0" w:after="0" w:afterAutospacing="0"/>
                    <w:ind w:left="0" w:right="0"/>
                    <w:jc w:val="center"/>
                    <w:rPr>
                      <w:rFonts w:hint="default"/>
                      <w:color w:val="auto"/>
                      <w:sz w:val="18"/>
                      <w:szCs w:val="18"/>
                      <w:lang w:val="en-US" w:eastAsia="zh-CN"/>
                    </w:rPr>
                  </w:pPr>
                  <w:r>
                    <w:rPr>
                      <w:rFonts w:hint="eastAsia"/>
                      <w:color w:val="auto"/>
                      <w:sz w:val="18"/>
                      <w:szCs w:val="18"/>
                      <w:lang w:val="en-US" w:eastAsia="zh-CN"/>
                    </w:rPr>
                    <w:t>4.094</w:t>
                  </w:r>
                </w:p>
              </w:tc>
            </w:tr>
          </w:tbl>
          <w:p w14:paraId="1855FF16">
            <w:pPr>
              <w:keepNext w:val="0"/>
              <w:keepLines w:val="0"/>
              <w:suppressLineNumbers w:val="0"/>
              <w:tabs>
                <w:tab w:val="left" w:pos="3000"/>
              </w:tabs>
              <w:spacing w:before="0" w:beforeAutospacing="0" w:after="0" w:afterAutospacing="0" w:line="360" w:lineRule="auto"/>
              <w:ind w:left="0" w:right="0" w:firstLine="480" w:firstLineChars="200"/>
              <w:rPr>
                <w:rFonts w:hint="default"/>
                <w:color w:val="auto"/>
                <w:sz w:val="24"/>
                <w:highlight w:val="none"/>
                <w:lang w:val="en-US" w:eastAsia="zh-CN"/>
              </w:rPr>
            </w:pPr>
            <w:r>
              <w:rPr>
                <w:rFonts w:hint="eastAsia"/>
                <w:color w:val="auto"/>
                <w:sz w:val="24"/>
                <w:highlight w:val="none"/>
                <w:lang w:val="en-US" w:eastAsia="zh-CN"/>
              </w:rPr>
              <w:t>（3）依托污水处理厂</w:t>
            </w:r>
          </w:p>
          <w:p w14:paraId="1151BB2B">
            <w:pPr>
              <w:keepNext w:val="0"/>
              <w:keepLines w:val="0"/>
              <w:suppressLineNumbers w:val="0"/>
              <w:adjustRightInd w:val="0"/>
              <w:snapToGrid w:val="0"/>
              <w:spacing w:before="0" w:beforeAutospacing="0" w:after="0" w:afterAutospacing="0" w:line="360" w:lineRule="auto"/>
              <w:ind w:left="0" w:right="0"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高新区东泽污水处理厂目前实际处理工业污水水量约5500 t/d，余量4500t/d。本项目建成后新增废水排放量约为</w:t>
            </w:r>
            <w:r>
              <w:rPr>
                <w:rFonts w:hint="eastAsia" w:ascii="Times New Roman" w:hAnsi="Times New Roman" w:cs="Times New Roman"/>
                <w:color w:val="auto"/>
                <w:sz w:val="24"/>
                <w:szCs w:val="24"/>
                <w:lang w:val="en-US" w:eastAsia="zh-CN"/>
              </w:rPr>
              <w:t>65.504</w:t>
            </w:r>
            <w:r>
              <w:rPr>
                <w:rFonts w:ascii="Times New Roman" w:hAnsi="Times New Roman" w:cs="Times New Roman"/>
                <w:color w:val="auto"/>
                <w:sz w:val="24"/>
                <w:szCs w:val="24"/>
              </w:rPr>
              <w:t>t/d，占高新区污水处理厂工业废水剩余处理量的</w:t>
            </w:r>
            <w:r>
              <w:rPr>
                <w:rFonts w:hint="eastAsia" w:ascii="Times New Roman" w:hAnsi="Times New Roman" w:cs="Times New Roman"/>
                <w:color w:val="auto"/>
                <w:sz w:val="24"/>
                <w:szCs w:val="24"/>
                <w:lang w:val="en-US" w:eastAsia="zh-CN"/>
              </w:rPr>
              <w:t>1.5</w:t>
            </w:r>
            <w:r>
              <w:rPr>
                <w:rFonts w:ascii="Times New Roman" w:hAnsi="Times New Roman" w:cs="Times New Roman"/>
                <w:color w:val="auto"/>
                <w:sz w:val="24"/>
                <w:szCs w:val="24"/>
              </w:rPr>
              <w:t>%，废水中主要污染物为COD、SS、氨氮、石油类，</w:t>
            </w:r>
            <w:r>
              <w:rPr>
                <w:rFonts w:hint="eastAsia" w:ascii="Times New Roman" w:hAnsi="Times New Roman" w:cs="Times New Roman"/>
                <w:color w:val="auto"/>
                <w:sz w:val="24"/>
                <w:szCs w:val="24"/>
              </w:rPr>
              <w:t>本</w:t>
            </w:r>
            <w:r>
              <w:rPr>
                <w:rFonts w:ascii="Times New Roman" w:hAnsi="Times New Roman" w:cs="Times New Roman"/>
                <w:color w:val="auto"/>
                <w:sz w:val="24"/>
                <w:szCs w:val="24"/>
              </w:rPr>
              <w:t>项目废水出水水质符合</w:t>
            </w:r>
            <w:r>
              <w:rPr>
                <w:rFonts w:hint="eastAsia"/>
                <w:color w:val="auto"/>
                <w:sz w:val="24"/>
                <w:highlight w:val="none"/>
                <w:lang w:val="en-US" w:eastAsia="zh-CN"/>
              </w:rPr>
              <w:t>《石油化学工业污染物排放标准》（GB31571-2015）（含2024年修改单）中相关标准限值</w:t>
            </w:r>
            <w:r>
              <w:rPr>
                <w:rFonts w:ascii="Times New Roman" w:hAnsi="Times New Roman" w:cs="Times New Roman"/>
                <w:color w:val="auto"/>
                <w:sz w:val="24"/>
                <w:szCs w:val="24"/>
              </w:rPr>
              <w:t>。经污水处理厂处理后能够达到《城镇污水处理厂污染物排放标准》（GB18918-2002）中一级A标准。</w:t>
            </w:r>
          </w:p>
          <w:p w14:paraId="5EEF3C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监测要求</w:t>
            </w:r>
          </w:p>
          <w:p w14:paraId="3DBC4224">
            <w:pPr>
              <w:pStyle w:val="94"/>
              <w:keepNext w:val="0"/>
              <w:keepLines w:val="0"/>
              <w:suppressLineNumbers w:val="0"/>
              <w:spacing w:before="0" w:beforeAutospacing="0" w:after="0" w:afterAutospacing="0"/>
              <w:ind w:left="0" w:right="0" w:firstLine="48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本项目废水监测计划详见</w:t>
            </w:r>
            <w:r>
              <w:rPr>
                <w:rFonts w:hint="eastAsia" w:ascii="Times New Roman" w:hAnsi="Times New Roman" w:eastAsia="宋体" w:cs="Times New Roman"/>
                <w:color w:val="auto"/>
                <w:sz w:val="24"/>
                <w:szCs w:val="24"/>
                <w:highlight w:val="none"/>
                <w:lang w:val="en-US" w:eastAsia="zh-CN"/>
              </w:rPr>
              <w:t>下</w:t>
            </w:r>
            <w:r>
              <w:rPr>
                <w:rFonts w:hint="default" w:ascii="Times New Roman" w:hAnsi="Times New Roman" w:eastAsia="宋体" w:cs="Times New Roman"/>
                <w:color w:val="auto"/>
                <w:sz w:val="24"/>
                <w:szCs w:val="24"/>
                <w:highlight w:val="none"/>
                <w:lang w:val="en-US" w:eastAsia="zh-CN"/>
              </w:rPr>
              <w:t>表。</w:t>
            </w:r>
          </w:p>
          <w:p w14:paraId="624C16E6">
            <w:pPr>
              <w:keepNext w:val="0"/>
              <w:keepLines w:val="0"/>
              <w:suppressLineNumbers w:val="0"/>
              <w:tabs>
                <w:tab w:val="left" w:pos="4425"/>
              </w:tabs>
              <w:spacing w:before="0" w:beforeAutospacing="0" w:after="0" w:afterAutospacing="0"/>
              <w:ind w:left="0" w:right="0"/>
              <w:jc w:val="center"/>
              <w:rPr>
                <w:rFonts w:hint="default" w:ascii="Times New Roman" w:hAnsi="Times New Roman" w:eastAsia="黑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表4-</w:t>
            </w:r>
            <w:r>
              <w:rPr>
                <w:rFonts w:hint="eastAsia" w:ascii="Times New Roman" w:hAnsi="Times New Roman" w:eastAsia="宋体" w:cs="Times New Roman"/>
                <w:b w:val="0"/>
                <w:bCs/>
                <w:color w:val="auto"/>
                <w:sz w:val="24"/>
                <w:szCs w:val="24"/>
                <w:highlight w:val="none"/>
                <w:lang w:val="en-US" w:eastAsia="zh-CN"/>
              </w:rPr>
              <w:t xml:space="preserve">22  </w:t>
            </w:r>
            <w:r>
              <w:rPr>
                <w:rFonts w:hint="default" w:ascii="Times New Roman" w:hAnsi="Times New Roman" w:eastAsia="宋体" w:cs="Times New Roman"/>
                <w:b w:val="0"/>
                <w:bCs/>
                <w:color w:val="auto"/>
                <w:sz w:val="24"/>
                <w:szCs w:val="24"/>
                <w:highlight w:val="none"/>
                <w:lang w:val="en-US" w:eastAsia="zh-CN"/>
              </w:rPr>
              <w:t>项目</w:t>
            </w:r>
            <w:r>
              <w:rPr>
                <w:rFonts w:hint="default" w:ascii="Times New Roman" w:hAnsi="Times New Roman" w:eastAsia="宋体" w:cs="Times New Roman"/>
                <w:b w:val="0"/>
                <w:bCs/>
                <w:color w:val="auto"/>
                <w:sz w:val="24"/>
                <w:szCs w:val="24"/>
                <w:highlight w:val="none"/>
              </w:rPr>
              <w:t>废</w:t>
            </w:r>
            <w:r>
              <w:rPr>
                <w:rFonts w:hint="default" w:ascii="Times New Roman" w:hAnsi="Times New Roman" w:eastAsia="宋体" w:cs="Times New Roman"/>
                <w:b w:val="0"/>
                <w:bCs/>
                <w:color w:val="auto"/>
                <w:sz w:val="24"/>
                <w:szCs w:val="24"/>
                <w:highlight w:val="none"/>
                <w:lang w:val="en-US" w:eastAsia="zh-CN"/>
              </w:rPr>
              <w:t>水</w:t>
            </w:r>
            <w:r>
              <w:rPr>
                <w:rFonts w:hint="default" w:ascii="Times New Roman" w:hAnsi="Times New Roman" w:eastAsia="宋体" w:cs="Times New Roman"/>
                <w:b w:val="0"/>
                <w:bCs/>
                <w:color w:val="auto"/>
                <w:sz w:val="24"/>
                <w:szCs w:val="24"/>
                <w:highlight w:val="none"/>
              </w:rPr>
              <w:t>监测计划一览表</w:t>
            </w:r>
          </w:p>
          <w:tbl>
            <w:tblPr>
              <w:tblStyle w:val="27"/>
              <w:tblW w:w="798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4"/>
              <w:gridCol w:w="1334"/>
              <w:gridCol w:w="1334"/>
              <w:gridCol w:w="1337"/>
              <w:gridCol w:w="2642"/>
            </w:tblGrid>
            <w:tr w14:paraId="54FB4B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40" w:hRule="atLeast"/>
                <w:jc w:val="center"/>
              </w:trPr>
              <w:tc>
                <w:tcPr>
                  <w:tcW w:w="1334" w:type="dxa"/>
                  <w:tcBorders>
                    <w:tl2br w:val="nil"/>
                    <w:tr2bl w:val="nil"/>
                  </w:tcBorders>
                  <w:noWrap w:val="0"/>
                  <w:vAlign w:val="center"/>
                </w:tcPr>
                <w:p w14:paraId="5EC11B5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类别</w:t>
                  </w:r>
                </w:p>
              </w:tc>
              <w:tc>
                <w:tcPr>
                  <w:tcW w:w="1334" w:type="dxa"/>
                  <w:tcBorders>
                    <w:tl2br w:val="nil"/>
                    <w:tr2bl w:val="nil"/>
                  </w:tcBorders>
                  <w:noWrap w:val="0"/>
                  <w:vAlign w:val="center"/>
                </w:tcPr>
                <w:p w14:paraId="40A253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监测点位</w:t>
                  </w:r>
                </w:p>
              </w:tc>
              <w:tc>
                <w:tcPr>
                  <w:tcW w:w="1334" w:type="dxa"/>
                  <w:tcBorders>
                    <w:tl2br w:val="nil"/>
                    <w:tr2bl w:val="nil"/>
                  </w:tcBorders>
                  <w:noWrap w:val="0"/>
                  <w:vAlign w:val="center"/>
                </w:tcPr>
                <w:p w14:paraId="3978CF7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w:t>
                  </w:r>
                  <w:r>
                    <w:rPr>
                      <w:rFonts w:hint="default" w:ascii="Times New Roman" w:hAnsi="Times New Roman" w:cs="Times New Roman"/>
                      <w:color w:val="auto"/>
                      <w:sz w:val="21"/>
                      <w:szCs w:val="21"/>
                      <w:lang w:val="en-US" w:eastAsia="zh-CN"/>
                    </w:rPr>
                    <w:t>因子</w:t>
                  </w:r>
                </w:p>
              </w:tc>
              <w:tc>
                <w:tcPr>
                  <w:tcW w:w="1337" w:type="dxa"/>
                  <w:tcBorders>
                    <w:tl2br w:val="nil"/>
                    <w:tr2bl w:val="nil"/>
                  </w:tcBorders>
                  <w:noWrap w:val="0"/>
                  <w:vAlign w:val="center"/>
                </w:tcPr>
                <w:p w14:paraId="5B5E70E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监测频次</w:t>
                  </w:r>
                </w:p>
              </w:tc>
              <w:tc>
                <w:tcPr>
                  <w:tcW w:w="2642" w:type="dxa"/>
                  <w:tcBorders>
                    <w:tl2br w:val="nil"/>
                    <w:tr2bl w:val="nil"/>
                  </w:tcBorders>
                  <w:noWrap w:val="0"/>
                  <w:vAlign w:val="center"/>
                </w:tcPr>
                <w:p w14:paraId="1B7FED21">
                  <w:pPr>
                    <w:keepNext w:val="0"/>
                    <w:keepLines w:val="0"/>
                    <w:suppressLineNumbers w:val="0"/>
                    <w:tabs>
                      <w:tab w:val="left" w:pos="4665"/>
                      <w:tab w:val="left" w:pos="8970"/>
                    </w:tabs>
                    <w:spacing w:before="0" w:beforeAutospacing="0" w:after="0" w:afterAutospacing="0"/>
                    <w:ind w:left="0" w:right="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执行标准</w:t>
                  </w:r>
                </w:p>
              </w:tc>
            </w:tr>
            <w:tr w14:paraId="0A2395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4" w:type="dxa"/>
                  <w:vMerge w:val="restart"/>
                  <w:tcBorders>
                    <w:tl2br w:val="nil"/>
                    <w:tr2bl w:val="nil"/>
                  </w:tcBorders>
                  <w:noWrap w:val="0"/>
                  <w:vAlign w:val="center"/>
                </w:tcPr>
                <w:p w14:paraId="01D1FC4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bCs/>
                      <w:color w:val="auto"/>
                      <w:kern w:val="0"/>
                      <w:sz w:val="21"/>
                      <w:szCs w:val="21"/>
                      <w:lang w:val="en-US" w:eastAsia="zh-CN"/>
                    </w:rPr>
                    <w:t>废水</w:t>
                  </w:r>
                </w:p>
              </w:tc>
              <w:tc>
                <w:tcPr>
                  <w:tcW w:w="1334" w:type="dxa"/>
                  <w:vMerge w:val="restart"/>
                  <w:tcBorders>
                    <w:tl2br w:val="nil"/>
                    <w:tr2bl w:val="nil"/>
                  </w:tcBorders>
                  <w:noWrap w:val="0"/>
                  <w:vAlign w:val="center"/>
                </w:tcPr>
                <w:p w14:paraId="100F6DC8">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kern w:val="0"/>
                      <w:sz w:val="21"/>
                      <w:szCs w:val="21"/>
                      <w:lang w:val="en-US" w:eastAsia="zh-CN"/>
                    </w:rPr>
                  </w:pPr>
                  <w:r>
                    <w:rPr>
                      <w:rFonts w:hint="default" w:ascii="Times New Roman" w:hAnsi="Times New Roman" w:cs="Times New Roman"/>
                      <w:bCs/>
                      <w:color w:val="auto"/>
                      <w:kern w:val="0"/>
                      <w:sz w:val="21"/>
                      <w:szCs w:val="21"/>
                      <w:lang w:val="en-US" w:eastAsia="zh-CN"/>
                    </w:rPr>
                    <w:t>厂区废水排放口</w:t>
                  </w:r>
                </w:p>
              </w:tc>
              <w:tc>
                <w:tcPr>
                  <w:tcW w:w="1334" w:type="dxa"/>
                  <w:tcBorders>
                    <w:tl2br w:val="nil"/>
                    <w:tr2bl w:val="nil"/>
                  </w:tcBorders>
                  <w:noWrap w:val="0"/>
                  <w:vAlign w:val="center"/>
                </w:tcPr>
                <w:p w14:paraId="27037BA2">
                  <w:pPr>
                    <w:keepNext w:val="0"/>
                    <w:keepLines w:val="0"/>
                    <w:widowControl/>
                    <w:suppressLineNumbers w:val="0"/>
                    <w:spacing w:before="0" w:beforeAutospacing="0" w:after="0" w:afterAutospacing="0"/>
                    <w:ind w:left="-63" w:leftChars="-30" w:right="-63" w:rightChars="-3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0"/>
                      <w:sz w:val="21"/>
                      <w:szCs w:val="21"/>
                    </w:rPr>
                    <w:t>COD</w:t>
                  </w:r>
                </w:p>
              </w:tc>
              <w:tc>
                <w:tcPr>
                  <w:tcW w:w="1337" w:type="dxa"/>
                  <w:vMerge w:val="restart"/>
                  <w:tcBorders>
                    <w:tl2br w:val="nil"/>
                    <w:tr2bl w:val="nil"/>
                  </w:tcBorders>
                  <w:noWrap w:val="0"/>
                  <w:vAlign w:val="center"/>
                </w:tcPr>
                <w:p w14:paraId="18192233">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1次/半年</w:t>
                  </w:r>
                </w:p>
              </w:tc>
              <w:tc>
                <w:tcPr>
                  <w:tcW w:w="2642" w:type="dxa"/>
                  <w:vMerge w:val="restart"/>
                  <w:tcBorders>
                    <w:tl2br w:val="nil"/>
                    <w:tr2bl w:val="nil"/>
                  </w:tcBorders>
                  <w:noWrap w:val="0"/>
                  <w:vAlign w:val="center"/>
                </w:tcPr>
                <w:p w14:paraId="1216B1B5">
                  <w:pPr>
                    <w:keepNext w:val="0"/>
                    <w:keepLines w:val="0"/>
                    <w:suppressLineNumbers w:val="0"/>
                    <w:tabs>
                      <w:tab w:val="left" w:pos="4665"/>
                      <w:tab w:val="left" w:pos="8970"/>
                    </w:tabs>
                    <w:adjustRightInd w:val="0"/>
                    <w:snapToGrid w:val="0"/>
                    <w:spacing w:before="0" w:beforeAutospacing="0" w:after="0" w:afterAutospacing="0" w:line="240" w:lineRule="atLeast"/>
                    <w:ind w:left="-63" w:leftChars="-30" w:right="-63" w:rightChars="-3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《辽宁省污水综合排放标准》（DB21/1627-2008）</w:t>
                  </w:r>
                </w:p>
              </w:tc>
            </w:tr>
            <w:tr w14:paraId="40F754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4" w:type="dxa"/>
                  <w:vMerge w:val="continue"/>
                  <w:tcBorders>
                    <w:tl2br w:val="nil"/>
                    <w:tr2bl w:val="nil"/>
                  </w:tcBorders>
                  <w:noWrap w:val="0"/>
                  <w:vAlign w:val="center"/>
                </w:tcPr>
                <w:p w14:paraId="581CE683">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kern w:val="0"/>
                      <w:sz w:val="21"/>
                      <w:szCs w:val="21"/>
                    </w:rPr>
                  </w:pPr>
                </w:p>
              </w:tc>
              <w:tc>
                <w:tcPr>
                  <w:tcW w:w="1334" w:type="dxa"/>
                  <w:vMerge w:val="continue"/>
                  <w:tcBorders>
                    <w:tl2br w:val="nil"/>
                    <w:tr2bl w:val="nil"/>
                  </w:tcBorders>
                  <w:noWrap w:val="0"/>
                  <w:vAlign w:val="center"/>
                </w:tcPr>
                <w:p w14:paraId="66EBD4D8">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kern w:val="0"/>
                      <w:sz w:val="21"/>
                      <w:szCs w:val="21"/>
                    </w:rPr>
                  </w:pPr>
                </w:p>
              </w:tc>
              <w:tc>
                <w:tcPr>
                  <w:tcW w:w="1334" w:type="dxa"/>
                  <w:tcBorders>
                    <w:tl2br w:val="nil"/>
                    <w:tr2bl w:val="nil"/>
                  </w:tcBorders>
                  <w:noWrap w:val="0"/>
                  <w:vAlign w:val="center"/>
                </w:tcPr>
                <w:p w14:paraId="63F270A1">
                  <w:pPr>
                    <w:keepNext w:val="0"/>
                    <w:keepLines w:val="0"/>
                    <w:widowControl/>
                    <w:suppressLineNumbers w:val="0"/>
                    <w:spacing w:before="0" w:beforeAutospacing="0" w:after="0" w:afterAutospacing="0"/>
                    <w:ind w:left="-63" w:leftChars="-30" w:right="-63" w:rightChars="-3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0"/>
                      <w:sz w:val="21"/>
                      <w:szCs w:val="21"/>
                    </w:rPr>
                    <w:t>NH</w:t>
                  </w:r>
                  <w:r>
                    <w:rPr>
                      <w:rFonts w:hint="default" w:ascii="Times New Roman" w:hAnsi="Times New Roman" w:cs="Times New Roman"/>
                      <w:color w:val="auto"/>
                      <w:kern w:val="0"/>
                      <w:sz w:val="21"/>
                      <w:szCs w:val="21"/>
                      <w:vertAlign w:val="subscript"/>
                    </w:rPr>
                    <w:t>3</w:t>
                  </w:r>
                  <w:r>
                    <w:rPr>
                      <w:rFonts w:hint="default" w:ascii="Times New Roman" w:hAnsi="Times New Roman" w:cs="Times New Roman"/>
                      <w:color w:val="auto"/>
                      <w:kern w:val="0"/>
                      <w:sz w:val="21"/>
                      <w:szCs w:val="21"/>
                    </w:rPr>
                    <w:t>-N</w:t>
                  </w:r>
                </w:p>
              </w:tc>
              <w:tc>
                <w:tcPr>
                  <w:tcW w:w="1337" w:type="dxa"/>
                  <w:vMerge w:val="continue"/>
                  <w:tcBorders>
                    <w:tl2br w:val="nil"/>
                    <w:tr2bl w:val="nil"/>
                  </w:tcBorders>
                  <w:noWrap w:val="0"/>
                  <w:vAlign w:val="center"/>
                </w:tcPr>
                <w:p w14:paraId="5DCDCD96">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auto"/>
                      <w:sz w:val="21"/>
                      <w:szCs w:val="21"/>
                    </w:rPr>
                  </w:pPr>
                </w:p>
              </w:tc>
              <w:tc>
                <w:tcPr>
                  <w:tcW w:w="2642" w:type="dxa"/>
                  <w:vMerge w:val="continue"/>
                  <w:tcBorders>
                    <w:tl2br w:val="nil"/>
                    <w:tr2bl w:val="nil"/>
                  </w:tcBorders>
                  <w:noWrap w:val="0"/>
                  <w:vAlign w:val="center"/>
                </w:tcPr>
                <w:p w14:paraId="05F2327A">
                  <w:pPr>
                    <w:keepNext w:val="0"/>
                    <w:keepLines w:val="0"/>
                    <w:suppressLineNumbers w:val="0"/>
                    <w:tabs>
                      <w:tab w:val="left" w:pos="4665"/>
                      <w:tab w:val="left" w:pos="8970"/>
                    </w:tabs>
                    <w:adjustRightInd w:val="0"/>
                    <w:snapToGrid w:val="0"/>
                    <w:spacing w:before="0" w:beforeAutospacing="0" w:after="0" w:afterAutospacing="0" w:line="240" w:lineRule="atLeast"/>
                    <w:ind w:left="-63" w:leftChars="-30" w:right="-63" w:rightChars="-30"/>
                    <w:jc w:val="center"/>
                    <w:rPr>
                      <w:rFonts w:hint="default" w:ascii="Times New Roman" w:hAnsi="Times New Roman" w:cs="Times New Roman"/>
                      <w:color w:val="auto"/>
                      <w:sz w:val="21"/>
                      <w:szCs w:val="21"/>
                    </w:rPr>
                  </w:pPr>
                </w:p>
              </w:tc>
            </w:tr>
            <w:tr w14:paraId="167972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4" w:type="dxa"/>
                  <w:vMerge w:val="continue"/>
                  <w:tcBorders>
                    <w:tl2br w:val="nil"/>
                    <w:tr2bl w:val="nil"/>
                  </w:tcBorders>
                  <w:noWrap w:val="0"/>
                  <w:vAlign w:val="center"/>
                </w:tcPr>
                <w:p w14:paraId="6549883A">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kern w:val="0"/>
                      <w:sz w:val="21"/>
                      <w:szCs w:val="21"/>
                    </w:rPr>
                  </w:pPr>
                </w:p>
              </w:tc>
              <w:tc>
                <w:tcPr>
                  <w:tcW w:w="1334" w:type="dxa"/>
                  <w:vMerge w:val="continue"/>
                  <w:tcBorders>
                    <w:tl2br w:val="nil"/>
                    <w:tr2bl w:val="nil"/>
                  </w:tcBorders>
                  <w:noWrap w:val="0"/>
                  <w:vAlign w:val="center"/>
                </w:tcPr>
                <w:p w14:paraId="6FA24962">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kern w:val="0"/>
                      <w:sz w:val="21"/>
                      <w:szCs w:val="21"/>
                    </w:rPr>
                  </w:pPr>
                </w:p>
              </w:tc>
              <w:tc>
                <w:tcPr>
                  <w:tcW w:w="1334" w:type="dxa"/>
                  <w:tcBorders>
                    <w:tl2br w:val="nil"/>
                    <w:tr2bl w:val="nil"/>
                  </w:tcBorders>
                  <w:noWrap w:val="0"/>
                  <w:vAlign w:val="center"/>
                </w:tcPr>
                <w:p w14:paraId="6EC9B4B2">
                  <w:pPr>
                    <w:keepNext w:val="0"/>
                    <w:keepLines w:val="0"/>
                    <w:widowControl/>
                    <w:suppressLineNumbers w:val="0"/>
                    <w:spacing w:before="0" w:beforeAutospacing="0" w:after="0" w:afterAutospacing="0"/>
                    <w:ind w:left="-63" w:leftChars="-30" w:right="-63" w:rightChars="-3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0"/>
                      <w:sz w:val="21"/>
                      <w:szCs w:val="21"/>
                    </w:rPr>
                    <w:t xml:space="preserve">SS </w:t>
                  </w:r>
                </w:p>
              </w:tc>
              <w:tc>
                <w:tcPr>
                  <w:tcW w:w="1337" w:type="dxa"/>
                  <w:vMerge w:val="continue"/>
                  <w:tcBorders>
                    <w:tl2br w:val="nil"/>
                    <w:tr2bl w:val="nil"/>
                  </w:tcBorders>
                  <w:noWrap w:val="0"/>
                  <w:vAlign w:val="center"/>
                </w:tcPr>
                <w:p w14:paraId="5895CEB9">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auto"/>
                      <w:sz w:val="21"/>
                      <w:szCs w:val="21"/>
                    </w:rPr>
                  </w:pPr>
                </w:p>
              </w:tc>
              <w:tc>
                <w:tcPr>
                  <w:tcW w:w="2642" w:type="dxa"/>
                  <w:vMerge w:val="continue"/>
                  <w:tcBorders>
                    <w:tl2br w:val="nil"/>
                    <w:tr2bl w:val="nil"/>
                  </w:tcBorders>
                  <w:noWrap w:val="0"/>
                  <w:vAlign w:val="center"/>
                </w:tcPr>
                <w:p w14:paraId="1A5BFB2B">
                  <w:pPr>
                    <w:keepNext w:val="0"/>
                    <w:keepLines w:val="0"/>
                    <w:suppressLineNumbers w:val="0"/>
                    <w:tabs>
                      <w:tab w:val="left" w:pos="4665"/>
                      <w:tab w:val="left" w:pos="8970"/>
                    </w:tabs>
                    <w:adjustRightInd w:val="0"/>
                    <w:snapToGrid w:val="0"/>
                    <w:spacing w:before="0" w:beforeAutospacing="0" w:after="0" w:afterAutospacing="0" w:line="240" w:lineRule="atLeast"/>
                    <w:ind w:left="-63" w:leftChars="-30" w:right="-63" w:rightChars="-30"/>
                    <w:jc w:val="center"/>
                    <w:rPr>
                      <w:rFonts w:hint="default" w:ascii="Times New Roman" w:hAnsi="Times New Roman" w:cs="Times New Roman"/>
                      <w:color w:val="auto"/>
                      <w:sz w:val="21"/>
                      <w:szCs w:val="21"/>
                    </w:rPr>
                  </w:pPr>
                </w:p>
              </w:tc>
            </w:tr>
            <w:tr w14:paraId="60D592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4" w:type="dxa"/>
                  <w:vMerge w:val="continue"/>
                  <w:tcBorders>
                    <w:tl2br w:val="nil"/>
                    <w:tr2bl w:val="nil"/>
                  </w:tcBorders>
                  <w:noWrap w:val="0"/>
                  <w:vAlign w:val="center"/>
                </w:tcPr>
                <w:p w14:paraId="221DED01">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kern w:val="0"/>
                      <w:sz w:val="21"/>
                      <w:szCs w:val="21"/>
                    </w:rPr>
                  </w:pPr>
                </w:p>
              </w:tc>
              <w:tc>
                <w:tcPr>
                  <w:tcW w:w="1334" w:type="dxa"/>
                  <w:vMerge w:val="continue"/>
                  <w:tcBorders>
                    <w:tl2br w:val="nil"/>
                    <w:tr2bl w:val="nil"/>
                  </w:tcBorders>
                  <w:noWrap w:val="0"/>
                  <w:vAlign w:val="center"/>
                </w:tcPr>
                <w:p w14:paraId="5384E4A8">
                  <w:pPr>
                    <w:keepNext w:val="0"/>
                    <w:keepLines w:val="0"/>
                    <w:widowControl/>
                    <w:suppressLineNumbers w:val="0"/>
                    <w:spacing w:before="0" w:beforeAutospacing="0" w:after="0" w:afterAutospacing="0"/>
                    <w:ind w:left="0" w:right="0"/>
                    <w:jc w:val="center"/>
                    <w:rPr>
                      <w:rFonts w:hint="default" w:ascii="Times New Roman" w:hAnsi="Times New Roman" w:cs="Times New Roman"/>
                      <w:bCs/>
                      <w:color w:val="auto"/>
                      <w:kern w:val="0"/>
                      <w:sz w:val="21"/>
                      <w:szCs w:val="21"/>
                    </w:rPr>
                  </w:pPr>
                </w:p>
              </w:tc>
              <w:tc>
                <w:tcPr>
                  <w:tcW w:w="1334" w:type="dxa"/>
                  <w:tcBorders>
                    <w:tl2br w:val="nil"/>
                    <w:tr2bl w:val="nil"/>
                  </w:tcBorders>
                  <w:noWrap w:val="0"/>
                  <w:vAlign w:val="center"/>
                </w:tcPr>
                <w:p w14:paraId="3B3A16E9">
                  <w:pPr>
                    <w:keepNext w:val="0"/>
                    <w:keepLines w:val="0"/>
                    <w:widowControl/>
                    <w:suppressLineNumbers w:val="0"/>
                    <w:spacing w:before="0" w:beforeAutospacing="0" w:after="0" w:afterAutospacing="0"/>
                    <w:ind w:left="-63" w:leftChars="-30" w:right="-63" w:rightChars="-30"/>
                    <w:jc w:val="center"/>
                    <w:rPr>
                      <w:rFonts w:hint="default" w:ascii="Times New Roman" w:hAnsi="Times New Roman"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石油类</w:t>
                  </w:r>
                </w:p>
              </w:tc>
              <w:tc>
                <w:tcPr>
                  <w:tcW w:w="1337" w:type="dxa"/>
                  <w:vMerge w:val="continue"/>
                  <w:tcBorders>
                    <w:tl2br w:val="nil"/>
                    <w:tr2bl w:val="nil"/>
                  </w:tcBorders>
                  <w:noWrap w:val="0"/>
                  <w:vAlign w:val="center"/>
                </w:tcPr>
                <w:p w14:paraId="6211E2BD">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cs="Times New Roman"/>
                      <w:color w:val="auto"/>
                      <w:sz w:val="21"/>
                      <w:szCs w:val="21"/>
                    </w:rPr>
                  </w:pPr>
                </w:p>
              </w:tc>
              <w:tc>
                <w:tcPr>
                  <w:tcW w:w="2642" w:type="dxa"/>
                  <w:tcBorders>
                    <w:tl2br w:val="nil"/>
                    <w:tr2bl w:val="nil"/>
                  </w:tcBorders>
                  <w:noWrap w:val="0"/>
                  <w:vAlign w:val="center"/>
                </w:tcPr>
                <w:p w14:paraId="6988F212">
                  <w:pPr>
                    <w:keepNext w:val="0"/>
                    <w:keepLines w:val="0"/>
                    <w:suppressLineNumbers w:val="0"/>
                    <w:tabs>
                      <w:tab w:val="left" w:pos="4665"/>
                      <w:tab w:val="left" w:pos="8970"/>
                    </w:tabs>
                    <w:adjustRightInd w:val="0"/>
                    <w:snapToGrid w:val="0"/>
                    <w:spacing w:before="0" w:beforeAutospacing="0" w:after="0" w:afterAutospacing="0" w:line="240" w:lineRule="atLeast"/>
                    <w:ind w:left="-63" w:leftChars="-30" w:right="-63" w:rightChars="-3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《石油化学工业污染物排放标准》（GB31571-2015）（含2024年修改单）</w:t>
                  </w:r>
                </w:p>
              </w:tc>
            </w:tr>
          </w:tbl>
          <w:p w14:paraId="3C5F18DC">
            <w:pPr>
              <w:keepNext w:val="0"/>
              <w:keepLines w:val="0"/>
              <w:widowControl/>
              <w:suppressLineNumbers w:val="0"/>
              <w:adjustRightInd w:val="0"/>
              <w:snapToGrid w:val="0"/>
              <w:spacing w:before="0" w:beforeAutospacing="0" w:after="0" w:afterAutospacing="0" w:line="360" w:lineRule="auto"/>
              <w:ind w:left="0" w:right="0" w:firstLine="482" w:firstLineChars="200"/>
              <w:jc w:val="left"/>
              <w:rPr>
                <w:rFonts w:hint="eastAsia"/>
                <w:b/>
                <w:bCs/>
                <w:color w:val="auto"/>
                <w:kern w:val="0"/>
                <w:sz w:val="24"/>
                <w:highlight w:val="none"/>
                <w:lang w:bidi="en-US"/>
              </w:rPr>
            </w:pPr>
          </w:p>
          <w:p w14:paraId="472102B9">
            <w:pPr>
              <w:keepNext w:val="0"/>
              <w:keepLines w:val="0"/>
              <w:widowControl/>
              <w:suppressLineNumbers w:val="0"/>
              <w:adjustRightInd w:val="0"/>
              <w:snapToGrid w:val="0"/>
              <w:spacing w:before="0" w:beforeAutospacing="0" w:after="0" w:afterAutospacing="0" w:line="360" w:lineRule="auto"/>
              <w:ind w:left="0" w:right="0" w:firstLine="482" w:firstLineChars="200"/>
              <w:jc w:val="left"/>
              <w:rPr>
                <w:rFonts w:hint="eastAsia"/>
                <w:b/>
                <w:bCs/>
                <w:color w:val="auto"/>
                <w:kern w:val="0"/>
                <w:sz w:val="24"/>
                <w:highlight w:val="none"/>
                <w:lang w:bidi="en-US"/>
              </w:rPr>
            </w:pPr>
          </w:p>
          <w:p w14:paraId="61DE8DA3">
            <w:pPr>
              <w:keepNext w:val="0"/>
              <w:keepLines w:val="0"/>
              <w:widowControl/>
              <w:suppressLineNumbers w:val="0"/>
              <w:adjustRightInd w:val="0"/>
              <w:snapToGrid w:val="0"/>
              <w:spacing w:before="0" w:beforeAutospacing="0" w:after="0" w:afterAutospacing="0" w:line="360" w:lineRule="auto"/>
              <w:ind w:left="0" w:right="0" w:firstLine="482" w:firstLineChars="200"/>
              <w:jc w:val="left"/>
              <w:rPr>
                <w:rFonts w:hint="eastAsia"/>
                <w:b/>
                <w:bCs/>
                <w:color w:val="auto"/>
                <w:kern w:val="0"/>
                <w:sz w:val="24"/>
                <w:highlight w:val="none"/>
                <w:lang w:bidi="en-US"/>
              </w:rPr>
            </w:pPr>
          </w:p>
          <w:p w14:paraId="646AFBA4">
            <w:pPr>
              <w:keepNext w:val="0"/>
              <w:keepLines w:val="0"/>
              <w:widowControl/>
              <w:suppressLineNumbers w:val="0"/>
              <w:adjustRightInd w:val="0"/>
              <w:snapToGrid w:val="0"/>
              <w:spacing w:before="0" w:beforeAutospacing="0" w:after="0" w:afterAutospacing="0" w:line="360" w:lineRule="auto"/>
              <w:ind w:left="0" w:right="0" w:firstLine="482" w:firstLineChars="200"/>
              <w:jc w:val="left"/>
              <w:rPr>
                <w:rFonts w:hint="eastAsia"/>
                <w:b/>
                <w:bCs/>
                <w:color w:val="auto"/>
                <w:kern w:val="0"/>
                <w:sz w:val="24"/>
                <w:highlight w:val="none"/>
                <w:lang w:bidi="en-US"/>
              </w:rPr>
            </w:pPr>
          </w:p>
          <w:p w14:paraId="2EC0134C">
            <w:pPr>
              <w:pStyle w:val="2"/>
              <w:keepNext w:val="0"/>
              <w:keepLines w:val="0"/>
              <w:suppressLineNumbers w:val="0"/>
              <w:spacing w:before="0" w:beforeAutospacing="0" w:after="0" w:afterAutospacing="0"/>
              <w:ind w:left="0" w:right="0"/>
              <w:rPr>
                <w:rFonts w:hint="eastAsia"/>
                <w:b/>
                <w:bCs/>
                <w:color w:val="auto"/>
                <w:kern w:val="0"/>
                <w:sz w:val="24"/>
                <w:highlight w:val="none"/>
                <w:lang w:bidi="en-US"/>
              </w:rPr>
            </w:pPr>
          </w:p>
          <w:p w14:paraId="513189D5">
            <w:pPr>
              <w:pStyle w:val="2"/>
              <w:keepNext w:val="0"/>
              <w:keepLines w:val="0"/>
              <w:suppressLineNumbers w:val="0"/>
              <w:spacing w:before="0" w:beforeAutospacing="0" w:after="0" w:afterAutospacing="0"/>
              <w:ind w:left="0" w:right="0"/>
              <w:rPr>
                <w:rFonts w:hint="eastAsia"/>
                <w:b/>
                <w:bCs/>
                <w:color w:val="auto"/>
                <w:kern w:val="0"/>
                <w:sz w:val="24"/>
                <w:highlight w:val="none"/>
                <w:lang w:bidi="en-US"/>
              </w:rPr>
            </w:pPr>
          </w:p>
          <w:p w14:paraId="49C05BA7">
            <w:pPr>
              <w:pStyle w:val="2"/>
              <w:keepNext w:val="0"/>
              <w:keepLines w:val="0"/>
              <w:suppressLineNumbers w:val="0"/>
              <w:spacing w:before="0" w:beforeAutospacing="0" w:after="0" w:afterAutospacing="0"/>
              <w:ind w:left="0" w:right="0"/>
              <w:rPr>
                <w:rFonts w:hint="eastAsia"/>
                <w:b/>
                <w:bCs/>
                <w:color w:val="auto"/>
                <w:kern w:val="0"/>
                <w:sz w:val="24"/>
                <w:highlight w:val="none"/>
                <w:lang w:bidi="en-US"/>
              </w:rPr>
            </w:pPr>
          </w:p>
          <w:p w14:paraId="095E0DFB">
            <w:pPr>
              <w:pStyle w:val="2"/>
              <w:keepNext w:val="0"/>
              <w:keepLines w:val="0"/>
              <w:suppressLineNumbers w:val="0"/>
              <w:spacing w:before="0" w:beforeAutospacing="0" w:after="0" w:afterAutospacing="0"/>
              <w:ind w:left="0" w:right="0"/>
              <w:rPr>
                <w:rFonts w:hint="eastAsia"/>
                <w:b/>
                <w:bCs/>
                <w:color w:val="auto"/>
                <w:kern w:val="0"/>
                <w:sz w:val="24"/>
                <w:highlight w:val="none"/>
                <w:lang w:bidi="en-US"/>
              </w:rPr>
            </w:pPr>
          </w:p>
          <w:p w14:paraId="1740099F">
            <w:pPr>
              <w:keepNext w:val="0"/>
              <w:keepLines w:val="0"/>
              <w:widowControl/>
              <w:suppressLineNumbers w:val="0"/>
              <w:adjustRightInd w:val="0"/>
              <w:snapToGrid w:val="0"/>
              <w:spacing w:before="0" w:beforeAutospacing="0" w:after="0" w:afterAutospacing="0" w:line="360" w:lineRule="auto"/>
              <w:ind w:left="0" w:right="0" w:firstLine="482" w:firstLineChars="200"/>
              <w:jc w:val="left"/>
              <w:rPr>
                <w:color w:val="auto"/>
                <w:sz w:val="24"/>
                <w:highlight w:val="none"/>
              </w:rPr>
            </w:pPr>
            <w:r>
              <w:rPr>
                <w:rFonts w:hint="eastAsia"/>
                <w:b/>
                <w:bCs/>
                <w:color w:val="auto"/>
                <w:kern w:val="0"/>
                <w:sz w:val="24"/>
                <w:highlight w:val="none"/>
                <w:lang w:bidi="en-US"/>
              </w:rPr>
              <w:t>3、噪声</w:t>
            </w:r>
          </w:p>
          <w:p w14:paraId="33EAE904">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color w:val="auto"/>
                <w:kern w:val="0"/>
                <w:sz w:val="24"/>
                <w:highlight w:val="none"/>
                <w:lang w:bidi="en-US"/>
              </w:rPr>
            </w:pPr>
            <w:r>
              <w:rPr>
                <w:rFonts w:hint="eastAsia"/>
                <w:color w:val="auto"/>
                <w:kern w:val="0"/>
                <w:sz w:val="24"/>
                <w:highlight w:val="none"/>
                <w:lang w:bidi="en-US"/>
              </w:rPr>
              <w:t>（1）声源源强</w:t>
            </w:r>
          </w:p>
          <w:p w14:paraId="1F023185">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color w:val="auto"/>
                <w:kern w:val="0"/>
                <w:sz w:val="24"/>
                <w:highlight w:val="none"/>
                <w:lang w:bidi="en-US"/>
              </w:rPr>
            </w:pPr>
            <w:r>
              <w:rPr>
                <w:rFonts w:hint="eastAsia"/>
                <w:color w:val="auto"/>
                <w:kern w:val="0"/>
                <w:sz w:val="24"/>
                <w:highlight w:val="none"/>
                <w:lang w:bidi="en-US"/>
              </w:rPr>
              <w:t>本项目噪声主要为各类生产设备产生的噪声，</w:t>
            </w:r>
            <w:r>
              <w:rPr>
                <w:rFonts w:hint="eastAsia"/>
                <w:color w:val="auto"/>
                <w:kern w:val="0"/>
                <w:sz w:val="24"/>
                <w:highlight w:val="none"/>
                <w:lang w:val="en-US" w:eastAsia="zh-CN" w:bidi="en-US"/>
              </w:rPr>
              <w:t>生产</w:t>
            </w:r>
            <w:r>
              <w:rPr>
                <w:rFonts w:hint="eastAsia"/>
                <w:color w:val="auto"/>
                <w:kern w:val="0"/>
                <w:sz w:val="24"/>
                <w:highlight w:val="none"/>
                <w:lang w:bidi="en-US"/>
              </w:rPr>
              <w:t>设备设置在室内</w:t>
            </w:r>
            <w:r>
              <w:rPr>
                <w:rFonts w:hint="eastAsia"/>
                <w:color w:val="auto"/>
                <w:kern w:val="0"/>
                <w:sz w:val="24"/>
                <w:highlight w:val="none"/>
                <w:lang w:eastAsia="zh-CN" w:bidi="en-US"/>
              </w:rPr>
              <w:t>；</w:t>
            </w:r>
            <w:r>
              <w:rPr>
                <w:rFonts w:hint="eastAsia"/>
                <w:color w:val="auto"/>
                <w:kern w:val="0"/>
                <w:sz w:val="24"/>
                <w:highlight w:val="none"/>
                <w:lang w:val="en-US" w:eastAsia="zh-CN" w:bidi="en-US"/>
              </w:rPr>
              <w:t>输送泵</w:t>
            </w:r>
            <w:r>
              <w:rPr>
                <w:rFonts w:hint="eastAsia"/>
                <w:color w:val="auto"/>
                <w:kern w:val="0"/>
                <w:sz w:val="24"/>
                <w:highlight w:val="none"/>
                <w:lang w:bidi="en-US"/>
              </w:rPr>
              <w:t>设置在室外，本项目选用低噪声风机设备，声级值在75dB(A)-80dBA）左右，具体见下表。</w:t>
            </w:r>
          </w:p>
          <w:p w14:paraId="12B0BC5A">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表4-</w:t>
            </w:r>
            <w:r>
              <w:rPr>
                <w:rFonts w:hint="eastAsia" w:ascii="Times New Roman" w:hAnsi="Times New Roman" w:eastAsia="宋体" w:cs="Times New Roman"/>
                <w:color w:val="auto"/>
                <w:sz w:val="24"/>
                <w:highlight w:val="none"/>
                <w:lang w:val="en-US" w:eastAsia="zh-CN"/>
              </w:rPr>
              <w:t>1</w:t>
            </w:r>
            <w:r>
              <w:rPr>
                <w:rFonts w:hint="eastAsia" w:cs="Times New Roman"/>
                <w:color w:val="auto"/>
                <w:sz w:val="24"/>
                <w:highlight w:val="none"/>
                <w:lang w:val="en-US" w:eastAsia="zh-CN"/>
              </w:rPr>
              <w:t>0</w:t>
            </w:r>
            <w:r>
              <w:rPr>
                <w:rFonts w:hint="eastAsia" w:ascii="Times New Roman" w:hAnsi="Times New Roman" w:eastAsia="宋体" w:cs="Times New Roman"/>
                <w:color w:val="auto"/>
                <w:sz w:val="24"/>
                <w:highlight w:val="none"/>
              </w:rPr>
              <w:t xml:space="preserve">  工业企业噪声源强调查清单（室外声源）</w:t>
            </w:r>
          </w:p>
          <w:tbl>
            <w:tblPr>
              <w:tblStyle w:val="27"/>
              <w:tblW w:w="80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56"/>
              <w:gridCol w:w="903"/>
              <w:gridCol w:w="630"/>
              <w:gridCol w:w="585"/>
              <w:gridCol w:w="495"/>
              <w:gridCol w:w="585"/>
              <w:gridCol w:w="570"/>
              <w:gridCol w:w="1200"/>
              <w:gridCol w:w="1620"/>
              <w:gridCol w:w="1012"/>
            </w:tblGrid>
            <w:tr w14:paraId="3A49D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 w:hRule="atLeast"/>
              </w:trPr>
              <w:tc>
                <w:tcPr>
                  <w:tcW w:w="283" w:type="pct"/>
                  <w:vMerge w:val="restart"/>
                  <w:noWrap/>
                  <w:tcMar>
                    <w:top w:w="10" w:type="dxa"/>
                    <w:left w:w="10" w:type="dxa"/>
                    <w:right w:w="10" w:type="dxa"/>
                  </w:tcMar>
                  <w:vAlign w:val="center"/>
                </w:tcPr>
                <w:p w14:paraId="48E3E475">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color w:val="auto"/>
                      <w:kern w:val="0"/>
                      <w:szCs w:val="21"/>
                      <w:highlight w:val="none"/>
                    </w:rPr>
                    <w:t>序号</w:t>
                  </w:r>
                </w:p>
              </w:tc>
              <w:tc>
                <w:tcPr>
                  <w:tcW w:w="560" w:type="pct"/>
                  <w:vMerge w:val="restart"/>
                  <w:noWrap/>
                  <w:tcMar>
                    <w:top w:w="10" w:type="dxa"/>
                    <w:left w:w="10" w:type="dxa"/>
                    <w:right w:w="10" w:type="dxa"/>
                  </w:tcMar>
                  <w:vAlign w:val="center"/>
                </w:tcPr>
                <w:p w14:paraId="47D565BD">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声源</w:t>
                  </w:r>
                  <w:r>
                    <w:rPr>
                      <w:color w:val="auto"/>
                      <w:kern w:val="0"/>
                      <w:szCs w:val="21"/>
                      <w:highlight w:val="none"/>
                    </w:rPr>
                    <w:t>名称</w:t>
                  </w:r>
                </w:p>
              </w:tc>
              <w:tc>
                <w:tcPr>
                  <w:tcW w:w="391" w:type="pct"/>
                  <w:vMerge w:val="restart"/>
                  <w:noWrap/>
                  <w:tcMar>
                    <w:top w:w="10" w:type="dxa"/>
                    <w:left w:w="10" w:type="dxa"/>
                    <w:right w:w="10" w:type="dxa"/>
                  </w:tcMar>
                  <w:vAlign w:val="center"/>
                </w:tcPr>
                <w:p w14:paraId="1F6459FA">
                  <w:pPr>
                    <w:keepNext w:val="0"/>
                    <w:keepLines w:val="0"/>
                    <w:widowControl/>
                    <w:suppressLineNumbers w:val="0"/>
                    <w:spacing w:before="0" w:beforeAutospacing="0" w:after="0" w:afterAutospacing="0"/>
                    <w:ind w:left="0" w:right="0"/>
                    <w:jc w:val="center"/>
                    <w:textAlignment w:val="center"/>
                    <w:rPr>
                      <w:rFonts w:hint="eastAsia" w:eastAsia="宋体"/>
                      <w:color w:val="auto"/>
                      <w:kern w:val="0"/>
                      <w:szCs w:val="21"/>
                      <w:highlight w:val="none"/>
                      <w:lang w:val="en-US" w:eastAsia="zh-CN"/>
                    </w:rPr>
                  </w:pPr>
                  <w:r>
                    <w:rPr>
                      <w:rFonts w:hint="eastAsia"/>
                      <w:color w:val="auto"/>
                      <w:kern w:val="0"/>
                      <w:szCs w:val="21"/>
                      <w:highlight w:val="none"/>
                      <w:lang w:val="en-US" w:eastAsia="zh-CN"/>
                    </w:rPr>
                    <w:t>数量</w:t>
                  </w:r>
                </w:p>
              </w:tc>
              <w:tc>
                <w:tcPr>
                  <w:tcW w:w="363" w:type="pct"/>
                  <w:vMerge w:val="restart"/>
                  <w:noWrap/>
                  <w:tcMar>
                    <w:top w:w="10" w:type="dxa"/>
                    <w:left w:w="10" w:type="dxa"/>
                    <w:right w:w="10" w:type="dxa"/>
                  </w:tcMar>
                  <w:vAlign w:val="center"/>
                </w:tcPr>
                <w:p w14:paraId="20CEA2F2">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型号</w:t>
                  </w:r>
                </w:p>
              </w:tc>
              <w:tc>
                <w:tcPr>
                  <w:tcW w:w="1024" w:type="pct"/>
                  <w:gridSpan w:val="3"/>
                  <w:noWrap/>
                  <w:tcMar>
                    <w:top w:w="10" w:type="dxa"/>
                    <w:left w:w="10" w:type="dxa"/>
                    <w:right w:w="10" w:type="dxa"/>
                  </w:tcMar>
                  <w:vAlign w:val="center"/>
                </w:tcPr>
                <w:p w14:paraId="3CB75EF3">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空间位置</w:t>
                  </w:r>
                </w:p>
              </w:tc>
              <w:tc>
                <w:tcPr>
                  <w:tcW w:w="744" w:type="pct"/>
                  <w:vMerge w:val="restart"/>
                  <w:noWrap/>
                  <w:tcMar>
                    <w:top w:w="10" w:type="dxa"/>
                    <w:left w:w="10" w:type="dxa"/>
                    <w:right w:w="10" w:type="dxa"/>
                  </w:tcMar>
                  <w:vAlign w:val="center"/>
                </w:tcPr>
                <w:p w14:paraId="42F6933A">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声功率级dB(A)</w:t>
                  </w:r>
                </w:p>
              </w:tc>
              <w:tc>
                <w:tcPr>
                  <w:tcW w:w="1005" w:type="pct"/>
                  <w:vMerge w:val="restart"/>
                  <w:vAlign w:val="center"/>
                </w:tcPr>
                <w:p w14:paraId="07FB3B8A">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声源控制措施</w:t>
                  </w:r>
                </w:p>
              </w:tc>
              <w:tc>
                <w:tcPr>
                  <w:tcW w:w="628" w:type="pct"/>
                  <w:vMerge w:val="restart"/>
                  <w:vAlign w:val="center"/>
                </w:tcPr>
                <w:p w14:paraId="1B69877D">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运行时段</w:t>
                  </w:r>
                </w:p>
              </w:tc>
            </w:tr>
            <w:tr w14:paraId="154E2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 w:hRule="atLeast"/>
              </w:trPr>
              <w:tc>
                <w:tcPr>
                  <w:tcW w:w="283" w:type="pct"/>
                  <w:vMerge w:val="continue"/>
                  <w:noWrap/>
                  <w:tcMar>
                    <w:top w:w="10" w:type="dxa"/>
                    <w:left w:w="10" w:type="dxa"/>
                    <w:right w:w="10" w:type="dxa"/>
                  </w:tcMar>
                  <w:vAlign w:val="center"/>
                </w:tcPr>
                <w:p w14:paraId="6ABE5BA7">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560" w:type="pct"/>
                  <w:vMerge w:val="continue"/>
                  <w:noWrap/>
                  <w:tcMar>
                    <w:top w:w="10" w:type="dxa"/>
                    <w:left w:w="10" w:type="dxa"/>
                    <w:right w:w="10" w:type="dxa"/>
                  </w:tcMar>
                  <w:vAlign w:val="center"/>
                </w:tcPr>
                <w:p w14:paraId="1662A32E">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391" w:type="pct"/>
                  <w:vMerge w:val="continue"/>
                  <w:noWrap/>
                  <w:tcMar>
                    <w:top w:w="10" w:type="dxa"/>
                    <w:left w:w="10" w:type="dxa"/>
                    <w:right w:w="10" w:type="dxa"/>
                  </w:tcMar>
                  <w:vAlign w:val="center"/>
                </w:tcPr>
                <w:p w14:paraId="61583154">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363" w:type="pct"/>
                  <w:vMerge w:val="continue"/>
                  <w:noWrap/>
                  <w:tcMar>
                    <w:top w:w="10" w:type="dxa"/>
                    <w:left w:w="10" w:type="dxa"/>
                    <w:right w:w="10" w:type="dxa"/>
                  </w:tcMar>
                  <w:vAlign w:val="center"/>
                </w:tcPr>
                <w:p w14:paraId="3DE89A28">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307" w:type="pct"/>
                  <w:noWrap/>
                  <w:tcMar>
                    <w:top w:w="10" w:type="dxa"/>
                    <w:left w:w="10" w:type="dxa"/>
                    <w:right w:w="10" w:type="dxa"/>
                  </w:tcMar>
                  <w:vAlign w:val="center"/>
                </w:tcPr>
                <w:p w14:paraId="11CD4169">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X</w:t>
                  </w:r>
                </w:p>
              </w:tc>
              <w:tc>
                <w:tcPr>
                  <w:tcW w:w="363" w:type="pct"/>
                  <w:vAlign w:val="center"/>
                </w:tcPr>
                <w:p w14:paraId="5497D033">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Y</w:t>
                  </w:r>
                </w:p>
              </w:tc>
              <w:tc>
                <w:tcPr>
                  <w:tcW w:w="353" w:type="pct"/>
                  <w:vAlign w:val="center"/>
                </w:tcPr>
                <w:p w14:paraId="293AA576">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Z</w:t>
                  </w:r>
                </w:p>
              </w:tc>
              <w:tc>
                <w:tcPr>
                  <w:tcW w:w="744" w:type="pct"/>
                  <w:vMerge w:val="continue"/>
                  <w:noWrap/>
                  <w:tcMar>
                    <w:top w:w="10" w:type="dxa"/>
                    <w:left w:w="10" w:type="dxa"/>
                    <w:right w:w="10" w:type="dxa"/>
                  </w:tcMar>
                  <w:vAlign w:val="center"/>
                </w:tcPr>
                <w:p w14:paraId="4110893F">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1005" w:type="pct"/>
                  <w:vMerge w:val="continue"/>
                  <w:vAlign w:val="center"/>
                </w:tcPr>
                <w:p w14:paraId="1567F520">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c>
                <w:tcPr>
                  <w:tcW w:w="628" w:type="pct"/>
                  <w:vMerge w:val="continue"/>
                  <w:vAlign w:val="center"/>
                </w:tcPr>
                <w:p w14:paraId="109BDB2D">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p>
              </w:tc>
            </w:tr>
            <w:tr w14:paraId="025E5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0" w:hRule="atLeast"/>
              </w:trPr>
              <w:tc>
                <w:tcPr>
                  <w:tcW w:w="283" w:type="pct"/>
                  <w:noWrap/>
                  <w:tcMar>
                    <w:top w:w="10" w:type="dxa"/>
                    <w:left w:w="10" w:type="dxa"/>
                    <w:right w:w="10" w:type="dxa"/>
                  </w:tcMar>
                  <w:vAlign w:val="center"/>
                </w:tcPr>
                <w:p w14:paraId="6F07AF33">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color w:val="auto"/>
                      <w:kern w:val="0"/>
                      <w:szCs w:val="21"/>
                      <w:highlight w:val="none"/>
                    </w:rPr>
                    <w:t>1</w:t>
                  </w:r>
                </w:p>
              </w:tc>
              <w:tc>
                <w:tcPr>
                  <w:tcW w:w="560" w:type="pct"/>
                  <w:shd w:val="clear" w:color="auto" w:fill="auto"/>
                  <w:noWrap/>
                  <w:tcMar>
                    <w:top w:w="10" w:type="dxa"/>
                    <w:left w:w="10" w:type="dxa"/>
                    <w:right w:w="10" w:type="dxa"/>
                  </w:tcMar>
                  <w:vAlign w:val="center"/>
                </w:tcPr>
                <w:p w14:paraId="08EB73EA">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输送泵</w:t>
                  </w:r>
                </w:p>
              </w:tc>
              <w:tc>
                <w:tcPr>
                  <w:tcW w:w="391" w:type="pct"/>
                  <w:shd w:val="clear" w:color="auto" w:fill="auto"/>
                  <w:noWrap/>
                  <w:tcMar>
                    <w:top w:w="10" w:type="dxa"/>
                    <w:left w:w="10" w:type="dxa"/>
                    <w:right w:w="10" w:type="dxa"/>
                  </w:tcMar>
                  <w:vAlign w:val="center"/>
                </w:tcPr>
                <w:p w14:paraId="4548E301">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2</w:t>
                  </w:r>
                </w:p>
              </w:tc>
              <w:tc>
                <w:tcPr>
                  <w:tcW w:w="363" w:type="pct"/>
                  <w:shd w:val="clear" w:color="auto" w:fill="auto"/>
                  <w:noWrap/>
                  <w:tcMar>
                    <w:top w:w="10" w:type="dxa"/>
                    <w:left w:w="10" w:type="dxa"/>
                    <w:right w:w="10" w:type="dxa"/>
                  </w:tcMar>
                  <w:vAlign w:val="center"/>
                </w:tcPr>
                <w:p w14:paraId="18C9D285">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w:t>
                  </w:r>
                </w:p>
              </w:tc>
              <w:tc>
                <w:tcPr>
                  <w:tcW w:w="307" w:type="pct"/>
                  <w:shd w:val="clear" w:color="auto" w:fill="auto"/>
                  <w:noWrap/>
                  <w:tcMar>
                    <w:top w:w="10" w:type="dxa"/>
                    <w:left w:w="10" w:type="dxa"/>
                    <w:right w:w="10" w:type="dxa"/>
                  </w:tcMar>
                  <w:vAlign w:val="center"/>
                </w:tcPr>
                <w:p w14:paraId="16E1E1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92</w:t>
                  </w:r>
                </w:p>
              </w:tc>
              <w:tc>
                <w:tcPr>
                  <w:tcW w:w="363" w:type="pct"/>
                  <w:shd w:val="clear" w:color="auto" w:fill="auto"/>
                  <w:vAlign w:val="center"/>
                </w:tcPr>
                <w:p w14:paraId="270FB4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30</w:t>
                  </w:r>
                </w:p>
              </w:tc>
              <w:tc>
                <w:tcPr>
                  <w:tcW w:w="353" w:type="pct"/>
                  <w:shd w:val="clear" w:color="auto" w:fill="auto"/>
                  <w:vAlign w:val="center"/>
                </w:tcPr>
                <w:p w14:paraId="509606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1.2</w:t>
                  </w:r>
                </w:p>
              </w:tc>
              <w:tc>
                <w:tcPr>
                  <w:tcW w:w="744" w:type="pct"/>
                  <w:shd w:val="clear" w:color="auto" w:fill="auto"/>
                  <w:noWrap/>
                  <w:tcMar>
                    <w:top w:w="10" w:type="dxa"/>
                    <w:left w:w="10" w:type="dxa"/>
                    <w:right w:w="10" w:type="dxa"/>
                  </w:tcMar>
                  <w:vAlign w:val="center"/>
                </w:tcPr>
                <w:p w14:paraId="322BF9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Cs w:val="21"/>
                      <w:highlight w:val="none"/>
                      <w:lang w:val="en-US" w:eastAsia="zh-CN"/>
                    </w:rPr>
                    <w:t>88</w:t>
                  </w:r>
                </w:p>
              </w:tc>
              <w:tc>
                <w:tcPr>
                  <w:tcW w:w="1005" w:type="pct"/>
                  <w:vAlign w:val="center"/>
                </w:tcPr>
                <w:p w14:paraId="217115CE">
                  <w:pPr>
                    <w:keepNext w:val="0"/>
                    <w:keepLines w:val="0"/>
                    <w:widowControl/>
                    <w:suppressLineNumbers w:val="0"/>
                    <w:spacing w:before="0" w:beforeAutospacing="0" w:after="0" w:afterAutospacing="0"/>
                    <w:ind w:left="0" w:right="0"/>
                    <w:jc w:val="center"/>
                    <w:textAlignment w:val="center"/>
                    <w:rPr>
                      <w:rFonts w:hint="default" w:eastAsia="宋体"/>
                      <w:color w:val="auto"/>
                      <w:kern w:val="0"/>
                      <w:szCs w:val="21"/>
                      <w:highlight w:val="none"/>
                      <w:lang w:val="en-US" w:eastAsia="zh-CN"/>
                    </w:rPr>
                  </w:pPr>
                  <w:r>
                    <w:rPr>
                      <w:rFonts w:hint="eastAsia"/>
                      <w:color w:val="auto"/>
                      <w:kern w:val="0"/>
                      <w:szCs w:val="21"/>
                      <w:highlight w:val="none"/>
                    </w:rPr>
                    <w:t>基础减震</w:t>
                  </w:r>
                  <w:r>
                    <w:rPr>
                      <w:rFonts w:hint="eastAsia"/>
                      <w:color w:val="auto"/>
                      <w:kern w:val="0"/>
                      <w:szCs w:val="21"/>
                      <w:highlight w:val="none"/>
                      <w:lang w:eastAsia="zh-CN"/>
                    </w:rPr>
                    <w:t>、</w:t>
                  </w:r>
                  <w:r>
                    <w:rPr>
                      <w:rFonts w:hint="eastAsia"/>
                      <w:color w:val="auto"/>
                      <w:kern w:val="0"/>
                      <w:szCs w:val="21"/>
                      <w:highlight w:val="none"/>
                      <w:lang w:val="en-US" w:eastAsia="zh-CN"/>
                    </w:rPr>
                    <w:t>隔声罩</w:t>
                  </w:r>
                </w:p>
              </w:tc>
              <w:tc>
                <w:tcPr>
                  <w:tcW w:w="628" w:type="pct"/>
                  <w:vAlign w:val="center"/>
                </w:tcPr>
                <w:p w14:paraId="2853DE4C">
                  <w:pPr>
                    <w:keepNext w:val="0"/>
                    <w:keepLines w:val="0"/>
                    <w:widowControl/>
                    <w:suppressLineNumbers w:val="0"/>
                    <w:spacing w:before="0" w:beforeAutospacing="0" w:after="0" w:afterAutospacing="0"/>
                    <w:ind w:left="0" w:right="0"/>
                    <w:jc w:val="center"/>
                    <w:textAlignment w:val="center"/>
                    <w:rPr>
                      <w:color w:val="auto"/>
                      <w:kern w:val="0"/>
                      <w:szCs w:val="21"/>
                      <w:highlight w:val="none"/>
                    </w:rPr>
                  </w:pPr>
                  <w:r>
                    <w:rPr>
                      <w:rFonts w:hint="eastAsia"/>
                      <w:color w:val="auto"/>
                      <w:kern w:val="0"/>
                      <w:szCs w:val="21"/>
                      <w:highlight w:val="none"/>
                    </w:rPr>
                    <w:t>昼间</w:t>
                  </w:r>
                </w:p>
              </w:tc>
            </w:tr>
          </w:tbl>
          <w:p w14:paraId="7D60653C">
            <w:pPr>
              <w:keepNext w:val="0"/>
              <w:keepLines w:val="0"/>
              <w:widowControl/>
              <w:suppressLineNumbers w:val="0"/>
              <w:adjustRightInd w:val="0"/>
              <w:snapToGrid w:val="0"/>
              <w:spacing w:before="0" w:beforeAutospacing="0" w:after="0" w:afterAutospacing="0" w:line="360" w:lineRule="auto"/>
              <w:ind w:left="0" w:right="0"/>
              <w:jc w:val="left"/>
              <w:rPr>
                <w:b/>
                <w:color w:val="auto"/>
                <w:kern w:val="0"/>
                <w:szCs w:val="21"/>
                <w:highlight w:val="none"/>
                <w:lang w:bidi="en-US"/>
              </w:rPr>
            </w:pPr>
            <w:r>
              <w:rPr>
                <w:rFonts w:hint="eastAsia"/>
                <w:b/>
                <w:color w:val="auto"/>
                <w:kern w:val="0"/>
                <w:szCs w:val="21"/>
                <w:highlight w:val="none"/>
                <w:lang w:bidi="en-US"/>
              </w:rPr>
              <w:t>注：项目所在地西北角为坐标原点。</w:t>
            </w:r>
          </w:p>
          <w:p w14:paraId="214B7443">
            <w:pPr>
              <w:keepNext w:val="0"/>
              <w:keepLines w:val="0"/>
              <w:widowControl/>
              <w:suppressLineNumbers w:val="0"/>
              <w:adjustRightInd w:val="0"/>
              <w:snapToGrid w:val="0"/>
              <w:spacing w:before="0" w:beforeAutospacing="0" w:after="0" w:afterAutospacing="0" w:line="360" w:lineRule="auto"/>
              <w:ind w:left="0" w:right="0"/>
              <w:jc w:val="left"/>
              <w:rPr>
                <w:color w:val="auto"/>
                <w:highlight w:val="none"/>
              </w:rPr>
            </w:pPr>
          </w:p>
          <w:p w14:paraId="7ED43D20">
            <w:pPr>
              <w:pStyle w:val="2"/>
              <w:keepNext w:val="0"/>
              <w:keepLines w:val="0"/>
              <w:suppressLineNumbers w:val="0"/>
              <w:spacing w:before="0" w:beforeAutospacing="0" w:after="0" w:afterAutospacing="0"/>
              <w:ind w:left="0" w:right="0"/>
              <w:rPr>
                <w:color w:val="auto"/>
                <w:highlight w:val="none"/>
              </w:rPr>
            </w:pPr>
          </w:p>
          <w:p w14:paraId="58E47F5E">
            <w:pPr>
              <w:pStyle w:val="2"/>
              <w:keepNext w:val="0"/>
              <w:keepLines w:val="0"/>
              <w:suppressLineNumbers w:val="0"/>
              <w:spacing w:before="0" w:beforeAutospacing="0" w:after="0" w:afterAutospacing="0"/>
              <w:ind w:left="0" w:right="0"/>
              <w:rPr>
                <w:color w:val="auto"/>
                <w:highlight w:val="none"/>
              </w:rPr>
            </w:pPr>
          </w:p>
          <w:p w14:paraId="7538E995">
            <w:pPr>
              <w:pStyle w:val="2"/>
              <w:keepNext w:val="0"/>
              <w:keepLines w:val="0"/>
              <w:suppressLineNumbers w:val="0"/>
              <w:spacing w:before="0" w:beforeAutospacing="0" w:after="0" w:afterAutospacing="0"/>
              <w:ind w:left="0" w:right="0"/>
              <w:rPr>
                <w:color w:val="auto"/>
                <w:highlight w:val="none"/>
              </w:rPr>
            </w:pPr>
          </w:p>
          <w:p w14:paraId="7AC652E6">
            <w:pPr>
              <w:pStyle w:val="2"/>
              <w:keepNext w:val="0"/>
              <w:keepLines w:val="0"/>
              <w:suppressLineNumbers w:val="0"/>
              <w:spacing w:before="0" w:beforeAutospacing="0" w:after="0" w:afterAutospacing="0"/>
              <w:ind w:left="0" w:right="0"/>
              <w:rPr>
                <w:color w:val="auto"/>
                <w:highlight w:val="none"/>
              </w:rPr>
            </w:pPr>
          </w:p>
          <w:p w14:paraId="668CDDAE">
            <w:pPr>
              <w:pStyle w:val="2"/>
              <w:keepNext w:val="0"/>
              <w:keepLines w:val="0"/>
              <w:suppressLineNumbers w:val="0"/>
              <w:spacing w:before="0" w:beforeAutospacing="0" w:after="0" w:afterAutospacing="0"/>
              <w:ind w:left="0" w:right="0"/>
              <w:rPr>
                <w:color w:val="auto"/>
                <w:highlight w:val="none"/>
              </w:rPr>
            </w:pPr>
          </w:p>
          <w:p w14:paraId="32F215B3">
            <w:pPr>
              <w:pStyle w:val="2"/>
              <w:keepNext w:val="0"/>
              <w:keepLines w:val="0"/>
              <w:suppressLineNumbers w:val="0"/>
              <w:spacing w:before="0" w:beforeAutospacing="0" w:after="0" w:afterAutospacing="0"/>
              <w:ind w:left="0" w:right="0"/>
              <w:rPr>
                <w:color w:val="auto"/>
                <w:highlight w:val="none"/>
              </w:rPr>
            </w:pPr>
          </w:p>
          <w:p w14:paraId="60BE6231">
            <w:pPr>
              <w:pStyle w:val="2"/>
              <w:keepNext w:val="0"/>
              <w:keepLines w:val="0"/>
              <w:suppressLineNumbers w:val="0"/>
              <w:spacing w:before="0" w:beforeAutospacing="0" w:after="0" w:afterAutospacing="0"/>
              <w:ind w:left="0" w:right="0"/>
              <w:rPr>
                <w:color w:val="auto"/>
                <w:highlight w:val="none"/>
              </w:rPr>
            </w:pPr>
          </w:p>
          <w:p w14:paraId="377C1C8F">
            <w:pPr>
              <w:pStyle w:val="2"/>
              <w:keepNext w:val="0"/>
              <w:keepLines w:val="0"/>
              <w:suppressLineNumbers w:val="0"/>
              <w:spacing w:before="0" w:beforeAutospacing="0" w:after="0" w:afterAutospacing="0"/>
              <w:ind w:left="0" w:right="0"/>
              <w:rPr>
                <w:color w:val="auto"/>
                <w:highlight w:val="none"/>
              </w:rPr>
            </w:pPr>
          </w:p>
          <w:p w14:paraId="5E14C961">
            <w:pPr>
              <w:pStyle w:val="2"/>
              <w:keepNext w:val="0"/>
              <w:keepLines w:val="0"/>
              <w:suppressLineNumbers w:val="0"/>
              <w:spacing w:before="0" w:beforeAutospacing="0" w:after="0" w:afterAutospacing="0"/>
              <w:ind w:left="0" w:right="0"/>
              <w:rPr>
                <w:color w:val="auto"/>
                <w:highlight w:val="none"/>
              </w:rPr>
            </w:pPr>
          </w:p>
          <w:p w14:paraId="32FA8FB9">
            <w:pPr>
              <w:pStyle w:val="2"/>
              <w:keepNext w:val="0"/>
              <w:keepLines w:val="0"/>
              <w:suppressLineNumbers w:val="0"/>
              <w:spacing w:before="0" w:beforeAutospacing="0" w:after="0" w:afterAutospacing="0"/>
              <w:ind w:left="0" w:right="0"/>
              <w:rPr>
                <w:color w:val="auto"/>
                <w:highlight w:val="none"/>
              </w:rPr>
            </w:pPr>
          </w:p>
          <w:p w14:paraId="444EED03">
            <w:pPr>
              <w:pStyle w:val="2"/>
              <w:keepNext w:val="0"/>
              <w:keepLines w:val="0"/>
              <w:suppressLineNumbers w:val="0"/>
              <w:spacing w:before="0" w:beforeAutospacing="0" w:after="0" w:afterAutospacing="0"/>
              <w:ind w:left="0" w:right="0"/>
              <w:rPr>
                <w:color w:val="auto"/>
                <w:highlight w:val="none"/>
              </w:rPr>
            </w:pPr>
          </w:p>
          <w:p w14:paraId="00DCA437">
            <w:pPr>
              <w:pStyle w:val="2"/>
              <w:keepNext w:val="0"/>
              <w:keepLines w:val="0"/>
              <w:suppressLineNumbers w:val="0"/>
              <w:spacing w:before="0" w:beforeAutospacing="0" w:after="0" w:afterAutospacing="0"/>
              <w:ind w:left="0" w:right="0"/>
              <w:rPr>
                <w:color w:val="auto"/>
                <w:highlight w:val="none"/>
              </w:rPr>
            </w:pPr>
          </w:p>
          <w:p w14:paraId="423B3EF8">
            <w:pPr>
              <w:pStyle w:val="2"/>
              <w:keepNext w:val="0"/>
              <w:keepLines w:val="0"/>
              <w:suppressLineNumbers w:val="0"/>
              <w:spacing w:before="0" w:beforeAutospacing="0" w:after="0" w:afterAutospacing="0"/>
              <w:ind w:left="0" w:right="0"/>
              <w:rPr>
                <w:color w:val="auto"/>
                <w:highlight w:val="none"/>
              </w:rPr>
            </w:pPr>
          </w:p>
          <w:p w14:paraId="26D78B69">
            <w:pPr>
              <w:pStyle w:val="2"/>
              <w:keepNext w:val="0"/>
              <w:keepLines w:val="0"/>
              <w:suppressLineNumbers w:val="0"/>
              <w:spacing w:before="0" w:beforeAutospacing="0" w:after="0" w:afterAutospacing="0"/>
              <w:ind w:left="0" w:right="0"/>
              <w:rPr>
                <w:color w:val="auto"/>
                <w:highlight w:val="none"/>
              </w:rPr>
            </w:pPr>
          </w:p>
          <w:p w14:paraId="09FCC08E">
            <w:pPr>
              <w:pStyle w:val="2"/>
              <w:keepNext w:val="0"/>
              <w:keepLines w:val="0"/>
              <w:suppressLineNumbers w:val="0"/>
              <w:spacing w:before="0" w:beforeAutospacing="0" w:after="0" w:afterAutospacing="0"/>
              <w:ind w:left="0" w:right="0"/>
              <w:rPr>
                <w:color w:val="auto"/>
                <w:highlight w:val="none"/>
              </w:rPr>
            </w:pPr>
          </w:p>
          <w:p w14:paraId="6FFE9461">
            <w:pPr>
              <w:pStyle w:val="2"/>
              <w:keepNext w:val="0"/>
              <w:keepLines w:val="0"/>
              <w:suppressLineNumbers w:val="0"/>
              <w:spacing w:before="0" w:beforeAutospacing="0" w:after="0" w:afterAutospacing="0"/>
              <w:ind w:left="0" w:right="0"/>
              <w:rPr>
                <w:color w:val="auto"/>
                <w:highlight w:val="none"/>
              </w:rPr>
            </w:pPr>
          </w:p>
          <w:p w14:paraId="2D654C93">
            <w:pPr>
              <w:pStyle w:val="2"/>
              <w:keepNext w:val="0"/>
              <w:keepLines w:val="0"/>
              <w:suppressLineNumbers w:val="0"/>
              <w:spacing w:before="0" w:beforeAutospacing="0" w:after="0" w:afterAutospacing="0"/>
              <w:ind w:left="0" w:right="0"/>
              <w:rPr>
                <w:color w:val="auto"/>
                <w:highlight w:val="none"/>
              </w:rPr>
            </w:pPr>
          </w:p>
          <w:p w14:paraId="6AFB657E">
            <w:pPr>
              <w:pStyle w:val="2"/>
              <w:keepNext w:val="0"/>
              <w:keepLines w:val="0"/>
              <w:suppressLineNumbers w:val="0"/>
              <w:spacing w:before="0" w:beforeAutospacing="0" w:after="0" w:afterAutospacing="0"/>
              <w:ind w:left="0" w:right="0"/>
              <w:rPr>
                <w:color w:val="auto"/>
                <w:highlight w:val="none"/>
              </w:rPr>
            </w:pPr>
          </w:p>
          <w:p w14:paraId="5E75CEFD">
            <w:pPr>
              <w:pStyle w:val="2"/>
              <w:keepNext w:val="0"/>
              <w:keepLines w:val="0"/>
              <w:suppressLineNumbers w:val="0"/>
              <w:spacing w:before="0" w:beforeAutospacing="0" w:after="0" w:afterAutospacing="0"/>
              <w:ind w:left="0" w:right="0"/>
              <w:rPr>
                <w:color w:val="auto"/>
                <w:highlight w:val="none"/>
              </w:rPr>
            </w:pPr>
          </w:p>
          <w:p w14:paraId="02676F90">
            <w:pPr>
              <w:pStyle w:val="2"/>
              <w:keepNext w:val="0"/>
              <w:keepLines w:val="0"/>
              <w:suppressLineNumbers w:val="0"/>
              <w:spacing w:before="0" w:beforeAutospacing="0" w:after="0" w:afterAutospacing="0"/>
              <w:ind w:left="0" w:right="0"/>
              <w:rPr>
                <w:color w:val="auto"/>
                <w:highlight w:val="none"/>
              </w:rPr>
            </w:pPr>
          </w:p>
          <w:p w14:paraId="48D27293">
            <w:pPr>
              <w:pStyle w:val="2"/>
              <w:keepNext w:val="0"/>
              <w:keepLines w:val="0"/>
              <w:suppressLineNumbers w:val="0"/>
              <w:spacing w:before="0" w:beforeAutospacing="0" w:after="0" w:afterAutospacing="0"/>
              <w:ind w:left="0" w:right="0"/>
              <w:rPr>
                <w:color w:val="auto"/>
                <w:highlight w:val="none"/>
              </w:rPr>
            </w:pPr>
          </w:p>
          <w:p w14:paraId="72BB217E">
            <w:pPr>
              <w:pStyle w:val="2"/>
              <w:keepNext w:val="0"/>
              <w:keepLines w:val="0"/>
              <w:suppressLineNumbers w:val="0"/>
              <w:spacing w:before="0" w:beforeAutospacing="0" w:after="0" w:afterAutospacing="0"/>
              <w:ind w:left="0" w:right="0"/>
              <w:rPr>
                <w:color w:val="auto"/>
                <w:highlight w:val="none"/>
              </w:rPr>
            </w:pPr>
          </w:p>
          <w:p w14:paraId="3F87964F">
            <w:pPr>
              <w:pStyle w:val="2"/>
              <w:keepNext w:val="0"/>
              <w:keepLines w:val="0"/>
              <w:suppressLineNumbers w:val="0"/>
              <w:spacing w:before="0" w:beforeAutospacing="0" w:after="0" w:afterAutospacing="0"/>
              <w:ind w:left="0" w:right="0"/>
              <w:rPr>
                <w:color w:val="auto"/>
                <w:highlight w:val="none"/>
              </w:rPr>
            </w:pPr>
          </w:p>
          <w:p w14:paraId="1751D122">
            <w:pPr>
              <w:pStyle w:val="2"/>
              <w:keepNext w:val="0"/>
              <w:keepLines w:val="0"/>
              <w:suppressLineNumbers w:val="0"/>
              <w:spacing w:before="0" w:beforeAutospacing="0" w:after="0" w:afterAutospacing="0"/>
              <w:ind w:left="0" w:right="0"/>
              <w:rPr>
                <w:color w:val="auto"/>
                <w:highlight w:val="none"/>
              </w:rPr>
            </w:pPr>
          </w:p>
          <w:p w14:paraId="0BD1250D">
            <w:pPr>
              <w:pStyle w:val="2"/>
              <w:keepNext w:val="0"/>
              <w:keepLines w:val="0"/>
              <w:suppressLineNumbers w:val="0"/>
              <w:spacing w:before="0" w:beforeAutospacing="0" w:after="0" w:afterAutospacing="0"/>
              <w:ind w:left="0" w:right="0"/>
              <w:rPr>
                <w:color w:val="auto"/>
                <w:highlight w:val="none"/>
              </w:rPr>
            </w:pPr>
          </w:p>
          <w:p w14:paraId="3AB55CC2">
            <w:pPr>
              <w:pStyle w:val="2"/>
              <w:keepNext w:val="0"/>
              <w:keepLines w:val="0"/>
              <w:suppressLineNumbers w:val="0"/>
              <w:spacing w:before="0" w:beforeAutospacing="0" w:after="0" w:afterAutospacing="0"/>
              <w:ind w:left="0" w:right="0"/>
              <w:rPr>
                <w:color w:val="auto"/>
                <w:highlight w:val="none"/>
              </w:rPr>
            </w:pPr>
          </w:p>
          <w:p w14:paraId="1E6319F7">
            <w:pPr>
              <w:pStyle w:val="2"/>
              <w:keepNext w:val="0"/>
              <w:keepLines w:val="0"/>
              <w:suppressLineNumbers w:val="0"/>
              <w:spacing w:before="0" w:beforeAutospacing="0" w:after="0" w:afterAutospacing="0"/>
              <w:ind w:left="0" w:right="0"/>
              <w:rPr>
                <w:color w:val="auto"/>
                <w:highlight w:val="none"/>
              </w:rPr>
            </w:pPr>
          </w:p>
          <w:p w14:paraId="69C9DEE3">
            <w:pPr>
              <w:pStyle w:val="2"/>
              <w:keepNext w:val="0"/>
              <w:keepLines w:val="0"/>
              <w:suppressLineNumbers w:val="0"/>
              <w:spacing w:before="0" w:beforeAutospacing="0" w:after="0" w:afterAutospacing="0"/>
              <w:ind w:left="0" w:right="0"/>
              <w:rPr>
                <w:color w:val="auto"/>
                <w:highlight w:val="none"/>
              </w:rPr>
            </w:pPr>
          </w:p>
          <w:p w14:paraId="64E993EF">
            <w:pPr>
              <w:pStyle w:val="2"/>
              <w:keepNext w:val="0"/>
              <w:keepLines w:val="0"/>
              <w:suppressLineNumbers w:val="0"/>
              <w:spacing w:before="0" w:beforeAutospacing="0" w:after="0" w:afterAutospacing="0"/>
              <w:ind w:left="0" w:right="0"/>
              <w:rPr>
                <w:color w:val="auto"/>
                <w:highlight w:val="none"/>
              </w:rPr>
            </w:pPr>
          </w:p>
          <w:p w14:paraId="4178CC50">
            <w:pPr>
              <w:pStyle w:val="2"/>
              <w:keepNext w:val="0"/>
              <w:keepLines w:val="0"/>
              <w:suppressLineNumbers w:val="0"/>
              <w:spacing w:before="0" w:beforeAutospacing="0" w:after="0" w:afterAutospacing="0"/>
              <w:ind w:left="0" w:right="0"/>
              <w:rPr>
                <w:color w:val="auto"/>
                <w:highlight w:val="none"/>
              </w:rPr>
            </w:pPr>
          </w:p>
          <w:p w14:paraId="0278248A">
            <w:pPr>
              <w:pStyle w:val="2"/>
              <w:keepNext w:val="0"/>
              <w:keepLines w:val="0"/>
              <w:suppressLineNumbers w:val="0"/>
              <w:spacing w:before="0" w:beforeAutospacing="0" w:after="0" w:afterAutospacing="0"/>
              <w:ind w:left="0" w:right="0"/>
              <w:rPr>
                <w:color w:val="auto"/>
                <w:highlight w:val="none"/>
              </w:rPr>
            </w:pPr>
          </w:p>
          <w:p w14:paraId="5DA2909F">
            <w:pPr>
              <w:pStyle w:val="2"/>
              <w:keepNext w:val="0"/>
              <w:keepLines w:val="0"/>
              <w:suppressLineNumbers w:val="0"/>
              <w:spacing w:before="0" w:beforeAutospacing="0" w:after="0" w:afterAutospacing="0"/>
              <w:ind w:left="0" w:right="0"/>
              <w:rPr>
                <w:color w:val="auto"/>
                <w:highlight w:val="none"/>
              </w:rPr>
            </w:pPr>
          </w:p>
          <w:p w14:paraId="25F9BCBF">
            <w:pPr>
              <w:pStyle w:val="2"/>
              <w:keepNext w:val="0"/>
              <w:keepLines w:val="0"/>
              <w:suppressLineNumbers w:val="0"/>
              <w:spacing w:before="0" w:beforeAutospacing="0" w:after="0" w:afterAutospacing="0"/>
              <w:ind w:left="0" w:right="0"/>
              <w:rPr>
                <w:color w:val="auto"/>
                <w:highlight w:val="none"/>
              </w:rPr>
            </w:pPr>
          </w:p>
          <w:p w14:paraId="33C8CF1E">
            <w:pPr>
              <w:pStyle w:val="2"/>
              <w:keepNext w:val="0"/>
              <w:keepLines w:val="0"/>
              <w:suppressLineNumbers w:val="0"/>
              <w:spacing w:before="0" w:beforeAutospacing="0" w:after="0" w:afterAutospacing="0"/>
              <w:ind w:left="0" w:right="0"/>
              <w:rPr>
                <w:color w:val="auto"/>
                <w:highlight w:val="none"/>
              </w:rPr>
            </w:pPr>
          </w:p>
        </w:tc>
      </w:tr>
    </w:tbl>
    <w:p w14:paraId="509B257A">
      <w:pPr>
        <w:adjustRightInd w:val="0"/>
        <w:snapToGrid w:val="0"/>
        <w:spacing w:line="360" w:lineRule="auto"/>
        <w:rPr>
          <w:b/>
          <w:color w:val="auto"/>
          <w:kern w:val="0"/>
          <w:sz w:val="28"/>
          <w:szCs w:val="28"/>
          <w:highlight w:val="none"/>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23"/>
      </w:tblGrid>
      <w:tr w14:paraId="6C78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5" w:hRule="atLeast"/>
        </w:trPr>
        <w:tc>
          <w:tcPr>
            <w:tcW w:w="15423" w:type="dxa"/>
          </w:tcPr>
          <w:p w14:paraId="629163BA">
            <w:pPr>
              <w:keepNext w:val="0"/>
              <w:keepLines w:val="0"/>
              <w:pageBreakBefore w:val="0"/>
              <w:widowControl w:val="0"/>
              <w:suppressLineNumbers w:val="0"/>
              <w:tabs>
                <w:tab w:val="left" w:pos="300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表4-</w:t>
            </w:r>
            <w:r>
              <w:rPr>
                <w:rFonts w:hint="eastAsia" w:ascii="Times New Roman" w:hAnsi="Times New Roman" w:eastAsia="宋体" w:cs="Times New Roman"/>
                <w:color w:val="auto"/>
                <w:sz w:val="24"/>
                <w:highlight w:val="none"/>
                <w:lang w:val="en-US" w:eastAsia="zh-CN"/>
              </w:rPr>
              <w:t>1</w:t>
            </w:r>
            <w:r>
              <w:rPr>
                <w:rFonts w:hint="eastAsia" w:cs="Times New Roman"/>
                <w:color w:val="auto"/>
                <w:sz w:val="24"/>
                <w:highlight w:val="none"/>
                <w:lang w:val="en-US" w:eastAsia="zh-CN"/>
              </w:rPr>
              <w:t>1</w:t>
            </w:r>
            <w:r>
              <w:rPr>
                <w:rFonts w:hint="eastAsia" w:ascii="Times New Roman" w:hAnsi="Times New Roman" w:eastAsia="宋体" w:cs="Times New Roman"/>
                <w:color w:val="auto"/>
                <w:sz w:val="24"/>
                <w:highlight w:val="none"/>
              </w:rPr>
              <w:t xml:space="preserve">  工业企业噪声源强调查清单（室内声源）</w:t>
            </w:r>
          </w:p>
          <w:tbl>
            <w:tblPr>
              <w:tblStyle w:val="27"/>
              <w:tblW w:w="49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11"/>
              <w:gridCol w:w="747"/>
              <w:gridCol w:w="1360"/>
              <w:gridCol w:w="847"/>
              <w:gridCol w:w="756"/>
              <w:gridCol w:w="708"/>
              <w:gridCol w:w="1060"/>
              <w:gridCol w:w="698"/>
              <w:gridCol w:w="823"/>
              <w:gridCol w:w="847"/>
              <w:gridCol w:w="908"/>
              <w:gridCol w:w="723"/>
              <w:gridCol w:w="765"/>
              <w:gridCol w:w="884"/>
              <w:gridCol w:w="759"/>
              <w:gridCol w:w="881"/>
              <w:gridCol w:w="914"/>
              <w:gridCol w:w="683"/>
            </w:tblGrid>
            <w:tr w14:paraId="2945B8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267" w:type="pct"/>
                  <w:vMerge w:val="restart"/>
                  <w:tcMar>
                    <w:left w:w="0" w:type="dxa"/>
                    <w:right w:w="0" w:type="dxa"/>
                  </w:tcMar>
                  <w:vAlign w:val="center"/>
                </w:tcPr>
                <w:p w14:paraId="4646EA9A">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建筑物名称</w:t>
                  </w:r>
                </w:p>
              </w:tc>
              <w:tc>
                <w:tcPr>
                  <w:tcW w:w="246" w:type="pct"/>
                  <w:vMerge w:val="restart"/>
                  <w:tcMar>
                    <w:left w:w="0" w:type="dxa"/>
                    <w:right w:w="0" w:type="dxa"/>
                  </w:tcMar>
                  <w:vAlign w:val="center"/>
                </w:tcPr>
                <w:p w14:paraId="5C11807E">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序号</w:t>
                  </w:r>
                </w:p>
              </w:tc>
              <w:tc>
                <w:tcPr>
                  <w:tcW w:w="448" w:type="pct"/>
                  <w:vMerge w:val="restart"/>
                  <w:tcMar>
                    <w:left w:w="0" w:type="dxa"/>
                    <w:right w:w="0" w:type="dxa"/>
                  </w:tcMar>
                  <w:vAlign w:val="center"/>
                </w:tcPr>
                <w:p w14:paraId="1563BF4F">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声源名称</w:t>
                  </w:r>
                </w:p>
              </w:tc>
              <w:tc>
                <w:tcPr>
                  <w:tcW w:w="279" w:type="pct"/>
                  <w:vMerge w:val="restart"/>
                  <w:vAlign w:val="center"/>
                </w:tcPr>
                <w:p w14:paraId="7A0E5405">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数量（台）</w:t>
                  </w:r>
                </w:p>
              </w:tc>
              <w:tc>
                <w:tcPr>
                  <w:tcW w:w="249" w:type="pct"/>
                  <w:vMerge w:val="restart"/>
                  <w:tcMar>
                    <w:left w:w="0" w:type="dxa"/>
                    <w:right w:w="0" w:type="dxa"/>
                  </w:tcMar>
                  <w:vAlign w:val="center"/>
                </w:tcPr>
                <w:p w14:paraId="23FEB7DD">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声源源强dB（A）</w:t>
                  </w:r>
                </w:p>
              </w:tc>
              <w:tc>
                <w:tcPr>
                  <w:tcW w:w="233" w:type="pct"/>
                  <w:vMerge w:val="restart"/>
                  <w:tcMar>
                    <w:left w:w="0" w:type="dxa"/>
                    <w:right w:w="0" w:type="dxa"/>
                  </w:tcMar>
                  <w:vAlign w:val="center"/>
                </w:tcPr>
                <w:p w14:paraId="718FB04A">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排放特征</w:t>
                  </w:r>
                </w:p>
              </w:tc>
              <w:tc>
                <w:tcPr>
                  <w:tcW w:w="349" w:type="pct"/>
                  <w:vMerge w:val="restart"/>
                  <w:tcMar>
                    <w:left w:w="0" w:type="dxa"/>
                    <w:right w:w="0" w:type="dxa"/>
                  </w:tcMar>
                  <w:vAlign w:val="center"/>
                </w:tcPr>
                <w:p w14:paraId="1BB665C2">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声源控制措施</w:t>
                  </w:r>
                </w:p>
              </w:tc>
              <w:tc>
                <w:tcPr>
                  <w:tcW w:w="780" w:type="pct"/>
                  <w:gridSpan w:val="3"/>
                  <w:tcMar>
                    <w:left w:w="0" w:type="dxa"/>
                    <w:right w:w="0" w:type="dxa"/>
                  </w:tcMar>
                  <w:vAlign w:val="center"/>
                </w:tcPr>
                <w:p w14:paraId="1D658A39">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空间相对位置</w:t>
                  </w:r>
                </w:p>
              </w:tc>
              <w:tc>
                <w:tcPr>
                  <w:tcW w:w="299" w:type="pct"/>
                  <w:vMerge w:val="restart"/>
                  <w:tcMar>
                    <w:left w:w="0" w:type="dxa"/>
                    <w:right w:w="0" w:type="dxa"/>
                  </w:tcMar>
                  <w:vAlign w:val="center"/>
                </w:tcPr>
                <w:p w14:paraId="71E0E454">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距离室</w:t>
                  </w:r>
                </w:p>
                <w:p w14:paraId="216E12E6">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内边界</w:t>
                  </w:r>
                </w:p>
                <w:p w14:paraId="692277AF">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距离m</w:t>
                  </w:r>
                </w:p>
              </w:tc>
              <w:tc>
                <w:tcPr>
                  <w:tcW w:w="238" w:type="pct"/>
                  <w:vMerge w:val="restart"/>
                  <w:tcMar>
                    <w:left w:w="0" w:type="dxa"/>
                    <w:right w:w="0" w:type="dxa"/>
                  </w:tcMar>
                  <w:vAlign w:val="center"/>
                </w:tcPr>
                <w:p w14:paraId="074DE2BA">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室内边界声级</w:t>
                  </w:r>
                </w:p>
                <w:p w14:paraId="6653DE6C">
                  <w:pPr>
                    <w:keepNext w:val="0"/>
                    <w:keepLines w:val="0"/>
                    <w:suppressLineNumbers w:val="0"/>
                    <w:spacing w:before="0" w:beforeAutospacing="0" w:after="0" w:afterAutospacing="0"/>
                    <w:ind w:left="0" w:right="0"/>
                    <w:jc w:val="center"/>
                    <w:rPr>
                      <w:color w:val="auto"/>
                      <w:highlight w:val="none"/>
                    </w:rPr>
                  </w:pPr>
                  <w:r>
                    <w:rPr>
                      <w:color w:val="auto"/>
                      <w:highlight w:val="none"/>
                    </w:rPr>
                    <w:t>dB(A</w:t>
                  </w:r>
                </w:p>
              </w:tc>
              <w:tc>
                <w:tcPr>
                  <w:tcW w:w="252" w:type="pct"/>
                  <w:vMerge w:val="restart"/>
                  <w:tcMar>
                    <w:left w:w="0" w:type="dxa"/>
                    <w:right w:w="0" w:type="dxa"/>
                  </w:tcMar>
                  <w:vAlign w:val="center"/>
                </w:tcPr>
                <w:p w14:paraId="01964DC9">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运行时段</w:t>
                  </w:r>
                </w:p>
              </w:tc>
              <w:tc>
                <w:tcPr>
                  <w:tcW w:w="291" w:type="pct"/>
                  <w:vMerge w:val="restart"/>
                  <w:tcMar>
                    <w:left w:w="0" w:type="dxa"/>
                    <w:right w:w="0" w:type="dxa"/>
                  </w:tcMar>
                  <w:vAlign w:val="center"/>
                </w:tcPr>
                <w:p w14:paraId="24155135">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室内降噪措施降噪效果</w:t>
                  </w:r>
                </w:p>
                <w:p w14:paraId="63EE4AC0">
                  <w:pPr>
                    <w:keepNext w:val="0"/>
                    <w:keepLines w:val="0"/>
                    <w:suppressLineNumbers w:val="0"/>
                    <w:spacing w:before="0" w:beforeAutospacing="0" w:after="0" w:afterAutospacing="0"/>
                    <w:ind w:left="0" w:right="0"/>
                    <w:jc w:val="center"/>
                    <w:rPr>
                      <w:color w:val="auto"/>
                      <w:highlight w:val="none"/>
                    </w:rPr>
                  </w:pPr>
                  <w:r>
                    <w:rPr>
                      <w:color w:val="auto"/>
                      <w:highlight w:val="none"/>
                    </w:rPr>
                    <w:t>dB(A)</w:t>
                  </w:r>
                </w:p>
              </w:tc>
              <w:tc>
                <w:tcPr>
                  <w:tcW w:w="250" w:type="pct"/>
                  <w:vMerge w:val="restart"/>
                  <w:tcMar>
                    <w:left w:w="0" w:type="dxa"/>
                    <w:right w:w="0" w:type="dxa"/>
                  </w:tcMar>
                  <w:vAlign w:val="center"/>
                </w:tcPr>
                <w:p w14:paraId="79B80986">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消声器降噪效果</w:t>
                  </w:r>
                </w:p>
                <w:p w14:paraId="6115FBD9">
                  <w:pPr>
                    <w:keepNext w:val="0"/>
                    <w:keepLines w:val="0"/>
                    <w:suppressLineNumbers w:val="0"/>
                    <w:spacing w:before="0" w:beforeAutospacing="0" w:after="0" w:afterAutospacing="0"/>
                    <w:ind w:left="0" w:right="0"/>
                    <w:jc w:val="center"/>
                    <w:rPr>
                      <w:color w:val="auto"/>
                      <w:highlight w:val="none"/>
                    </w:rPr>
                  </w:pPr>
                  <w:r>
                    <w:rPr>
                      <w:color w:val="auto"/>
                      <w:highlight w:val="none"/>
                    </w:rPr>
                    <w:t>dB(A)</w:t>
                  </w:r>
                </w:p>
              </w:tc>
              <w:tc>
                <w:tcPr>
                  <w:tcW w:w="290" w:type="pct"/>
                  <w:vMerge w:val="restart"/>
                  <w:vAlign w:val="center"/>
                </w:tcPr>
                <w:p w14:paraId="4D697595">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建筑物插入损失</w:t>
                  </w:r>
                </w:p>
                <w:p w14:paraId="73E69C2C">
                  <w:pPr>
                    <w:keepNext w:val="0"/>
                    <w:keepLines w:val="0"/>
                    <w:suppressLineNumbers w:val="0"/>
                    <w:spacing w:before="0" w:beforeAutospacing="0" w:after="0" w:afterAutospacing="0"/>
                    <w:ind w:left="0" w:right="0"/>
                    <w:jc w:val="center"/>
                    <w:rPr>
                      <w:color w:val="auto"/>
                      <w:highlight w:val="none"/>
                    </w:rPr>
                  </w:pPr>
                  <w:r>
                    <w:rPr>
                      <w:color w:val="auto"/>
                      <w:highlight w:val="none"/>
                    </w:rPr>
                    <w:t>dB(A)</w:t>
                  </w:r>
                </w:p>
              </w:tc>
              <w:tc>
                <w:tcPr>
                  <w:tcW w:w="526" w:type="pct"/>
                  <w:gridSpan w:val="2"/>
                  <w:vAlign w:val="center"/>
                </w:tcPr>
                <w:p w14:paraId="52E109E4">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建筑物外隔声</w:t>
                  </w:r>
                </w:p>
              </w:tc>
            </w:tr>
            <w:tr w14:paraId="1D3301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3" w:hRule="atLeast"/>
                <w:jc w:val="center"/>
              </w:trPr>
              <w:tc>
                <w:tcPr>
                  <w:tcW w:w="267" w:type="pct"/>
                  <w:vMerge w:val="continue"/>
                  <w:tcMar>
                    <w:left w:w="0" w:type="dxa"/>
                    <w:right w:w="0" w:type="dxa"/>
                  </w:tcMar>
                  <w:vAlign w:val="center"/>
                </w:tcPr>
                <w:p w14:paraId="1C0EF6E5">
                  <w:pPr>
                    <w:keepNext w:val="0"/>
                    <w:keepLines w:val="0"/>
                    <w:suppressLineNumbers w:val="0"/>
                    <w:spacing w:before="0" w:beforeAutospacing="0" w:after="0" w:afterAutospacing="0"/>
                    <w:ind w:left="0" w:right="0"/>
                    <w:jc w:val="center"/>
                    <w:rPr>
                      <w:color w:val="auto"/>
                      <w:highlight w:val="none"/>
                    </w:rPr>
                  </w:pPr>
                </w:p>
              </w:tc>
              <w:tc>
                <w:tcPr>
                  <w:tcW w:w="246" w:type="pct"/>
                  <w:vMerge w:val="continue"/>
                  <w:tcMar>
                    <w:left w:w="0" w:type="dxa"/>
                    <w:right w:w="0" w:type="dxa"/>
                  </w:tcMar>
                  <w:vAlign w:val="center"/>
                </w:tcPr>
                <w:p w14:paraId="20E38E08">
                  <w:pPr>
                    <w:keepNext w:val="0"/>
                    <w:keepLines w:val="0"/>
                    <w:suppressLineNumbers w:val="0"/>
                    <w:spacing w:before="0" w:beforeAutospacing="0" w:after="0" w:afterAutospacing="0"/>
                    <w:ind w:left="0" w:right="0"/>
                    <w:jc w:val="center"/>
                    <w:rPr>
                      <w:color w:val="auto"/>
                      <w:highlight w:val="none"/>
                    </w:rPr>
                  </w:pPr>
                </w:p>
              </w:tc>
              <w:tc>
                <w:tcPr>
                  <w:tcW w:w="448" w:type="pct"/>
                  <w:vMerge w:val="continue"/>
                  <w:tcMar>
                    <w:left w:w="0" w:type="dxa"/>
                    <w:right w:w="0" w:type="dxa"/>
                  </w:tcMar>
                  <w:vAlign w:val="center"/>
                </w:tcPr>
                <w:p w14:paraId="69719E87">
                  <w:pPr>
                    <w:keepNext w:val="0"/>
                    <w:keepLines w:val="0"/>
                    <w:suppressLineNumbers w:val="0"/>
                    <w:spacing w:before="0" w:beforeAutospacing="0" w:after="0" w:afterAutospacing="0"/>
                    <w:ind w:left="0" w:right="0"/>
                    <w:jc w:val="center"/>
                    <w:rPr>
                      <w:color w:val="auto"/>
                      <w:highlight w:val="none"/>
                    </w:rPr>
                  </w:pPr>
                </w:p>
              </w:tc>
              <w:tc>
                <w:tcPr>
                  <w:tcW w:w="279" w:type="pct"/>
                  <w:vMerge w:val="continue"/>
                  <w:vAlign w:val="center"/>
                </w:tcPr>
                <w:p w14:paraId="56F3A06F">
                  <w:pPr>
                    <w:keepNext w:val="0"/>
                    <w:keepLines w:val="0"/>
                    <w:suppressLineNumbers w:val="0"/>
                    <w:spacing w:before="0" w:beforeAutospacing="0" w:after="0" w:afterAutospacing="0"/>
                    <w:ind w:left="0" w:right="0"/>
                    <w:jc w:val="center"/>
                    <w:rPr>
                      <w:color w:val="auto"/>
                      <w:highlight w:val="none"/>
                    </w:rPr>
                  </w:pPr>
                </w:p>
              </w:tc>
              <w:tc>
                <w:tcPr>
                  <w:tcW w:w="249" w:type="pct"/>
                  <w:vMerge w:val="continue"/>
                  <w:tcMar>
                    <w:left w:w="0" w:type="dxa"/>
                    <w:right w:w="0" w:type="dxa"/>
                  </w:tcMar>
                  <w:vAlign w:val="center"/>
                </w:tcPr>
                <w:p w14:paraId="621E68E4">
                  <w:pPr>
                    <w:keepNext w:val="0"/>
                    <w:keepLines w:val="0"/>
                    <w:suppressLineNumbers w:val="0"/>
                    <w:spacing w:before="0" w:beforeAutospacing="0" w:after="0" w:afterAutospacing="0"/>
                    <w:ind w:left="0" w:right="0"/>
                    <w:jc w:val="center"/>
                    <w:rPr>
                      <w:color w:val="auto"/>
                      <w:highlight w:val="none"/>
                    </w:rPr>
                  </w:pPr>
                </w:p>
              </w:tc>
              <w:tc>
                <w:tcPr>
                  <w:tcW w:w="233" w:type="pct"/>
                  <w:vMerge w:val="continue"/>
                  <w:tcMar>
                    <w:left w:w="0" w:type="dxa"/>
                    <w:right w:w="0" w:type="dxa"/>
                  </w:tcMar>
                  <w:vAlign w:val="center"/>
                </w:tcPr>
                <w:p w14:paraId="402EA537">
                  <w:pPr>
                    <w:keepNext w:val="0"/>
                    <w:keepLines w:val="0"/>
                    <w:suppressLineNumbers w:val="0"/>
                    <w:spacing w:before="0" w:beforeAutospacing="0" w:after="0" w:afterAutospacing="0"/>
                    <w:ind w:left="0" w:right="0"/>
                    <w:jc w:val="center"/>
                    <w:rPr>
                      <w:color w:val="auto"/>
                      <w:highlight w:val="none"/>
                    </w:rPr>
                  </w:pPr>
                </w:p>
              </w:tc>
              <w:tc>
                <w:tcPr>
                  <w:tcW w:w="349" w:type="pct"/>
                  <w:vMerge w:val="continue"/>
                  <w:tcMar>
                    <w:left w:w="0" w:type="dxa"/>
                    <w:right w:w="0" w:type="dxa"/>
                  </w:tcMar>
                  <w:vAlign w:val="center"/>
                </w:tcPr>
                <w:p w14:paraId="6C3F8785">
                  <w:pPr>
                    <w:keepNext w:val="0"/>
                    <w:keepLines w:val="0"/>
                    <w:suppressLineNumbers w:val="0"/>
                    <w:spacing w:before="0" w:beforeAutospacing="0" w:after="0" w:afterAutospacing="0"/>
                    <w:ind w:left="0" w:right="0"/>
                    <w:jc w:val="center"/>
                    <w:rPr>
                      <w:color w:val="auto"/>
                      <w:highlight w:val="none"/>
                    </w:rPr>
                  </w:pPr>
                </w:p>
              </w:tc>
              <w:tc>
                <w:tcPr>
                  <w:tcW w:w="230" w:type="pct"/>
                  <w:tcMar>
                    <w:left w:w="0" w:type="dxa"/>
                    <w:right w:w="0" w:type="dxa"/>
                  </w:tcMar>
                  <w:vAlign w:val="center"/>
                </w:tcPr>
                <w:p w14:paraId="08228399">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X</w:t>
                  </w:r>
                </w:p>
              </w:tc>
              <w:tc>
                <w:tcPr>
                  <w:tcW w:w="271" w:type="pct"/>
                  <w:tcMar>
                    <w:left w:w="0" w:type="dxa"/>
                    <w:right w:w="0" w:type="dxa"/>
                  </w:tcMar>
                  <w:vAlign w:val="center"/>
                </w:tcPr>
                <w:p w14:paraId="7B5C02EF">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Y</w:t>
                  </w:r>
                </w:p>
              </w:tc>
              <w:tc>
                <w:tcPr>
                  <w:tcW w:w="278" w:type="pct"/>
                  <w:tcMar>
                    <w:left w:w="0" w:type="dxa"/>
                    <w:right w:w="0" w:type="dxa"/>
                  </w:tcMar>
                  <w:vAlign w:val="center"/>
                </w:tcPr>
                <w:p w14:paraId="32B65BE1">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Z</w:t>
                  </w:r>
                </w:p>
              </w:tc>
              <w:tc>
                <w:tcPr>
                  <w:tcW w:w="299" w:type="pct"/>
                  <w:vMerge w:val="continue"/>
                  <w:tcMar>
                    <w:left w:w="0" w:type="dxa"/>
                    <w:right w:w="0" w:type="dxa"/>
                  </w:tcMar>
                  <w:vAlign w:val="center"/>
                </w:tcPr>
                <w:p w14:paraId="632F676B">
                  <w:pPr>
                    <w:keepNext w:val="0"/>
                    <w:keepLines w:val="0"/>
                    <w:suppressLineNumbers w:val="0"/>
                    <w:spacing w:before="0" w:beforeAutospacing="0" w:after="0" w:afterAutospacing="0"/>
                    <w:ind w:left="0" w:right="0"/>
                    <w:jc w:val="center"/>
                    <w:rPr>
                      <w:color w:val="auto"/>
                      <w:highlight w:val="none"/>
                    </w:rPr>
                  </w:pPr>
                </w:p>
              </w:tc>
              <w:tc>
                <w:tcPr>
                  <w:tcW w:w="238" w:type="pct"/>
                  <w:vMerge w:val="continue"/>
                  <w:tcMar>
                    <w:left w:w="0" w:type="dxa"/>
                    <w:right w:w="0" w:type="dxa"/>
                  </w:tcMar>
                  <w:vAlign w:val="center"/>
                </w:tcPr>
                <w:p w14:paraId="562554EF">
                  <w:pPr>
                    <w:keepNext w:val="0"/>
                    <w:keepLines w:val="0"/>
                    <w:suppressLineNumbers w:val="0"/>
                    <w:spacing w:before="0" w:beforeAutospacing="0" w:after="0" w:afterAutospacing="0"/>
                    <w:ind w:left="0" w:right="0"/>
                    <w:jc w:val="center"/>
                    <w:rPr>
                      <w:color w:val="auto"/>
                      <w:highlight w:val="none"/>
                    </w:rPr>
                  </w:pPr>
                </w:p>
              </w:tc>
              <w:tc>
                <w:tcPr>
                  <w:tcW w:w="252" w:type="pct"/>
                  <w:vMerge w:val="continue"/>
                  <w:tcMar>
                    <w:left w:w="0" w:type="dxa"/>
                    <w:right w:w="0" w:type="dxa"/>
                  </w:tcMar>
                  <w:vAlign w:val="center"/>
                </w:tcPr>
                <w:p w14:paraId="6B7817CA">
                  <w:pPr>
                    <w:keepNext w:val="0"/>
                    <w:keepLines w:val="0"/>
                    <w:suppressLineNumbers w:val="0"/>
                    <w:spacing w:before="0" w:beforeAutospacing="0" w:after="0" w:afterAutospacing="0"/>
                    <w:ind w:left="0" w:right="0"/>
                    <w:jc w:val="center"/>
                    <w:rPr>
                      <w:color w:val="auto"/>
                      <w:highlight w:val="none"/>
                    </w:rPr>
                  </w:pPr>
                </w:p>
              </w:tc>
              <w:tc>
                <w:tcPr>
                  <w:tcW w:w="291" w:type="pct"/>
                  <w:vMerge w:val="continue"/>
                  <w:tcMar>
                    <w:left w:w="0" w:type="dxa"/>
                    <w:right w:w="0" w:type="dxa"/>
                  </w:tcMar>
                  <w:vAlign w:val="center"/>
                </w:tcPr>
                <w:p w14:paraId="614EFDD1">
                  <w:pPr>
                    <w:keepNext w:val="0"/>
                    <w:keepLines w:val="0"/>
                    <w:suppressLineNumbers w:val="0"/>
                    <w:spacing w:before="0" w:beforeAutospacing="0" w:after="0" w:afterAutospacing="0"/>
                    <w:ind w:left="0" w:right="0"/>
                    <w:jc w:val="center"/>
                    <w:rPr>
                      <w:color w:val="auto"/>
                      <w:highlight w:val="none"/>
                    </w:rPr>
                  </w:pPr>
                </w:p>
              </w:tc>
              <w:tc>
                <w:tcPr>
                  <w:tcW w:w="250" w:type="pct"/>
                  <w:vMerge w:val="continue"/>
                  <w:tcMar>
                    <w:left w:w="0" w:type="dxa"/>
                    <w:right w:w="0" w:type="dxa"/>
                  </w:tcMar>
                  <w:vAlign w:val="center"/>
                </w:tcPr>
                <w:p w14:paraId="65FBF6D0">
                  <w:pPr>
                    <w:keepNext w:val="0"/>
                    <w:keepLines w:val="0"/>
                    <w:suppressLineNumbers w:val="0"/>
                    <w:spacing w:before="0" w:beforeAutospacing="0" w:after="0" w:afterAutospacing="0"/>
                    <w:ind w:left="0" w:right="0"/>
                    <w:jc w:val="center"/>
                    <w:rPr>
                      <w:color w:val="auto"/>
                      <w:highlight w:val="none"/>
                    </w:rPr>
                  </w:pPr>
                </w:p>
              </w:tc>
              <w:tc>
                <w:tcPr>
                  <w:tcW w:w="290" w:type="pct"/>
                  <w:vMerge w:val="continue"/>
                  <w:vAlign w:val="center"/>
                </w:tcPr>
                <w:p w14:paraId="53BBD30F">
                  <w:pPr>
                    <w:keepNext w:val="0"/>
                    <w:keepLines w:val="0"/>
                    <w:suppressLineNumbers w:val="0"/>
                    <w:spacing w:before="0" w:beforeAutospacing="0" w:after="0" w:afterAutospacing="0"/>
                    <w:ind w:left="0" w:right="0"/>
                    <w:jc w:val="center"/>
                    <w:rPr>
                      <w:color w:val="auto"/>
                      <w:highlight w:val="none"/>
                    </w:rPr>
                  </w:pPr>
                </w:p>
              </w:tc>
              <w:tc>
                <w:tcPr>
                  <w:tcW w:w="301" w:type="pct"/>
                  <w:vAlign w:val="center"/>
                </w:tcPr>
                <w:p w14:paraId="59241B5B">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声压级/</w:t>
                  </w:r>
                  <w:r>
                    <w:rPr>
                      <w:color w:val="auto"/>
                      <w:highlight w:val="none"/>
                    </w:rPr>
                    <w:t>dB(A)</w:t>
                  </w:r>
                </w:p>
              </w:tc>
              <w:tc>
                <w:tcPr>
                  <w:tcW w:w="225" w:type="pct"/>
                  <w:vAlign w:val="center"/>
                </w:tcPr>
                <w:p w14:paraId="33497466">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建筑物外距离</w:t>
                  </w:r>
                </w:p>
                <w:p w14:paraId="3C8A9001">
                  <w:pPr>
                    <w:keepNext w:val="0"/>
                    <w:keepLines w:val="0"/>
                    <w:suppressLineNumbers w:val="0"/>
                    <w:spacing w:before="0" w:beforeAutospacing="0" w:after="0" w:afterAutospacing="0"/>
                    <w:ind w:left="0" w:right="0"/>
                    <w:jc w:val="center"/>
                    <w:rPr>
                      <w:color w:val="auto"/>
                      <w:highlight w:val="none"/>
                    </w:rPr>
                  </w:pPr>
                  <w:r>
                    <w:rPr>
                      <w:color w:val="auto"/>
                      <w:highlight w:val="none"/>
                    </w:rPr>
                    <w:t>m</w:t>
                  </w:r>
                </w:p>
              </w:tc>
            </w:tr>
            <w:tr w14:paraId="3DC187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3" w:hRule="atLeast"/>
                <w:jc w:val="center"/>
              </w:trPr>
              <w:tc>
                <w:tcPr>
                  <w:tcW w:w="267" w:type="pct"/>
                  <w:vMerge w:val="restart"/>
                  <w:tcMar>
                    <w:left w:w="0" w:type="dxa"/>
                    <w:right w:w="0" w:type="dxa"/>
                  </w:tcMar>
                  <w:vAlign w:val="center"/>
                </w:tcPr>
                <w:p w14:paraId="1FF65AEA">
                  <w:pPr>
                    <w:keepNext w:val="0"/>
                    <w:keepLines w:val="0"/>
                    <w:suppressLineNumbers w:val="0"/>
                    <w:spacing w:before="0" w:beforeAutospacing="0" w:after="0" w:afterAutospacing="0"/>
                    <w:ind w:left="0" w:right="0"/>
                    <w:jc w:val="center"/>
                    <w:rPr>
                      <w:color w:val="auto"/>
                      <w:highlight w:val="none"/>
                    </w:rPr>
                  </w:pPr>
                  <w:r>
                    <w:rPr>
                      <w:color w:val="auto"/>
                      <w:highlight w:val="none"/>
                    </w:rPr>
                    <w:t>生产车间</w:t>
                  </w:r>
                </w:p>
              </w:tc>
              <w:tc>
                <w:tcPr>
                  <w:tcW w:w="246" w:type="pct"/>
                  <w:tcMar>
                    <w:left w:w="0" w:type="dxa"/>
                    <w:right w:w="0" w:type="dxa"/>
                  </w:tcMar>
                  <w:vAlign w:val="center"/>
                </w:tcPr>
                <w:p w14:paraId="2F5A7F1A">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1</w:t>
                  </w:r>
                </w:p>
              </w:tc>
              <w:tc>
                <w:tcPr>
                  <w:tcW w:w="448" w:type="pct"/>
                  <w:tcMar>
                    <w:left w:w="0" w:type="dxa"/>
                    <w:right w:w="0" w:type="dxa"/>
                  </w:tcMar>
                  <w:vAlign w:val="center"/>
                </w:tcPr>
                <w:p w14:paraId="7DA77985">
                  <w:pPr>
                    <w:keepNext w:val="0"/>
                    <w:keepLines w:val="0"/>
                    <w:suppressLineNumbers w:val="0"/>
                    <w:spacing w:before="0" w:beforeAutospacing="0" w:after="0" w:afterAutospacing="0"/>
                    <w:ind w:left="0" w:right="0"/>
                    <w:jc w:val="center"/>
                    <w:rPr>
                      <w:rFonts w:hint="eastAsia" w:eastAsia="宋体"/>
                      <w:bCs/>
                      <w:color w:val="auto"/>
                      <w:szCs w:val="21"/>
                      <w:highlight w:val="none"/>
                      <w:lang w:val="en-US" w:eastAsia="zh-CN"/>
                    </w:rPr>
                  </w:pPr>
                  <w:r>
                    <w:rPr>
                      <w:rFonts w:hint="eastAsia"/>
                      <w:bCs/>
                      <w:color w:val="auto"/>
                      <w:szCs w:val="21"/>
                      <w:highlight w:val="none"/>
                      <w:lang w:val="en-US" w:eastAsia="zh-CN"/>
                    </w:rPr>
                    <w:t>造粒机</w:t>
                  </w:r>
                </w:p>
              </w:tc>
              <w:tc>
                <w:tcPr>
                  <w:tcW w:w="279" w:type="pct"/>
                  <w:vAlign w:val="center"/>
                </w:tcPr>
                <w:p w14:paraId="1C7EC230">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3</w:t>
                  </w:r>
                </w:p>
              </w:tc>
              <w:tc>
                <w:tcPr>
                  <w:tcW w:w="249" w:type="pct"/>
                  <w:tcMar>
                    <w:left w:w="0" w:type="dxa"/>
                    <w:right w:w="0" w:type="dxa"/>
                  </w:tcMar>
                  <w:vAlign w:val="center"/>
                </w:tcPr>
                <w:p w14:paraId="4412570B">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80</w:t>
                  </w:r>
                </w:p>
              </w:tc>
              <w:tc>
                <w:tcPr>
                  <w:tcW w:w="233" w:type="pct"/>
                  <w:tcMar>
                    <w:left w:w="0" w:type="dxa"/>
                    <w:right w:w="0" w:type="dxa"/>
                  </w:tcMar>
                  <w:vAlign w:val="center"/>
                </w:tcPr>
                <w:p w14:paraId="4EF3EA24">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昼间</w:t>
                  </w:r>
                </w:p>
              </w:tc>
              <w:tc>
                <w:tcPr>
                  <w:tcW w:w="349" w:type="pct"/>
                  <w:tcMar>
                    <w:left w:w="0" w:type="dxa"/>
                    <w:right w:w="0" w:type="dxa"/>
                  </w:tcMar>
                  <w:vAlign w:val="center"/>
                </w:tcPr>
                <w:p w14:paraId="63E685F7">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隔声、减振</w:t>
                  </w:r>
                </w:p>
              </w:tc>
              <w:tc>
                <w:tcPr>
                  <w:tcW w:w="230" w:type="pct"/>
                  <w:tcMar>
                    <w:left w:w="0" w:type="dxa"/>
                    <w:right w:w="0" w:type="dxa"/>
                  </w:tcMar>
                  <w:vAlign w:val="center"/>
                </w:tcPr>
                <w:p w14:paraId="0DA17A30">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102</w:t>
                  </w:r>
                </w:p>
              </w:tc>
              <w:tc>
                <w:tcPr>
                  <w:tcW w:w="271" w:type="pct"/>
                  <w:tcMar>
                    <w:left w:w="0" w:type="dxa"/>
                    <w:right w:w="0" w:type="dxa"/>
                  </w:tcMar>
                  <w:vAlign w:val="center"/>
                </w:tcPr>
                <w:p w14:paraId="719E370F">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w:t>
                  </w:r>
                </w:p>
              </w:tc>
              <w:tc>
                <w:tcPr>
                  <w:tcW w:w="278" w:type="pct"/>
                  <w:tcMar>
                    <w:left w:w="0" w:type="dxa"/>
                    <w:right w:w="0" w:type="dxa"/>
                  </w:tcMar>
                  <w:vAlign w:val="center"/>
                </w:tcPr>
                <w:p w14:paraId="2267E603">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2.8</w:t>
                  </w:r>
                </w:p>
              </w:tc>
              <w:tc>
                <w:tcPr>
                  <w:tcW w:w="299" w:type="pct"/>
                  <w:tcMar>
                    <w:left w:w="0" w:type="dxa"/>
                    <w:right w:w="0" w:type="dxa"/>
                  </w:tcMar>
                  <w:vAlign w:val="center"/>
                </w:tcPr>
                <w:p w14:paraId="0A46651E">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10</w:t>
                  </w:r>
                </w:p>
              </w:tc>
              <w:tc>
                <w:tcPr>
                  <w:tcW w:w="238" w:type="pct"/>
                  <w:tcMar>
                    <w:left w:w="0" w:type="dxa"/>
                    <w:right w:w="0" w:type="dxa"/>
                  </w:tcMar>
                  <w:vAlign w:val="center"/>
                </w:tcPr>
                <w:p w14:paraId="6F440985">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65</w:t>
                  </w:r>
                </w:p>
              </w:tc>
              <w:tc>
                <w:tcPr>
                  <w:tcW w:w="252" w:type="pct"/>
                  <w:tcMar>
                    <w:left w:w="0" w:type="dxa"/>
                    <w:right w:w="0" w:type="dxa"/>
                  </w:tcMar>
                  <w:vAlign w:val="center"/>
                </w:tcPr>
                <w:p w14:paraId="3A98E9CF">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2</w:t>
                  </w:r>
                  <w:r>
                    <w:rPr>
                      <w:rFonts w:hint="eastAsia"/>
                      <w:color w:val="auto"/>
                      <w:highlight w:val="none"/>
                      <w:lang w:val="en-US" w:eastAsia="zh-CN"/>
                    </w:rPr>
                    <w:t>0</w:t>
                  </w:r>
                  <w:r>
                    <w:rPr>
                      <w:rFonts w:hint="eastAsia"/>
                      <w:color w:val="auto"/>
                      <w:highlight w:val="none"/>
                    </w:rPr>
                    <w:t>00h</w:t>
                  </w:r>
                </w:p>
              </w:tc>
              <w:tc>
                <w:tcPr>
                  <w:tcW w:w="291" w:type="pct"/>
                  <w:tcMar>
                    <w:left w:w="0" w:type="dxa"/>
                    <w:right w:w="0" w:type="dxa"/>
                  </w:tcMar>
                  <w:vAlign w:val="center"/>
                </w:tcPr>
                <w:p w14:paraId="1AC3A4D8">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6</w:t>
                  </w:r>
                </w:p>
              </w:tc>
              <w:tc>
                <w:tcPr>
                  <w:tcW w:w="250" w:type="pct"/>
                  <w:tcMar>
                    <w:left w:w="0" w:type="dxa"/>
                    <w:right w:w="0" w:type="dxa"/>
                  </w:tcMar>
                  <w:vAlign w:val="center"/>
                </w:tcPr>
                <w:p w14:paraId="10FF85D2">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w:t>
                  </w:r>
                </w:p>
              </w:tc>
              <w:tc>
                <w:tcPr>
                  <w:tcW w:w="290" w:type="pct"/>
                  <w:vAlign w:val="center"/>
                </w:tcPr>
                <w:p w14:paraId="757E7F7E">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15</w:t>
                  </w:r>
                </w:p>
              </w:tc>
              <w:tc>
                <w:tcPr>
                  <w:tcW w:w="301" w:type="pct"/>
                  <w:vAlign w:val="center"/>
                </w:tcPr>
                <w:p w14:paraId="4F82A409">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44</w:t>
                  </w:r>
                </w:p>
              </w:tc>
              <w:tc>
                <w:tcPr>
                  <w:tcW w:w="225" w:type="pct"/>
                  <w:vAlign w:val="center"/>
                </w:tcPr>
                <w:p w14:paraId="39C65300">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1</w:t>
                  </w:r>
                </w:p>
              </w:tc>
            </w:tr>
            <w:tr w14:paraId="74C58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3" w:hRule="atLeast"/>
                <w:jc w:val="center"/>
              </w:trPr>
              <w:tc>
                <w:tcPr>
                  <w:tcW w:w="267" w:type="pct"/>
                  <w:vMerge w:val="continue"/>
                  <w:tcMar>
                    <w:left w:w="0" w:type="dxa"/>
                    <w:right w:w="0" w:type="dxa"/>
                  </w:tcMar>
                  <w:vAlign w:val="center"/>
                </w:tcPr>
                <w:p w14:paraId="4B26FE1B">
                  <w:pPr>
                    <w:keepNext w:val="0"/>
                    <w:keepLines w:val="0"/>
                    <w:suppressLineNumbers w:val="0"/>
                    <w:spacing w:before="0" w:beforeAutospacing="0" w:after="0" w:afterAutospacing="0"/>
                    <w:ind w:left="0" w:right="0"/>
                    <w:jc w:val="center"/>
                    <w:rPr>
                      <w:color w:val="auto"/>
                      <w:highlight w:val="none"/>
                    </w:rPr>
                  </w:pPr>
                </w:p>
              </w:tc>
              <w:tc>
                <w:tcPr>
                  <w:tcW w:w="246" w:type="pct"/>
                  <w:tcMar>
                    <w:left w:w="0" w:type="dxa"/>
                    <w:right w:w="0" w:type="dxa"/>
                  </w:tcMar>
                  <w:vAlign w:val="center"/>
                </w:tcPr>
                <w:p w14:paraId="186C9EE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2</w:t>
                  </w:r>
                </w:p>
              </w:tc>
              <w:tc>
                <w:tcPr>
                  <w:tcW w:w="448" w:type="pct"/>
                  <w:tcMar>
                    <w:left w:w="0" w:type="dxa"/>
                    <w:right w:w="0" w:type="dxa"/>
                  </w:tcMar>
                  <w:vAlign w:val="center"/>
                </w:tcPr>
                <w:p w14:paraId="2BDDB0C8">
                  <w:pPr>
                    <w:keepNext w:val="0"/>
                    <w:keepLines w:val="0"/>
                    <w:suppressLineNumbers w:val="0"/>
                    <w:spacing w:before="0" w:beforeAutospacing="0" w:after="0" w:afterAutospacing="0"/>
                    <w:ind w:left="0" w:right="0"/>
                    <w:jc w:val="center"/>
                    <w:rPr>
                      <w:rFonts w:hint="default" w:eastAsia="宋体"/>
                      <w:bCs/>
                      <w:color w:val="auto"/>
                      <w:szCs w:val="21"/>
                      <w:highlight w:val="none"/>
                      <w:lang w:val="en-US" w:eastAsia="zh-CN"/>
                    </w:rPr>
                  </w:pPr>
                  <w:r>
                    <w:rPr>
                      <w:rFonts w:hint="eastAsia"/>
                      <w:bCs/>
                      <w:color w:val="auto"/>
                      <w:szCs w:val="21"/>
                      <w:highlight w:val="none"/>
                      <w:lang w:val="en-US" w:eastAsia="zh-CN"/>
                    </w:rPr>
                    <w:t>灌装机</w:t>
                  </w:r>
                </w:p>
              </w:tc>
              <w:tc>
                <w:tcPr>
                  <w:tcW w:w="279" w:type="pct"/>
                  <w:vAlign w:val="center"/>
                </w:tcPr>
                <w:p w14:paraId="17B357FA">
                  <w:pPr>
                    <w:keepNext w:val="0"/>
                    <w:keepLines w:val="0"/>
                    <w:suppressLineNumbers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3</w:t>
                  </w:r>
                </w:p>
              </w:tc>
              <w:tc>
                <w:tcPr>
                  <w:tcW w:w="249" w:type="pct"/>
                  <w:tcMar>
                    <w:left w:w="0" w:type="dxa"/>
                    <w:right w:w="0" w:type="dxa"/>
                  </w:tcMar>
                  <w:vAlign w:val="center"/>
                </w:tcPr>
                <w:p w14:paraId="54EAD9C3">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75</w:t>
                  </w:r>
                </w:p>
              </w:tc>
              <w:tc>
                <w:tcPr>
                  <w:tcW w:w="233" w:type="pct"/>
                  <w:tcMar>
                    <w:left w:w="0" w:type="dxa"/>
                    <w:right w:w="0" w:type="dxa"/>
                  </w:tcMar>
                  <w:vAlign w:val="center"/>
                </w:tcPr>
                <w:p w14:paraId="347927B3">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昼间</w:t>
                  </w:r>
                </w:p>
              </w:tc>
              <w:tc>
                <w:tcPr>
                  <w:tcW w:w="349" w:type="pct"/>
                  <w:tcMar>
                    <w:left w:w="0" w:type="dxa"/>
                    <w:right w:w="0" w:type="dxa"/>
                  </w:tcMar>
                  <w:vAlign w:val="center"/>
                </w:tcPr>
                <w:p w14:paraId="76E6A359">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隔声、减振</w:t>
                  </w:r>
                </w:p>
              </w:tc>
              <w:tc>
                <w:tcPr>
                  <w:tcW w:w="230" w:type="pct"/>
                  <w:tcMar>
                    <w:left w:w="0" w:type="dxa"/>
                    <w:right w:w="0" w:type="dxa"/>
                  </w:tcMar>
                  <w:vAlign w:val="center"/>
                </w:tcPr>
                <w:p w14:paraId="543FE010">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140</w:t>
                  </w:r>
                </w:p>
              </w:tc>
              <w:tc>
                <w:tcPr>
                  <w:tcW w:w="271" w:type="pct"/>
                  <w:tcMar>
                    <w:left w:w="0" w:type="dxa"/>
                    <w:right w:w="0" w:type="dxa"/>
                  </w:tcMar>
                  <w:vAlign w:val="center"/>
                </w:tcPr>
                <w:p w14:paraId="4DC222DA">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80</w:t>
                  </w:r>
                </w:p>
              </w:tc>
              <w:tc>
                <w:tcPr>
                  <w:tcW w:w="278" w:type="pct"/>
                  <w:tcMar>
                    <w:left w:w="0" w:type="dxa"/>
                    <w:right w:w="0" w:type="dxa"/>
                  </w:tcMar>
                  <w:vAlign w:val="center"/>
                </w:tcPr>
                <w:p w14:paraId="617019D4">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1.2</w:t>
                  </w:r>
                </w:p>
              </w:tc>
              <w:tc>
                <w:tcPr>
                  <w:tcW w:w="299" w:type="pct"/>
                  <w:tcMar>
                    <w:left w:w="0" w:type="dxa"/>
                    <w:right w:w="0" w:type="dxa"/>
                  </w:tcMar>
                  <w:vAlign w:val="center"/>
                </w:tcPr>
                <w:p w14:paraId="2A8F7CFC">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10</w:t>
                  </w:r>
                </w:p>
              </w:tc>
              <w:tc>
                <w:tcPr>
                  <w:tcW w:w="238" w:type="pct"/>
                  <w:tcMar>
                    <w:left w:w="0" w:type="dxa"/>
                    <w:right w:w="0" w:type="dxa"/>
                  </w:tcMar>
                  <w:vAlign w:val="center"/>
                </w:tcPr>
                <w:p w14:paraId="5CC722D3">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58</w:t>
                  </w:r>
                </w:p>
              </w:tc>
              <w:tc>
                <w:tcPr>
                  <w:tcW w:w="252" w:type="pct"/>
                  <w:tcMar>
                    <w:left w:w="0" w:type="dxa"/>
                    <w:right w:w="0" w:type="dxa"/>
                  </w:tcMar>
                  <w:vAlign w:val="center"/>
                </w:tcPr>
                <w:p w14:paraId="49062996">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2</w:t>
                  </w:r>
                  <w:r>
                    <w:rPr>
                      <w:rFonts w:hint="eastAsia"/>
                      <w:color w:val="auto"/>
                      <w:highlight w:val="none"/>
                      <w:lang w:val="en-US" w:eastAsia="zh-CN"/>
                    </w:rPr>
                    <w:t>0</w:t>
                  </w:r>
                  <w:r>
                    <w:rPr>
                      <w:rFonts w:hint="eastAsia"/>
                      <w:color w:val="auto"/>
                      <w:highlight w:val="none"/>
                    </w:rPr>
                    <w:t>00h</w:t>
                  </w:r>
                </w:p>
              </w:tc>
              <w:tc>
                <w:tcPr>
                  <w:tcW w:w="291" w:type="pct"/>
                  <w:tcMar>
                    <w:left w:w="0" w:type="dxa"/>
                    <w:right w:w="0" w:type="dxa"/>
                  </w:tcMar>
                  <w:vAlign w:val="center"/>
                </w:tcPr>
                <w:p w14:paraId="2CFC9B97">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6</w:t>
                  </w:r>
                </w:p>
              </w:tc>
              <w:tc>
                <w:tcPr>
                  <w:tcW w:w="250" w:type="pct"/>
                  <w:tcMar>
                    <w:left w:w="0" w:type="dxa"/>
                    <w:right w:w="0" w:type="dxa"/>
                  </w:tcMar>
                  <w:vAlign w:val="center"/>
                </w:tcPr>
                <w:p w14:paraId="5829258B">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w:t>
                  </w:r>
                </w:p>
              </w:tc>
              <w:tc>
                <w:tcPr>
                  <w:tcW w:w="290" w:type="pct"/>
                  <w:vAlign w:val="center"/>
                </w:tcPr>
                <w:p w14:paraId="54EEF998">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15</w:t>
                  </w:r>
                </w:p>
              </w:tc>
              <w:tc>
                <w:tcPr>
                  <w:tcW w:w="301" w:type="pct"/>
                  <w:vAlign w:val="center"/>
                </w:tcPr>
                <w:p w14:paraId="3F5A6751">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37</w:t>
                  </w:r>
                </w:p>
              </w:tc>
              <w:tc>
                <w:tcPr>
                  <w:tcW w:w="225" w:type="pct"/>
                  <w:vAlign w:val="center"/>
                </w:tcPr>
                <w:p w14:paraId="2FAC05C9">
                  <w:pPr>
                    <w:keepNext w:val="0"/>
                    <w:keepLines w:val="0"/>
                    <w:suppressLineNumbers w:val="0"/>
                    <w:spacing w:before="0" w:beforeAutospacing="0" w:after="0" w:afterAutospacing="0"/>
                    <w:ind w:left="0" w:right="0"/>
                    <w:jc w:val="center"/>
                    <w:rPr>
                      <w:color w:val="auto"/>
                      <w:highlight w:val="none"/>
                    </w:rPr>
                  </w:pPr>
                  <w:r>
                    <w:rPr>
                      <w:rFonts w:hint="eastAsia"/>
                      <w:color w:val="auto"/>
                      <w:highlight w:val="none"/>
                    </w:rPr>
                    <w:t>1</w:t>
                  </w:r>
                </w:p>
              </w:tc>
            </w:tr>
          </w:tbl>
          <w:p w14:paraId="141F4699">
            <w:pPr>
              <w:keepNext w:val="0"/>
              <w:keepLines w:val="0"/>
              <w:widowControl/>
              <w:suppressLineNumbers w:val="0"/>
              <w:adjustRightInd w:val="0"/>
              <w:snapToGrid w:val="0"/>
              <w:spacing w:before="0" w:beforeAutospacing="0" w:after="0" w:afterAutospacing="0" w:line="360" w:lineRule="auto"/>
              <w:ind w:left="0" w:right="0"/>
              <w:jc w:val="left"/>
              <w:rPr>
                <w:color w:val="auto"/>
                <w:highlight w:val="none"/>
                <w:lang w:bidi="en-US"/>
              </w:rPr>
            </w:pPr>
            <w:r>
              <w:rPr>
                <w:rFonts w:hint="eastAsia"/>
                <w:b/>
                <w:bCs/>
                <w:color w:val="auto"/>
                <w:highlight w:val="none"/>
                <w:lang w:bidi="en-US"/>
              </w:rPr>
              <w:t>注：以</w:t>
            </w:r>
            <w:r>
              <w:rPr>
                <w:rFonts w:hint="eastAsia"/>
                <w:b/>
                <w:bCs/>
                <w:color w:val="auto"/>
                <w:highlight w:val="none"/>
                <w:lang w:val="en-US" w:eastAsia="zh-CN" w:bidi="en-US"/>
              </w:rPr>
              <w:t>项目所在地</w:t>
            </w:r>
            <w:r>
              <w:rPr>
                <w:rFonts w:hint="eastAsia"/>
                <w:b/>
                <w:bCs/>
                <w:color w:val="auto"/>
                <w:highlight w:val="none"/>
                <w:lang w:bidi="en-US"/>
              </w:rPr>
              <w:t>西北角为原点。</w:t>
            </w:r>
          </w:p>
        </w:tc>
      </w:tr>
    </w:tbl>
    <w:p w14:paraId="5B2620CC">
      <w:pPr>
        <w:adjustRightInd w:val="0"/>
        <w:snapToGrid w:val="0"/>
        <w:spacing w:line="360" w:lineRule="auto"/>
        <w:rPr>
          <w:b/>
          <w:color w:val="auto"/>
          <w:kern w:val="0"/>
          <w:sz w:val="28"/>
          <w:szCs w:val="28"/>
          <w:highlight w:val="none"/>
        </w:rPr>
        <w:sectPr>
          <w:pgSz w:w="16840" w:h="11907" w:orient="landscape"/>
          <w:pgMar w:top="720" w:right="720" w:bottom="720" w:left="720" w:header="851" w:footer="851" w:gutter="0"/>
          <w:pgBorders>
            <w:top w:val="none" w:sz="0" w:space="0"/>
            <w:left w:val="none" w:sz="0" w:space="0"/>
            <w:bottom w:val="none" w:sz="0" w:space="0"/>
            <w:right w:val="none" w:sz="0" w:space="0"/>
          </w:pgBorders>
          <w:cols w:space="720" w:num="1"/>
          <w:docGrid w:linePitch="312" w:charSpace="0"/>
        </w:sectPr>
      </w:pP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18"/>
        <w:gridCol w:w="8062"/>
      </w:tblGrid>
      <w:tr w14:paraId="15BCF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 w:type="dxa"/>
            <w:tcMar>
              <w:left w:w="28" w:type="dxa"/>
              <w:right w:w="28" w:type="dxa"/>
            </w:tcMar>
            <w:vAlign w:val="center"/>
          </w:tcPr>
          <w:p w14:paraId="71882DE6">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运营</w:t>
            </w:r>
          </w:p>
          <w:p w14:paraId="5AEDF9C4">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期环</w:t>
            </w:r>
          </w:p>
          <w:p w14:paraId="2A05E020">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境影</w:t>
            </w:r>
          </w:p>
          <w:p w14:paraId="4E1428C7">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响和</w:t>
            </w:r>
          </w:p>
          <w:p w14:paraId="01148525">
            <w:pPr>
              <w:keepNext w:val="0"/>
              <w:keepLines w:val="0"/>
              <w:suppressLineNumbers w:val="0"/>
              <w:adjustRightInd w:val="0"/>
              <w:snapToGrid w:val="0"/>
              <w:spacing w:before="0" w:beforeAutospacing="0" w:after="0" w:afterAutospacing="0"/>
              <w:ind w:left="0" w:right="0"/>
              <w:jc w:val="center"/>
              <w:rPr>
                <w:bCs/>
                <w:color w:val="auto"/>
                <w:sz w:val="24"/>
                <w:highlight w:val="none"/>
              </w:rPr>
            </w:pPr>
            <w:r>
              <w:rPr>
                <w:bCs/>
                <w:color w:val="auto"/>
                <w:sz w:val="24"/>
                <w:highlight w:val="none"/>
              </w:rPr>
              <w:t>保护</w:t>
            </w:r>
          </w:p>
          <w:p w14:paraId="7C8ACAEE">
            <w:pPr>
              <w:keepNext w:val="0"/>
              <w:keepLines w:val="0"/>
              <w:suppressLineNumbers w:val="0"/>
              <w:adjustRightInd w:val="0"/>
              <w:snapToGrid w:val="0"/>
              <w:spacing w:before="0" w:beforeAutospacing="0" w:after="0" w:afterAutospacing="0"/>
              <w:ind w:left="0" w:right="0"/>
              <w:jc w:val="center"/>
              <w:rPr>
                <w:bCs/>
                <w:color w:val="auto"/>
                <w:szCs w:val="21"/>
                <w:highlight w:val="none"/>
              </w:rPr>
            </w:pPr>
            <w:r>
              <w:rPr>
                <w:bCs/>
                <w:color w:val="auto"/>
                <w:sz w:val="24"/>
                <w:highlight w:val="none"/>
              </w:rPr>
              <w:t>措施</w:t>
            </w:r>
          </w:p>
        </w:tc>
        <w:tc>
          <w:tcPr>
            <w:tcW w:w="8062" w:type="dxa"/>
            <w:vAlign w:val="center"/>
          </w:tcPr>
          <w:p w14:paraId="09B54A31">
            <w:pPr>
              <w:keepNext w:val="0"/>
              <w:keepLines w:val="0"/>
              <w:suppressLineNumbers w:val="0"/>
              <w:adjustRightInd w:val="0"/>
              <w:snapToGrid w:val="0"/>
              <w:spacing w:before="0" w:beforeAutospacing="0" w:after="0" w:afterAutospacing="0" w:line="360" w:lineRule="auto"/>
              <w:ind w:left="0" w:right="0" w:firstLine="440" w:firstLineChars="200"/>
              <w:rPr>
                <w:bCs/>
                <w:color w:val="auto"/>
                <w:spacing w:val="-10"/>
                <w:sz w:val="24"/>
                <w:highlight w:val="none"/>
              </w:rPr>
            </w:pPr>
            <w:r>
              <w:rPr>
                <w:rFonts w:hint="eastAsia"/>
                <w:bCs/>
                <w:color w:val="auto"/>
                <w:spacing w:val="-10"/>
                <w:sz w:val="24"/>
                <w:highlight w:val="none"/>
              </w:rPr>
              <w:t>（2）噪声影响及达标分析</w:t>
            </w:r>
          </w:p>
          <w:p w14:paraId="79DEFDB2">
            <w:pPr>
              <w:keepNext w:val="0"/>
              <w:keepLines w:val="0"/>
              <w:suppressLineNumbers w:val="0"/>
              <w:adjustRightInd w:val="0"/>
              <w:snapToGrid w:val="0"/>
              <w:spacing w:before="0" w:beforeAutospacing="0" w:after="0" w:afterAutospacing="0" w:line="360" w:lineRule="auto"/>
              <w:ind w:left="0" w:right="0" w:firstLine="440" w:firstLineChars="200"/>
              <w:rPr>
                <w:color w:val="auto"/>
                <w:sz w:val="24"/>
                <w:highlight w:val="none"/>
              </w:rPr>
            </w:pPr>
            <w:r>
              <w:rPr>
                <w:bCs/>
                <w:color w:val="auto"/>
                <w:spacing w:val="-10"/>
                <w:sz w:val="24"/>
                <w:highlight w:val="none"/>
              </w:rPr>
              <w:t>本次评价采用</w:t>
            </w:r>
            <w:r>
              <w:rPr>
                <w:color w:val="auto"/>
                <w:sz w:val="24"/>
                <w:highlight w:val="none"/>
              </w:rPr>
              <w:t>《环境影响评价技术导则声环境》（HJ2.4-2021）推荐的噪声传播衰减方法进行预测。本次噪声源衰减的计算过程中，考虑距离衰减、构筑物屏障衰减因素，对于声能在传播过程中受其它因素的影响（如地面吸收效应，雨雪雾和温度梯度的削减）在此忽略不计。</w:t>
            </w:r>
          </w:p>
          <w:p w14:paraId="5E1821EA">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①</w:t>
            </w:r>
            <w:r>
              <w:rPr>
                <w:color w:val="auto"/>
                <w:sz w:val="24"/>
                <w:highlight w:val="none"/>
              </w:rPr>
              <w:t>室外声源在预测点产生的声级计算模型</w:t>
            </w:r>
          </w:p>
          <w:p w14:paraId="2C797225">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color w:val="auto"/>
                <w:sz w:val="24"/>
                <w:highlight w:val="none"/>
              </w:rPr>
              <w:t>无指向性点声源几何发散衰减公式如下：</w:t>
            </w:r>
          </w:p>
          <w:p w14:paraId="61153A6D">
            <w:pPr>
              <w:keepNext w:val="0"/>
              <w:keepLines w:val="0"/>
              <w:suppressLineNumbers w:val="0"/>
              <w:adjustRightInd w:val="0"/>
              <w:snapToGrid w:val="0"/>
              <w:spacing w:before="0" w:beforeAutospacing="0" w:after="0" w:afterAutospacing="0" w:line="360" w:lineRule="auto"/>
              <w:ind w:left="0" w:right="0" w:firstLine="480" w:firstLineChars="200"/>
              <w:jc w:val="center"/>
              <w:rPr>
                <w:color w:val="auto"/>
                <w:sz w:val="24"/>
                <w:highlight w:val="none"/>
              </w:rPr>
            </w:pPr>
            <w:r>
              <w:rPr>
                <w:color w:val="auto"/>
                <w:sz w:val="24"/>
                <w:highlight w:val="none"/>
              </w:rPr>
              <w:drawing>
                <wp:inline distT="0" distB="0" distL="0" distR="0">
                  <wp:extent cx="1733550" cy="304800"/>
                  <wp:effectExtent l="19050" t="0" r="0" b="0"/>
                  <wp:docPr id="1869" name="图片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图片 1869"/>
                          <pic:cNvPicPr>
                            <a:picLocks noChangeAspect="1" noChangeArrowheads="1"/>
                          </pic:cNvPicPr>
                        </pic:nvPicPr>
                        <pic:blipFill>
                          <a:blip r:embed="rId20" cstate="print">
                            <a:lum contrast="10000"/>
                            <a:extLst>
                              <a:ext uri="{28A0092B-C50C-407E-A947-70E740481C1C}">
                                <a14:useLocalDpi xmlns:a14="http://schemas.microsoft.com/office/drawing/2010/main" val="0"/>
                              </a:ext>
                            </a:extLst>
                          </a:blip>
                          <a:srcRect/>
                          <a:stretch>
                            <a:fillRect/>
                          </a:stretch>
                        </pic:blipFill>
                        <pic:spPr>
                          <a:xfrm>
                            <a:off x="0" y="0"/>
                            <a:ext cx="1733550" cy="304800"/>
                          </a:xfrm>
                          <a:prstGeom prst="rect">
                            <a:avLst/>
                          </a:prstGeom>
                          <a:noFill/>
                          <a:ln>
                            <a:noFill/>
                          </a:ln>
                        </pic:spPr>
                      </pic:pic>
                    </a:graphicData>
                  </a:graphic>
                </wp:inline>
              </w:drawing>
            </w:r>
          </w:p>
          <w:p w14:paraId="4FA11818">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color w:val="auto"/>
                <w:sz w:val="24"/>
                <w:highlight w:val="none"/>
              </w:rPr>
              <w:t>式中：L</w:t>
            </w:r>
            <w:r>
              <w:rPr>
                <w:color w:val="auto"/>
                <w:sz w:val="24"/>
                <w:highlight w:val="none"/>
                <w:vertAlign w:val="subscript"/>
              </w:rPr>
              <w:t>p</w:t>
            </w:r>
            <w:r>
              <w:rPr>
                <w:color w:val="auto"/>
                <w:sz w:val="24"/>
                <w:highlight w:val="none"/>
              </w:rPr>
              <w:t>（r）</w:t>
            </w:r>
            <w:r>
              <w:rPr>
                <w:bCs/>
                <w:color w:val="auto"/>
                <w:kern w:val="0"/>
                <w:sz w:val="24"/>
                <w:highlight w:val="none"/>
              </w:rPr>
              <w:t>——</w:t>
            </w:r>
            <w:r>
              <w:rPr>
                <w:color w:val="auto"/>
                <w:sz w:val="24"/>
                <w:highlight w:val="none"/>
              </w:rPr>
              <w:t>预测点处声压级，dB；</w:t>
            </w:r>
          </w:p>
          <w:p w14:paraId="613703D6">
            <w:pPr>
              <w:keepNext w:val="0"/>
              <w:keepLines w:val="0"/>
              <w:suppressLineNumbers w:val="0"/>
              <w:adjustRightInd w:val="0"/>
              <w:snapToGrid w:val="0"/>
              <w:spacing w:before="0" w:beforeAutospacing="0" w:after="0" w:afterAutospacing="0" w:line="360" w:lineRule="auto"/>
              <w:ind w:left="0" w:right="0" w:firstLine="1200" w:firstLineChars="500"/>
              <w:rPr>
                <w:color w:val="auto"/>
                <w:sz w:val="24"/>
                <w:highlight w:val="none"/>
              </w:rPr>
            </w:pPr>
            <w:r>
              <w:rPr>
                <w:color w:val="auto"/>
                <w:sz w:val="24"/>
                <w:highlight w:val="none"/>
              </w:rPr>
              <w:t>L</w:t>
            </w:r>
            <w:r>
              <w:rPr>
                <w:color w:val="auto"/>
                <w:sz w:val="24"/>
                <w:highlight w:val="none"/>
                <w:vertAlign w:val="subscript"/>
              </w:rPr>
              <w:t>p</w:t>
            </w:r>
            <w:r>
              <w:rPr>
                <w:color w:val="auto"/>
                <w:sz w:val="24"/>
                <w:highlight w:val="none"/>
              </w:rPr>
              <w:t>（r</w:t>
            </w:r>
            <w:r>
              <w:rPr>
                <w:color w:val="auto"/>
                <w:sz w:val="24"/>
                <w:highlight w:val="none"/>
                <w:vertAlign w:val="subscript"/>
              </w:rPr>
              <w:t>0</w:t>
            </w:r>
            <w:r>
              <w:rPr>
                <w:color w:val="auto"/>
                <w:sz w:val="24"/>
                <w:highlight w:val="none"/>
              </w:rPr>
              <w:t>）</w:t>
            </w:r>
            <w:r>
              <w:rPr>
                <w:bCs/>
                <w:color w:val="auto"/>
                <w:kern w:val="0"/>
                <w:sz w:val="24"/>
                <w:highlight w:val="none"/>
              </w:rPr>
              <w:t>——参考位置</w:t>
            </w:r>
            <w:r>
              <w:rPr>
                <w:color w:val="auto"/>
                <w:sz w:val="24"/>
                <w:highlight w:val="none"/>
              </w:rPr>
              <w:t>r</w:t>
            </w:r>
            <w:r>
              <w:rPr>
                <w:color w:val="auto"/>
                <w:sz w:val="24"/>
                <w:highlight w:val="none"/>
                <w:vertAlign w:val="subscript"/>
              </w:rPr>
              <w:t>0</w:t>
            </w:r>
            <w:r>
              <w:rPr>
                <w:color w:val="auto"/>
                <w:sz w:val="24"/>
                <w:highlight w:val="none"/>
              </w:rPr>
              <w:t>处的声压级，dB；</w:t>
            </w:r>
          </w:p>
          <w:p w14:paraId="21FDD143">
            <w:pPr>
              <w:keepNext w:val="0"/>
              <w:keepLines w:val="0"/>
              <w:suppressLineNumbers w:val="0"/>
              <w:adjustRightInd w:val="0"/>
              <w:snapToGrid w:val="0"/>
              <w:spacing w:before="0" w:beforeAutospacing="0" w:after="0" w:afterAutospacing="0" w:line="360" w:lineRule="auto"/>
              <w:ind w:left="0" w:right="0" w:firstLine="1200" w:firstLineChars="500"/>
              <w:rPr>
                <w:color w:val="auto"/>
                <w:sz w:val="24"/>
                <w:highlight w:val="none"/>
              </w:rPr>
            </w:pPr>
            <w:r>
              <w:rPr>
                <w:color w:val="auto"/>
                <w:sz w:val="24"/>
                <w:highlight w:val="none"/>
              </w:rPr>
              <w:t>r</w:t>
            </w:r>
            <w:r>
              <w:rPr>
                <w:bCs/>
                <w:color w:val="auto"/>
                <w:kern w:val="0"/>
                <w:sz w:val="24"/>
                <w:highlight w:val="none"/>
              </w:rPr>
              <w:t>——</w:t>
            </w:r>
            <w:r>
              <w:rPr>
                <w:color w:val="auto"/>
                <w:sz w:val="24"/>
                <w:highlight w:val="none"/>
              </w:rPr>
              <w:t>预测点距声源的距离，m；</w:t>
            </w:r>
          </w:p>
          <w:p w14:paraId="07191DF5">
            <w:pPr>
              <w:keepNext w:val="0"/>
              <w:keepLines w:val="0"/>
              <w:suppressLineNumbers w:val="0"/>
              <w:spacing w:before="0" w:beforeAutospacing="0" w:after="0" w:afterAutospacing="0" w:line="360" w:lineRule="auto"/>
              <w:ind w:left="0" w:right="0" w:firstLine="1200" w:firstLineChars="500"/>
              <w:rPr>
                <w:color w:val="auto"/>
                <w:sz w:val="24"/>
                <w:highlight w:val="none"/>
              </w:rPr>
            </w:pPr>
            <w:r>
              <w:rPr>
                <w:color w:val="auto"/>
                <w:sz w:val="24"/>
                <w:highlight w:val="none"/>
              </w:rPr>
              <w:t>r</w:t>
            </w:r>
            <w:r>
              <w:rPr>
                <w:color w:val="auto"/>
                <w:sz w:val="24"/>
                <w:highlight w:val="none"/>
                <w:vertAlign w:val="subscript"/>
              </w:rPr>
              <w:t>0</w:t>
            </w:r>
            <w:r>
              <w:rPr>
                <w:bCs/>
                <w:color w:val="auto"/>
                <w:kern w:val="0"/>
                <w:sz w:val="24"/>
                <w:highlight w:val="none"/>
              </w:rPr>
              <w:t>——</w:t>
            </w:r>
            <w:r>
              <w:rPr>
                <w:color w:val="auto"/>
                <w:sz w:val="24"/>
                <w:highlight w:val="none"/>
              </w:rPr>
              <w:t>参考位置距声源的距离，m。</w:t>
            </w:r>
          </w:p>
          <w:p w14:paraId="4D5CAC10">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②</w:t>
            </w:r>
            <w:r>
              <w:rPr>
                <w:color w:val="auto"/>
                <w:sz w:val="24"/>
                <w:highlight w:val="none"/>
              </w:rPr>
              <w:t>室内声源等效室外声源声功率级计算方法</w:t>
            </w:r>
          </w:p>
          <w:p w14:paraId="022C8A31">
            <w:pPr>
              <w:keepNext w:val="0"/>
              <w:keepLines w:val="0"/>
              <w:suppressLineNumbers w:val="0"/>
              <w:spacing w:before="0" w:beforeAutospacing="0" w:after="0" w:afterAutospacing="0" w:line="360" w:lineRule="auto"/>
              <w:ind w:left="0" w:right="0" w:firstLine="480" w:firstLineChars="200"/>
              <w:rPr>
                <w:color w:val="auto"/>
                <w:sz w:val="24"/>
                <w:highlight w:val="none"/>
              </w:rPr>
            </w:pPr>
            <w:r>
              <w:rPr>
                <w:color w:val="auto"/>
                <w:sz w:val="24"/>
                <w:highlight w:val="none"/>
              </w:rPr>
              <w:t>声源位于室内，室内声源可采用等效室外声源声功率级法进行计算。</w:t>
            </w:r>
          </w:p>
          <w:p w14:paraId="0CFE3926">
            <w:pPr>
              <w:keepNext w:val="0"/>
              <w:keepLines w:val="0"/>
              <w:suppressLineNumbers w:val="0"/>
              <w:adjustRightInd w:val="0"/>
              <w:snapToGrid w:val="0"/>
              <w:spacing w:before="0" w:beforeAutospacing="0" w:after="0" w:afterAutospacing="0" w:line="360" w:lineRule="auto"/>
              <w:ind w:left="0" w:right="0" w:firstLine="480" w:firstLineChars="200"/>
              <w:jc w:val="center"/>
              <w:rPr>
                <w:color w:val="auto"/>
                <w:sz w:val="24"/>
                <w:highlight w:val="none"/>
              </w:rPr>
            </w:pPr>
            <w:r>
              <w:rPr>
                <w:color w:val="auto"/>
                <w:sz w:val="24"/>
                <w:highlight w:val="none"/>
              </w:rPr>
              <w:drawing>
                <wp:inline distT="0" distB="0" distL="0" distR="0">
                  <wp:extent cx="1238250" cy="228600"/>
                  <wp:effectExtent l="0" t="0" r="0" b="0"/>
                  <wp:docPr id="1870" name="图片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 name="图片 187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238250" cy="228600"/>
                          </a:xfrm>
                          <a:prstGeom prst="rect">
                            <a:avLst/>
                          </a:prstGeom>
                          <a:noFill/>
                          <a:ln>
                            <a:noFill/>
                          </a:ln>
                        </pic:spPr>
                      </pic:pic>
                    </a:graphicData>
                  </a:graphic>
                </wp:inline>
              </w:drawing>
            </w:r>
          </w:p>
          <w:p w14:paraId="36664A0D">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color w:val="auto"/>
                <w:sz w:val="24"/>
                <w:highlight w:val="none"/>
              </w:rPr>
              <w:t>式中：</w:t>
            </w:r>
            <w:r>
              <w:rPr>
                <w:color w:val="auto"/>
                <w:position w:val="1"/>
                <w:sz w:val="24"/>
                <w:highlight w:val="none"/>
              </w:rPr>
              <w:t>L</w:t>
            </w:r>
            <w:r>
              <w:rPr>
                <w:color w:val="auto"/>
                <w:position w:val="1"/>
                <w:sz w:val="24"/>
                <w:highlight w:val="none"/>
                <w:vertAlign w:val="subscript"/>
              </w:rPr>
              <w:t>p1</w:t>
            </w:r>
            <w:r>
              <w:rPr>
                <w:color w:val="auto"/>
                <w:position w:val="1"/>
                <w:sz w:val="24"/>
                <w:highlight w:val="none"/>
              </w:rPr>
              <w:t>——</w:t>
            </w:r>
            <w:r>
              <w:rPr>
                <w:color w:val="auto"/>
                <w:sz w:val="24"/>
                <w:highlight w:val="none"/>
              </w:rPr>
              <w:t>靠近开口处（或窗户）室内某倍频带的声压级或</w:t>
            </w:r>
            <w:r>
              <w:rPr>
                <w:color w:val="auto"/>
                <w:position w:val="1"/>
                <w:sz w:val="24"/>
                <w:highlight w:val="none"/>
              </w:rPr>
              <w:t>A</w:t>
            </w:r>
            <w:r>
              <w:rPr>
                <w:color w:val="auto"/>
                <w:sz w:val="24"/>
                <w:highlight w:val="none"/>
              </w:rPr>
              <w:t>声级，</w:t>
            </w:r>
            <w:r>
              <w:rPr>
                <w:color w:val="auto"/>
                <w:position w:val="1"/>
                <w:sz w:val="24"/>
                <w:highlight w:val="none"/>
              </w:rPr>
              <w:t>dB</w:t>
            </w:r>
            <w:r>
              <w:rPr>
                <w:color w:val="auto"/>
                <w:sz w:val="24"/>
                <w:highlight w:val="none"/>
              </w:rPr>
              <w:t>；</w:t>
            </w:r>
          </w:p>
          <w:p w14:paraId="211093E6">
            <w:pPr>
              <w:keepNext w:val="0"/>
              <w:keepLines w:val="0"/>
              <w:suppressLineNumbers w:val="0"/>
              <w:adjustRightInd w:val="0"/>
              <w:spacing w:before="0" w:beforeAutospacing="0" w:after="0" w:afterAutospacing="0" w:line="360" w:lineRule="auto"/>
              <w:ind w:left="0" w:right="0" w:firstLine="1200" w:firstLineChars="500"/>
              <w:rPr>
                <w:color w:val="auto"/>
                <w:sz w:val="24"/>
                <w:highlight w:val="none"/>
              </w:rPr>
            </w:pPr>
            <w:r>
              <w:rPr>
                <w:color w:val="auto"/>
                <w:position w:val="1"/>
                <w:sz w:val="24"/>
                <w:highlight w:val="none"/>
              </w:rPr>
              <w:t>L</w:t>
            </w:r>
            <w:r>
              <w:rPr>
                <w:color w:val="auto"/>
                <w:position w:val="1"/>
                <w:sz w:val="24"/>
                <w:highlight w:val="none"/>
                <w:vertAlign w:val="subscript"/>
              </w:rPr>
              <w:t>p2</w:t>
            </w:r>
            <w:r>
              <w:rPr>
                <w:color w:val="auto"/>
                <w:position w:val="1"/>
                <w:sz w:val="24"/>
                <w:highlight w:val="none"/>
              </w:rPr>
              <w:t>——</w:t>
            </w:r>
            <w:r>
              <w:rPr>
                <w:color w:val="auto"/>
                <w:sz w:val="24"/>
                <w:highlight w:val="none"/>
              </w:rPr>
              <w:t>靠近开口处（或窗户）室外某倍频带的声压级或</w:t>
            </w:r>
            <w:r>
              <w:rPr>
                <w:color w:val="auto"/>
                <w:position w:val="1"/>
                <w:sz w:val="24"/>
                <w:highlight w:val="none"/>
              </w:rPr>
              <w:t>A</w:t>
            </w:r>
            <w:r>
              <w:rPr>
                <w:color w:val="auto"/>
                <w:sz w:val="24"/>
                <w:highlight w:val="none"/>
              </w:rPr>
              <w:t>声级，</w:t>
            </w:r>
            <w:r>
              <w:rPr>
                <w:color w:val="auto"/>
                <w:position w:val="1"/>
                <w:sz w:val="24"/>
                <w:highlight w:val="none"/>
              </w:rPr>
              <w:t>dB</w:t>
            </w:r>
            <w:r>
              <w:rPr>
                <w:color w:val="auto"/>
                <w:sz w:val="24"/>
                <w:highlight w:val="none"/>
              </w:rPr>
              <w:t>；</w:t>
            </w:r>
          </w:p>
          <w:p w14:paraId="28F6F551">
            <w:pPr>
              <w:keepNext w:val="0"/>
              <w:keepLines w:val="0"/>
              <w:suppressLineNumbers w:val="0"/>
              <w:spacing w:before="0" w:beforeAutospacing="0" w:after="0" w:afterAutospacing="0" w:line="360" w:lineRule="auto"/>
              <w:ind w:left="0" w:right="0" w:firstLine="1200" w:firstLineChars="500"/>
              <w:rPr>
                <w:color w:val="auto"/>
                <w:sz w:val="24"/>
                <w:highlight w:val="none"/>
              </w:rPr>
            </w:pPr>
            <w:r>
              <w:rPr>
                <w:color w:val="auto"/>
                <w:position w:val="1"/>
                <w:sz w:val="24"/>
                <w:highlight w:val="none"/>
              </w:rPr>
              <w:t>TL——</w:t>
            </w:r>
            <w:r>
              <w:rPr>
                <w:color w:val="auto"/>
                <w:sz w:val="24"/>
                <w:highlight w:val="none"/>
              </w:rPr>
              <w:t xml:space="preserve">隔墙（或窗户）倍频带或 </w:t>
            </w:r>
            <w:r>
              <w:rPr>
                <w:color w:val="auto"/>
                <w:position w:val="1"/>
                <w:sz w:val="24"/>
                <w:highlight w:val="none"/>
              </w:rPr>
              <w:t xml:space="preserve">A </w:t>
            </w:r>
            <w:r>
              <w:rPr>
                <w:color w:val="auto"/>
                <w:sz w:val="24"/>
                <w:highlight w:val="none"/>
              </w:rPr>
              <w:t>声级的隔声量，</w:t>
            </w:r>
            <w:r>
              <w:rPr>
                <w:color w:val="auto"/>
                <w:position w:val="1"/>
                <w:sz w:val="24"/>
                <w:highlight w:val="none"/>
              </w:rPr>
              <w:t>dB</w:t>
            </w:r>
            <w:r>
              <w:rPr>
                <w:color w:val="auto"/>
                <w:sz w:val="24"/>
                <w:highlight w:val="none"/>
              </w:rPr>
              <w:t>。</w:t>
            </w:r>
          </w:p>
          <w:p w14:paraId="049845FC">
            <w:pPr>
              <w:keepNext/>
              <w:keepLines/>
              <w:suppressLineNumbers w:val="0"/>
              <w:spacing w:before="0" w:beforeAutospacing="0" w:after="0" w:afterAutospacing="0" w:line="360" w:lineRule="auto"/>
              <w:ind w:left="0" w:right="0" w:firstLine="480" w:firstLineChars="200"/>
              <w:outlineLvl w:val="3"/>
              <w:rPr>
                <w:bCs/>
                <w:color w:val="auto"/>
                <w:sz w:val="24"/>
                <w:highlight w:val="none"/>
              </w:rPr>
            </w:pPr>
            <w:r>
              <w:rPr>
                <w:rFonts w:hint="eastAsia"/>
                <w:bCs/>
                <w:color w:val="auto"/>
                <w:sz w:val="24"/>
                <w:highlight w:val="none"/>
              </w:rPr>
              <w:t>③</w:t>
            </w:r>
            <w:r>
              <w:rPr>
                <w:bCs/>
                <w:color w:val="auto"/>
                <w:sz w:val="24"/>
                <w:highlight w:val="none"/>
              </w:rPr>
              <w:t>工业企业噪声计算</w:t>
            </w:r>
          </w:p>
          <w:p w14:paraId="5D43A2EF">
            <w:pPr>
              <w:keepNext w:val="0"/>
              <w:keepLines w:val="0"/>
              <w:suppressLineNumbers w:val="0"/>
              <w:adjustRightInd w:val="0"/>
              <w:snapToGrid w:val="0"/>
              <w:spacing w:before="0" w:beforeAutospacing="0" w:after="0" w:afterAutospacing="0" w:line="360" w:lineRule="auto"/>
              <w:ind w:left="0" w:right="0" w:firstLine="480" w:firstLineChars="200"/>
              <w:jc w:val="center"/>
              <w:rPr>
                <w:color w:val="auto"/>
                <w:sz w:val="24"/>
                <w:highlight w:val="none"/>
              </w:rPr>
            </w:pPr>
            <w:r>
              <w:rPr>
                <w:color w:val="auto"/>
                <w:sz w:val="24"/>
                <w:highlight w:val="none"/>
              </w:rPr>
              <w:drawing>
                <wp:inline distT="0" distB="0" distL="0" distR="0">
                  <wp:extent cx="2352675" cy="552450"/>
                  <wp:effectExtent l="19050" t="0" r="9525" b="0"/>
                  <wp:docPr id="1871" name="图片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图片 1871"/>
                          <pic:cNvPicPr>
                            <a:picLocks noChangeAspect="1" noChangeArrowheads="1"/>
                          </pic:cNvPicPr>
                        </pic:nvPicPr>
                        <pic:blipFill>
                          <a:blip r:embed="rId22" cstate="print">
                            <a:lum contrast="10000"/>
                            <a:extLst>
                              <a:ext uri="{28A0092B-C50C-407E-A947-70E740481C1C}">
                                <a14:useLocalDpi xmlns:a14="http://schemas.microsoft.com/office/drawing/2010/main" val="0"/>
                              </a:ext>
                            </a:extLst>
                          </a:blip>
                          <a:srcRect/>
                          <a:stretch>
                            <a:fillRect/>
                          </a:stretch>
                        </pic:blipFill>
                        <pic:spPr>
                          <a:xfrm>
                            <a:off x="0" y="0"/>
                            <a:ext cx="2352675" cy="552450"/>
                          </a:xfrm>
                          <a:prstGeom prst="rect">
                            <a:avLst/>
                          </a:prstGeom>
                          <a:noFill/>
                          <a:ln>
                            <a:noFill/>
                          </a:ln>
                        </pic:spPr>
                      </pic:pic>
                    </a:graphicData>
                  </a:graphic>
                </wp:inline>
              </w:drawing>
            </w:r>
          </w:p>
          <w:p w14:paraId="168BCE5A">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式中：</w:t>
            </w:r>
            <w:r>
              <w:rPr>
                <w:iCs/>
                <w:color w:val="auto"/>
                <w:kern w:val="0"/>
                <w:sz w:val="24"/>
                <w:highlight w:val="none"/>
              </w:rPr>
              <w:t>L</w:t>
            </w:r>
            <w:r>
              <w:rPr>
                <w:color w:val="auto"/>
                <w:kern w:val="0"/>
                <w:sz w:val="24"/>
                <w:highlight w:val="none"/>
                <w:vertAlign w:val="subscript"/>
              </w:rPr>
              <w:t>eqg</w:t>
            </w:r>
            <w:r>
              <w:rPr>
                <w:color w:val="auto"/>
                <w:sz w:val="24"/>
                <w:highlight w:val="none"/>
                <w:vertAlign w:val="subscript"/>
              </w:rPr>
              <w:t xml:space="preserve"> </w:t>
            </w:r>
            <w:r>
              <w:rPr>
                <w:bCs/>
                <w:color w:val="auto"/>
                <w:kern w:val="0"/>
                <w:sz w:val="24"/>
                <w:highlight w:val="none"/>
              </w:rPr>
              <w:t>——</w:t>
            </w:r>
            <w:r>
              <w:rPr>
                <w:color w:val="auto"/>
                <w:kern w:val="0"/>
                <w:sz w:val="24"/>
                <w:highlight w:val="none"/>
              </w:rPr>
              <w:t>建设项目声源在预测点产生的噪声贡献值，dB；</w:t>
            </w:r>
          </w:p>
          <w:p w14:paraId="53D94CFE">
            <w:pPr>
              <w:keepNext w:val="0"/>
              <w:keepLines w:val="0"/>
              <w:suppressLineNumbers w:val="0"/>
              <w:adjustRightInd w:val="0"/>
              <w:snapToGrid w:val="0"/>
              <w:spacing w:before="0" w:beforeAutospacing="0" w:after="0" w:afterAutospacing="0" w:line="360" w:lineRule="auto"/>
              <w:ind w:left="0" w:right="0" w:firstLine="1200" w:firstLineChars="500"/>
              <w:rPr>
                <w:color w:val="auto"/>
                <w:sz w:val="24"/>
                <w:highlight w:val="none"/>
              </w:rPr>
            </w:pPr>
            <w:r>
              <w:rPr>
                <w:color w:val="auto"/>
                <w:sz w:val="24"/>
                <w:highlight w:val="none"/>
              </w:rPr>
              <w:t>L</w:t>
            </w:r>
            <w:r>
              <w:rPr>
                <w:color w:val="auto"/>
                <w:sz w:val="24"/>
                <w:highlight w:val="none"/>
                <w:vertAlign w:val="subscript"/>
              </w:rPr>
              <w:t>Ai</w:t>
            </w:r>
            <w:r>
              <w:rPr>
                <w:bCs/>
                <w:color w:val="auto"/>
                <w:kern w:val="0"/>
                <w:sz w:val="24"/>
                <w:highlight w:val="none"/>
              </w:rPr>
              <w:t>——第i个室外声源在预测点产生的A声级，dB；</w:t>
            </w:r>
          </w:p>
          <w:p w14:paraId="5FAF2282">
            <w:pPr>
              <w:keepNext w:val="0"/>
              <w:keepLines w:val="0"/>
              <w:suppressLineNumbers w:val="0"/>
              <w:autoSpaceDE w:val="0"/>
              <w:autoSpaceDN w:val="0"/>
              <w:adjustRightInd w:val="0"/>
              <w:snapToGrid w:val="0"/>
              <w:spacing w:before="0" w:beforeAutospacing="0" w:after="0" w:afterAutospacing="0" w:line="360" w:lineRule="auto"/>
              <w:ind w:left="0" w:right="0" w:firstLine="1200" w:firstLineChars="500"/>
              <w:rPr>
                <w:color w:val="auto"/>
                <w:kern w:val="0"/>
                <w:sz w:val="24"/>
                <w:highlight w:val="none"/>
              </w:rPr>
            </w:pPr>
            <w:r>
              <w:rPr>
                <w:iCs/>
                <w:color w:val="auto"/>
                <w:kern w:val="0"/>
                <w:sz w:val="24"/>
                <w:highlight w:val="none"/>
              </w:rPr>
              <w:t xml:space="preserve">T </w:t>
            </w:r>
            <w:r>
              <w:rPr>
                <w:color w:val="auto"/>
                <w:kern w:val="0"/>
                <w:sz w:val="24"/>
                <w:highlight w:val="none"/>
              </w:rPr>
              <w:t>——用于计算等效声级的时间，s；</w:t>
            </w:r>
          </w:p>
          <w:p w14:paraId="66065332">
            <w:pPr>
              <w:keepNext w:val="0"/>
              <w:keepLines w:val="0"/>
              <w:suppressLineNumbers w:val="0"/>
              <w:autoSpaceDE w:val="0"/>
              <w:autoSpaceDN w:val="0"/>
              <w:adjustRightInd w:val="0"/>
              <w:snapToGrid w:val="0"/>
              <w:spacing w:before="0" w:beforeAutospacing="0" w:after="0" w:afterAutospacing="0" w:line="360" w:lineRule="auto"/>
              <w:ind w:left="0" w:right="0" w:firstLine="1200" w:firstLineChars="500"/>
              <w:rPr>
                <w:color w:val="auto"/>
                <w:kern w:val="0"/>
                <w:sz w:val="24"/>
                <w:highlight w:val="none"/>
              </w:rPr>
            </w:pPr>
            <w:r>
              <w:rPr>
                <w:iCs/>
                <w:color w:val="auto"/>
                <w:kern w:val="0"/>
                <w:sz w:val="24"/>
                <w:highlight w:val="none"/>
              </w:rPr>
              <w:t xml:space="preserve">N </w:t>
            </w:r>
            <w:r>
              <w:rPr>
                <w:color w:val="auto"/>
                <w:kern w:val="0"/>
                <w:sz w:val="24"/>
                <w:highlight w:val="none"/>
              </w:rPr>
              <w:t>——室外声源个数；</w:t>
            </w:r>
          </w:p>
          <w:p w14:paraId="20A1E5E2">
            <w:pPr>
              <w:keepNext w:val="0"/>
              <w:keepLines w:val="0"/>
              <w:suppressLineNumbers w:val="0"/>
              <w:autoSpaceDE w:val="0"/>
              <w:autoSpaceDN w:val="0"/>
              <w:adjustRightInd w:val="0"/>
              <w:snapToGrid w:val="0"/>
              <w:spacing w:before="0" w:beforeAutospacing="0" w:after="0" w:afterAutospacing="0" w:line="360" w:lineRule="auto"/>
              <w:ind w:left="0" w:right="0" w:firstLine="1200" w:firstLineChars="500"/>
              <w:rPr>
                <w:color w:val="auto"/>
                <w:kern w:val="0"/>
                <w:sz w:val="24"/>
                <w:highlight w:val="none"/>
              </w:rPr>
            </w:pPr>
            <w:r>
              <w:rPr>
                <w:iCs/>
                <w:color w:val="auto"/>
                <w:kern w:val="0"/>
                <w:sz w:val="24"/>
                <w:highlight w:val="none"/>
              </w:rPr>
              <w:t xml:space="preserve">t </w:t>
            </w:r>
            <w:r>
              <w:rPr>
                <w:iCs/>
                <w:color w:val="auto"/>
                <w:kern w:val="0"/>
                <w:sz w:val="24"/>
                <w:highlight w:val="none"/>
                <w:vertAlign w:val="subscript"/>
              </w:rPr>
              <w:t xml:space="preserve">i </w:t>
            </w:r>
            <w:r>
              <w:rPr>
                <w:color w:val="auto"/>
                <w:kern w:val="0"/>
                <w:sz w:val="24"/>
                <w:highlight w:val="none"/>
              </w:rPr>
              <w:t>——在</w:t>
            </w:r>
            <w:r>
              <w:rPr>
                <w:iCs/>
                <w:color w:val="auto"/>
                <w:kern w:val="0"/>
                <w:sz w:val="24"/>
                <w:highlight w:val="none"/>
              </w:rPr>
              <w:t>T</w:t>
            </w:r>
            <w:r>
              <w:rPr>
                <w:color w:val="auto"/>
                <w:kern w:val="0"/>
                <w:sz w:val="24"/>
                <w:highlight w:val="none"/>
              </w:rPr>
              <w:t>时间内</w:t>
            </w:r>
            <w:r>
              <w:rPr>
                <w:iCs/>
                <w:color w:val="auto"/>
                <w:kern w:val="0"/>
                <w:sz w:val="24"/>
                <w:highlight w:val="none"/>
              </w:rPr>
              <w:t>i</w:t>
            </w:r>
            <w:r>
              <w:rPr>
                <w:color w:val="auto"/>
                <w:kern w:val="0"/>
                <w:sz w:val="24"/>
                <w:highlight w:val="none"/>
              </w:rPr>
              <w:t>声源工作时间，s；</w:t>
            </w:r>
          </w:p>
          <w:p w14:paraId="07A1FEB8">
            <w:pPr>
              <w:keepNext w:val="0"/>
              <w:keepLines w:val="0"/>
              <w:suppressLineNumbers w:val="0"/>
              <w:autoSpaceDE w:val="0"/>
              <w:autoSpaceDN w:val="0"/>
              <w:adjustRightInd w:val="0"/>
              <w:snapToGrid w:val="0"/>
              <w:spacing w:before="0" w:beforeAutospacing="0" w:after="0" w:afterAutospacing="0" w:line="360" w:lineRule="auto"/>
              <w:ind w:left="0" w:right="0" w:firstLine="1200" w:firstLineChars="500"/>
              <w:rPr>
                <w:color w:val="auto"/>
                <w:kern w:val="0"/>
                <w:sz w:val="24"/>
                <w:highlight w:val="none"/>
              </w:rPr>
            </w:pPr>
            <w:r>
              <w:rPr>
                <w:iCs/>
                <w:color w:val="auto"/>
                <w:kern w:val="0"/>
                <w:sz w:val="24"/>
                <w:highlight w:val="none"/>
              </w:rPr>
              <w:t xml:space="preserve">M </w:t>
            </w:r>
            <w:r>
              <w:rPr>
                <w:color w:val="auto"/>
                <w:kern w:val="0"/>
                <w:sz w:val="24"/>
                <w:highlight w:val="none"/>
              </w:rPr>
              <w:t>——等效室外声源个数；</w:t>
            </w:r>
          </w:p>
          <w:p w14:paraId="4ACBD7D9">
            <w:pPr>
              <w:keepNext/>
              <w:keepLines/>
              <w:suppressLineNumbers w:val="0"/>
              <w:adjustRightInd w:val="0"/>
              <w:snapToGrid w:val="0"/>
              <w:spacing w:before="0" w:beforeAutospacing="0" w:after="0" w:afterAutospacing="0" w:line="360" w:lineRule="auto"/>
              <w:ind w:left="0" w:right="0" w:firstLine="1200" w:firstLineChars="500"/>
              <w:outlineLvl w:val="3"/>
              <w:rPr>
                <w:bCs/>
                <w:color w:val="auto"/>
                <w:kern w:val="0"/>
                <w:sz w:val="24"/>
                <w:highlight w:val="none"/>
              </w:rPr>
            </w:pPr>
            <w:r>
              <w:rPr>
                <w:bCs/>
                <w:iCs/>
                <w:color w:val="auto"/>
                <w:kern w:val="0"/>
                <w:sz w:val="24"/>
                <w:highlight w:val="none"/>
              </w:rPr>
              <w:t xml:space="preserve">t </w:t>
            </w:r>
            <w:r>
              <w:rPr>
                <w:bCs/>
                <w:iCs/>
                <w:color w:val="auto"/>
                <w:kern w:val="0"/>
                <w:sz w:val="24"/>
                <w:highlight w:val="none"/>
                <w:vertAlign w:val="subscript"/>
              </w:rPr>
              <w:t xml:space="preserve">j </w:t>
            </w:r>
            <w:r>
              <w:rPr>
                <w:bCs/>
                <w:color w:val="auto"/>
                <w:kern w:val="0"/>
                <w:sz w:val="24"/>
                <w:highlight w:val="none"/>
              </w:rPr>
              <w:t>——在</w:t>
            </w:r>
            <w:r>
              <w:rPr>
                <w:bCs/>
                <w:iCs/>
                <w:color w:val="auto"/>
                <w:kern w:val="0"/>
                <w:sz w:val="24"/>
                <w:highlight w:val="none"/>
              </w:rPr>
              <w:t>T</w:t>
            </w:r>
            <w:r>
              <w:rPr>
                <w:bCs/>
                <w:color w:val="auto"/>
                <w:kern w:val="0"/>
                <w:sz w:val="24"/>
                <w:highlight w:val="none"/>
              </w:rPr>
              <w:t>时间内</w:t>
            </w:r>
            <w:r>
              <w:rPr>
                <w:bCs/>
                <w:iCs/>
                <w:color w:val="auto"/>
                <w:kern w:val="0"/>
                <w:sz w:val="24"/>
                <w:highlight w:val="none"/>
              </w:rPr>
              <w:t>j</w:t>
            </w:r>
            <w:r>
              <w:rPr>
                <w:bCs/>
                <w:color w:val="auto"/>
                <w:kern w:val="0"/>
                <w:sz w:val="24"/>
                <w:highlight w:val="none"/>
              </w:rPr>
              <w:t>声源工作时间，s。</w:t>
            </w:r>
          </w:p>
          <w:p w14:paraId="12F9E251">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④</w:t>
            </w:r>
            <w:r>
              <w:rPr>
                <w:color w:val="auto"/>
                <w:sz w:val="24"/>
                <w:highlight w:val="none"/>
              </w:rPr>
              <w:t>噪声预测值</w:t>
            </w:r>
          </w:p>
          <w:p w14:paraId="23384B63">
            <w:pPr>
              <w:keepNext w:val="0"/>
              <w:keepLines w:val="0"/>
              <w:suppressLineNumbers w:val="0"/>
              <w:autoSpaceDE w:val="0"/>
              <w:autoSpaceDN w:val="0"/>
              <w:adjustRightInd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噪声预测值（L</w:t>
            </w:r>
            <w:r>
              <w:rPr>
                <w:color w:val="auto"/>
                <w:kern w:val="0"/>
                <w:sz w:val="24"/>
                <w:highlight w:val="none"/>
                <w:vertAlign w:val="subscript"/>
              </w:rPr>
              <w:t>eq</w:t>
            </w:r>
            <w:r>
              <w:rPr>
                <w:color w:val="auto"/>
                <w:kern w:val="0"/>
                <w:sz w:val="24"/>
                <w:highlight w:val="none"/>
              </w:rPr>
              <w:t>）计算公式为：</w:t>
            </w:r>
          </w:p>
          <w:p w14:paraId="641E29FA">
            <w:pPr>
              <w:keepNext w:val="0"/>
              <w:keepLines w:val="0"/>
              <w:suppressLineNumbers w:val="0"/>
              <w:autoSpaceDE w:val="0"/>
              <w:autoSpaceDN w:val="0"/>
              <w:adjustRightInd w:val="0"/>
              <w:spacing w:before="0" w:beforeAutospacing="0" w:after="0" w:afterAutospacing="0" w:line="360" w:lineRule="auto"/>
              <w:ind w:left="0" w:right="0" w:firstLine="480" w:firstLineChars="200"/>
              <w:jc w:val="center"/>
              <w:rPr>
                <w:color w:val="auto"/>
                <w:kern w:val="0"/>
                <w:sz w:val="24"/>
                <w:highlight w:val="none"/>
              </w:rPr>
            </w:pPr>
            <w:r>
              <w:rPr>
                <w:color w:val="auto"/>
                <w:kern w:val="0"/>
                <w:sz w:val="24"/>
                <w:highlight w:val="none"/>
              </w:rPr>
              <w:drawing>
                <wp:inline distT="0" distB="0" distL="0" distR="0">
                  <wp:extent cx="1924050" cy="295275"/>
                  <wp:effectExtent l="19050" t="0" r="0" b="0"/>
                  <wp:docPr id="1872" name="图片 1" descr="D:\Documents\WeChat Files\wxid_vi00st8cx2kn51\FileStorage\Temp\1691476312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 name="图片 1" descr="D:\Documents\WeChat Files\wxid_vi00st8cx2kn51\FileStorage\Temp\1691476312207.png"/>
                          <pic:cNvPicPr>
                            <a:picLocks noChangeAspect="1" noChangeArrowheads="1"/>
                          </pic:cNvPicPr>
                        </pic:nvPicPr>
                        <pic:blipFill>
                          <a:blip r:embed="rId23" cstate="print"/>
                          <a:srcRect/>
                          <a:stretch>
                            <a:fillRect/>
                          </a:stretch>
                        </pic:blipFill>
                        <pic:spPr>
                          <a:xfrm>
                            <a:off x="0" y="0"/>
                            <a:ext cx="1924050" cy="295275"/>
                          </a:xfrm>
                          <a:prstGeom prst="rect">
                            <a:avLst/>
                          </a:prstGeom>
                          <a:noFill/>
                          <a:ln w="9525">
                            <a:noFill/>
                            <a:miter lim="800000"/>
                            <a:headEnd/>
                            <a:tailEnd/>
                          </a:ln>
                        </pic:spPr>
                      </pic:pic>
                    </a:graphicData>
                  </a:graphic>
                </wp:inline>
              </w:drawing>
            </w:r>
          </w:p>
          <w:p w14:paraId="5D37E85D">
            <w:pPr>
              <w:keepNext w:val="0"/>
              <w:keepLines w:val="0"/>
              <w:suppressLineNumbers w:val="0"/>
              <w:autoSpaceDE w:val="0"/>
              <w:autoSpaceDN w:val="0"/>
              <w:adjustRightInd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式中：L</w:t>
            </w:r>
            <w:r>
              <w:rPr>
                <w:color w:val="auto"/>
                <w:kern w:val="0"/>
                <w:sz w:val="24"/>
                <w:highlight w:val="none"/>
                <w:vertAlign w:val="subscript"/>
              </w:rPr>
              <w:t>eq</w:t>
            </w:r>
            <w:r>
              <w:rPr>
                <w:color w:val="auto"/>
                <w:kern w:val="0"/>
                <w:sz w:val="24"/>
                <w:highlight w:val="none"/>
              </w:rPr>
              <w:t>——预测点的噪声预测值，dB；</w:t>
            </w:r>
          </w:p>
          <w:p w14:paraId="7BE0FD3E">
            <w:pPr>
              <w:keepNext w:val="0"/>
              <w:keepLines w:val="0"/>
              <w:suppressLineNumbers w:val="0"/>
              <w:autoSpaceDE w:val="0"/>
              <w:autoSpaceDN w:val="0"/>
              <w:adjustRightInd w:val="0"/>
              <w:spacing w:before="0" w:beforeAutospacing="0" w:after="0" w:afterAutospacing="0" w:line="360" w:lineRule="auto"/>
              <w:ind w:left="0" w:right="0" w:firstLine="1200" w:firstLineChars="500"/>
              <w:rPr>
                <w:color w:val="auto"/>
                <w:kern w:val="0"/>
                <w:sz w:val="24"/>
                <w:highlight w:val="none"/>
              </w:rPr>
            </w:pPr>
            <w:r>
              <w:rPr>
                <w:iCs/>
                <w:color w:val="auto"/>
                <w:kern w:val="0"/>
                <w:sz w:val="24"/>
                <w:highlight w:val="none"/>
              </w:rPr>
              <w:t>L</w:t>
            </w:r>
            <w:r>
              <w:rPr>
                <w:iCs/>
                <w:color w:val="auto"/>
                <w:kern w:val="0"/>
                <w:sz w:val="24"/>
                <w:highlight w:val="none"/>
                <w:vertAlign w:val="subscript"/>
              </w:rPr>
              <w:t>eqg</w:t>
            </w:r>
            <w:r>
              <w:rPr>
                <w:color w:val="auto"/>
                <w:kern w:val="0"/>
                <w:sz w:val="24"/>
                <w:highlight w:val="none"/>
              </w:rPr>
              <w:t>——建设项目声源在预测点产生的噪声贡献值，dB；</w:t>
            </w:r>
          </w:p>
          <w:p w14:paraId="6D3B804F">
            <w:pPr>
              <w:keepNext w:val="0"/>
              <w:keepLines w:val="0"/>
              <w:suppressLineNumbers w:val="0"/>
              <w:autoSpaceDE w:val="0"/>
              <w:autoSpaceDN w:val="0"/>
              <w:adjustRightInd w:val="0"/>
              <w:spacing w:before="0" w:beforeAutospacing="0" w:after="0" w:afterAutospacing="0" w:line="360" w:lineRule="auto"/>
              <w:ind w:left="0" w:right="0" w:firstLine="1200" w:firstLineChars="500"/>
              <w:rPr>
                <w:color w:val="auto"/>
                <w:kern w:val="0"/>
                <w:sz w:val="24"/>
                <w:highlight w:val="none"/>
              </w:rPr>
            </w:pPr>
            <w:r>
              <w:rPr>
                <w:iCs/>
                <w:color w:val="auto"/>
                <w:kern w:val="0"/>
                <w:sz w:val="24"/>
                <w:highlight w:val="none"/>
              </w:rPr>
              <w:t>L</w:t>
            </w:r>
            <w:r>
              <w:rPr>
                <w:color w:val="auto"/>
                <w:kern w:val="0"/>
                <w:sz w:val="24"/>
                <w:highlight w:val="none"/>
                <w:vertAlign w:val="subscript"/>
              </w:rPr>
              <w:t>eqb</w:t>
            </w:r>
            <w:r>
              <w:rPr>
                <w:color w:val="auto"/>
                <w:kern w:val="0"/>
                <w:sz w:val="24"/>
                <w:highlight w:val="none"/>
              </w:rPr>
              <w:t>——预测点的背景噪声值，dB。</w:t>
            </w:r>
          </w:p>
          <w:p w14:paraId="19677834">
            <w:pPr>
              <w:keepNext w:val="0"/>
              <w:keepLines w:val="0"/>
              <w:suppressLineNumbers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本项目厂界噪声预测结果见下表。</w:t>
            </w:r>
          </w:p>
          <w:p w14:paraId="1DBA863C">
            <w:pPr>
              <w:keepNext w:val="0"/>
              <w:keepLines w:val="0"/>
              <w:suppressLineNumbers w:val="0"/>
              <w:spacing w:before="0" w:beforeAutospacing="0" w:after="0" w:afterAutospacing="0" w:line="360" w:lineRule="exact"/>
              <w:ind w:left="0" w:right="0"/>
              <w:jc w:val="center"/>
              <w:rPr>
                <w:color w:val="auto"/>
                <w:sz w:val="24"/>
                <w:highlight w:val="none"/>
              </w:rPr>
            </w:pPr>
            <w:r>
              <w:rPr>
                <w:rFonts w:hint="eastAsia"/>
                <w:color w:val="auto"/>
                <w:sz w:val="24"/>
                <w:highlight w:val="none"/>
              </w:rPr>
              <w:t>表4-</w:t>
            </w:r>
            <w:r>
              <w:rPr>
                <w:rFonts w:hint="eastAsia"/>
                <w:color w:val="auto"/>
                <w:sz w:val="24"/>
                <w:highlight w:val="none"/>
                <w:lang w:val="en-US" w:eastAsia="zh-CN"/>
              </w:rPr>
              <w:t>12</w:t>
            </w:r>
            <w:r>
              <w:rPr>
                <w:rFonts w:hint="eastAsia"/>
                <w:color w:val="auto"/>
                <w:sz w:val="24"/>
                <w:highlight w:val="none"/>
              </w:rPr>
              <w:t xml:space="preserve">  本项目厂界的噪声预测结果单位：dB(A)</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77"/>
              <w:gridCol w:w="676"/>
              <w:gridCol w:w="678"/>
              <w:gridCol w:w="690"/>
              <w:gridCol w:w="660"/>
              <w:gridCol w:w="1029"/>
              <w:gridCol w:w="1029"/>
              <w:gridCol w:w="763"/>
              <w:gridCol w:w="763"/>
              <w:gridCol w:w="762"/>
            </w:tblGrid>
            <w:tr w14:paraId="5F8DBE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1" w:hRule="exact"/>
                <w:jc w:val="center"/>
              </w:trPr>
              <w:tc>
                <w:tcPr>
                  <w:tcW w:w="777" w:type="dxa"/>
                  <w:vMerge w:val="restart"/>
                  <w:vAlign w:val="center"/>
                </w:tcPr>
                <w:p w14:paraId="73152500">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预测点位</w:t>
                  </w:r>
                </w:p>
              </w:tc>
              <w:tc>
                <w:tcPr>
                  <w:tcW w:w="2044" w:type="dxa"/>
                  <w:gridSpan w:val="3"/>
                  <w:vAlign w:val="center"/>
                </w:tcPr>
                <w:p w14:paraId="169EF592">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最大值点空间相对位置/m</w:t>
                  </w:r>
                </w:p>
              </w:tc>
              <w:tc>
                <w:tcPr>
                  <w:tcW w:w="660" w:type="dxa"/>
                  <w:vMerge w:val="restart"/>
                  <w:vAlign w:val="center"/>
                </w:tcPr>
                <w:p w14:paraId="7C98F00C">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时段</w:t>
                  </w:r>
                </w:p>
              </w:tc>
              <w:tc>
                <w:tcPr>
                  <w:tcW w:w="1029" w:type="dxa"/>
                  <w:vMerge w:val="restart"/>
                  <w:vAlign w:val="center"/>
                </w:tcPr>
                <w:p w14:paraId="17E6952F">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原项目贡献值</w:t>
                  </w:r>
                </w:p>
              </w:tc>
              <w:tc>
                <w:tcPr>
                  <w:tcW w:w="1029" w:type="dxa"/>
                  <w:vMerge w:val="restart"/>
                  <w:vAlign w:val="center"/>
                </w:tcPr>
                <w:p w14:paraId="1F0EBB2D">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lang w:val="en-US" w:eastAsia="zh-CN"/>
                    </w:rPr>
                    <w:t>本项目</w:t>
                  </w:r>
                  <w:r>
                    <w:rPr>
                      <w:color w:val="auto"/>
                      <w:szCs w:val="21"/>
                      <w:highlight w:val="none"/>
                    </w:rPr>
                    <w:t>贡献值</w:t>
                  </w:r>
                </w:p>
              </w:tc>
              <w:tc>
                <w:tcPr>
                  <w:tcW w:w="763" w:type="dxa"/>
                  <w:vMerge w:val="restart"/>
                  <w:vAlign w:val="center"/>
                </w:tcPr>
                <w:p w14:paraId="4B2A14C7">
                  <w:pPr>
                    <w:keepNext w:val="0"/>
                    <w:keepLines w:val="0"/>
                    <w:suppressLineNumbers w:val="0"/>
                    <w:spacing w:before="0" w:beforeAutospacing="0" w:after="0" w:afterAutospacing="0"/>
                    <w:ind w:left="0" w:right="-107" w:rightChars="-51"/>
                    <w:jc w:val="center"/>
                    <w:rPr>
                      <w:rFonts w:hint="default"/>
                      <w:color w:val="auto"/>
                      <w:szCs w:val="21"/>
                      <w:highlight w:val="none"/>
                      <w:lang w:val="en-US" w:eastAsia="zh-CN"/>
                    </w:rPr>
                  </w:pPr>
                  <w:r>
                    <w:rPr>
                      <w:rFonts w:hint="eastAsia"/>
                      <w:color w:val="auto"/>
                      <w:szCs w:val="21"/>
                      <w:highlight w:val="none"/>
                      <w:lang w:val="en-US" w:eastAsia="zh-CN"/>
                    </w:rPr>
                    <w:t>预测值</w:t>
                  </w:r>
                </w:p>
              </w:tc>
              <w:tc>
                <w:tcPr>
                  <w:tcW w:w="763" w:type="dxa"/>
                  <w:vAlign w:val="center"/>
                </w:tcPr>
                <w:p w14:paraId="675567F3">
                  <w:pPr>
                    <w:keepNext w:val="0"/>
                    <w:keepLines w:val="0"/>
                    <w:suppressLineNumbers w:val="0"/>
                    <w:spacing w:before="0" w:beforeAutospacing="0" w:after="0" w:afterAutospacing="0"/>
                    <w:ind w:left="0" w:right="-107" w:rightChars="-51"/>
                    <w:jc w:val="center"/>
                    <w:rPr>
                      <w:color w:val="auto"/>
                      <w:szCs w:val="21"/>
                      <w:highlight w:val="none"/>
                    </w:rPr>
                  </w:pPr>
                  <w:r>
                    <w:rPr>
                      <w:color w:val="auto"/>
                      <w:szCs w:val="21"/>
                      <w:highlight w:val="none"/>
                    </w:rPr>
                    <w:t>标准值</w:t>
                  </w:r>
                </w:p>
              </w:tc>
              <w:tc>
                <w:tcPr>
                  <w:tcW w:w="762" w:type="dxa"/>
                  <w:vMerge w:val="restart"/>
                  <w:vAlign w:val="center"/>
                </w:tcPr>
                <w:p w14:paraId="678C00F3">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达标情况</w:t>
                  </w:r>
                </w:p>
              </w:tc>
            </w:tr>
            <w:tr w14:paraId="23664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 w:hRule="exact"/>
                <w:jc w:val="center"/>
              </w:trPr>
              <w:tc>
                <w:tcPr>
                  <w:tcW w:w="777" w:type="dxa"/>
                  <w:vMerge w:val="continue"/>
                  <w:vAlign w:val="center"/>
                </w:tcPr>
                <w:p w14:paraId="7A1B5247">
                  <w:pPr>
                    <w:keepNext w:val="0"/>
                    <w:keepLines w:val="0"/>
                    <w:suppressLineNumbers w:val="0"/>
                    <w:spacing w:before="0" w:beforeAutospacing="0" w:after="0" w:afterAutospacing="0"/>
                    <w:ind w:left="0" w:right="-107" w:rightChars="-51"/>
                    <w:jc w:val="center"/>
                    <w:rPr>
                      <w:color w:val="auto"/>
                      <w:szCs w:val="21"/>
                      <w:highlight w:val="none"/>
                    </w:rPr>
                  </w:pPr>
                </w:p>
              </w:tc>
              <w:tc>
                <w:tcPr>
                  <w:tcW w:w="676" w:type="dxa"/>
                  <w:vAlign w:val="center"/>
                </w:tcPr>
                <w:p w14:paraId="1A2EE3CB">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X</w:t>
                  </w:r>
                </w:p>
              </w:tc>
              <w:tc>
                <w:tcPr>
                  <w:tcW w:w="678" w:type="dxa"/>
                  <w:vAlign w:val="center"/>
                </w:tcPr>
                <w:p w14:paraId="15B0D465">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Y</w:t>
                  </w:r>
                </w:p>
              </w:tc>
              <w:tc>
                <w:tcPr>
                  <w:tcW w:w="690" w:type="dxa"/>
                  <w:vAlign w:val="center"/>
                </w:tcPr>
                <w:p w14:paraId="1325BE4F">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Z</w:t>
                  </w:r>
                </w:p>
              </w:tc>
              <w:tc>
                <w:tcPr>
                  <w:tcW w:w="660" w:type="dxa"/>
                  <w:vMerge w:val="continue"/>
                  <w:vAlign w:val="center"/>
                </w:tcPr>
                <w:p w14:paraId="27DD8F8D">
                  <w:pPr>
                    <w:keepNext w:val="0"/>
                    <w:keepLines w:val="0"/>
                    <w:suppressLineNumbers w:val="0"/>
                    <w:spacing w:before="0" w:beforeAutospacing="0" w:after="0" w:afterAutospacing="0"/>
                    <w:ind w:left="0" w:right="-107" w:rightChars="-51"/>
                    <w:jc w:val="center"/>
                    <w:rPr>
                      <w:color w:val="auto"/>
                      <w:szCs w:val="21"/>
                      <w:highlight w:val="none"/>
                    </w:rPr>
                  </w:pPr>
                </w:p>
              </w:tc>
              <w:tc>
                <w:tcPr>
                  <w:tcW w:w="1029" w:type="dxa"/>
                  <w:vMerge w:val="continue"/>
                  <w:vAlign w:val="center"/>
                </w:tcPr>
                <w:p w14:paraId="47A84BE3">
                  <w:pPr>
                    <w:keepNext w:val="0"/>
                    <w:keepLines w:val="0"/>
                    <w:suppressLineNumbers w:val="0"/>
                    <w:spacing w:before="0" w:beforeAutospacing="0" w:after="0" w:afterAutospacing="0"/>
                    <w:ind w:left="0" w:right="-107" w:rightChars="-51"/>
                    <w:jc w:val="center"/>
                    <w:rPr>
                      <w:color w:val="auto"/>
                      <w:szCs w:val="21"/>
                      <w:highlight w:val="none"/>
                    </w:rPr>
                  </w:pPr>
                </w:p>
              </w:tc>
              <w:tc>
                <w:tcPr>
                  <w:tcW w:w="1029" w:type="dxa"/>
                  <w:vMerge w:val="continue"/>
                  <w:vAlign w:val="center"/>
                </w:tcPr>
                <w:p w14:paraId="03DF84AC">
                  <w:pPr>
                    <w:keepNext w:val="0"/>
                    <w:keepLines w:val="0"/>
                    <w:suppressLineNumbers w:val="0"/>
                    <w:spacing w:before="0" w:beforeAutospacing="0" w:after="0" w:afterAutospacing="0"/>
                    <w:ind w:left="0" w:right="-107" w:rightChars="-51"/>
                    <w:jc w:val="center"/>
                    <w:rPr>
                      <w:color w:val="auto"/>
                      <w:szCs w:val="21"/>
                      <w:highlight w:val="none"/>
                    </w:rPr>
                  </w:pPr>
                </w:p>
              </w:tc>
              <w:tc>
                <w:tcPr>
                  <w:tcW w:w="763" w:type="dxa"/>
                  <w:vMerge w:val="continue"/>
                  <w:vAlign w:val="center"/>
                </w:tcPr>
                <w:p w14:paraId="04F3684E">
                  <w:pPr>
                    <w:keepNext w:val="0"/>
                    <w:keepLines w:val="0"/>
                    <w:suppressLineNumbers w:val="0"/>
                    <w:spacing w:before="0" w:beforeAutospacing="0" w:after="0" w:afterAutospacing="0"/>
                    <w:ind w:left="0" w:right="-107" w:rightChars="-51"/>
                    <w:jc w:val="center"/>
                    <w:rPr>
                      <w:color w:val="auto"/>
                      <w:szCs w:val="21"/>
                      <w:highlight w:val="none"/>
                    </w:rPr>
                  </w:pPr>
                </w:p>
              </w:tc>
              <w:tc>
                <w:tcPr>
                  <w:tcW w:w="763" w:type="dxa"/>
                  <w:vAlign w:val="center"/>
                </w:tcPr>
                <w:p w14:paraId="0570A2A4">
                  <w:pPr>
                    <w:keepNext w:val="0"/>
                    <w:keepLines w:val="0"/>
                    <w:suppressLineNumbers w:val="0"/>
                    <w:spacing w:before="0" w:beforeAutospacing="0" w:after="0" w:afterAutospacing="0"/>
                    <w:ind w:left="0" w:right="-107" w:rightChars="-51"/>
                    <w:jc w:val="center"/>
                    <w:rPr>
                      <w:color w:val="auto"/>
                      <w:szCs w:val="21"/>
                      <w:highlight w:val="none"/>
                    </w:rPr>
                  </w:pPr>
                  <w:r>
                    <w:rPr>
                      <w:color w:val="auto"/>
                      <w:szCs w:val="21"/>
                      <w:highlight w:val="none"/>
                    </w:rPr>
                    <w:t>昼间</w:t>
                  </w:r>
                </w:p>
              </w:tc>
              <w:tc>
                <w:tcPr>
                  <w:tcW w:w="762" w:type="dxa"/>
                  <w:vMerge w:val="continue"/>
                  <w:vAlign w:val="center"/>
                </w:tcPr>
                <w:p w14:paraId="0A8FFEC5">
                  <w:pPr>
                    <w:keepNext w:val="0"/>
                    <w:keepLines w:val="0"/>
                    <w:suppressLineNumbers w:val="0"/>
                    <w:spacing w:before="0" w:beforeAutospacing="0" w:after="0" w:afterAutospacing="0"/>
                    <w:ind w:left="0" w:right="-107" w:rightChars="-51"/>
                    <w:jc w:val="center"/>
                    <w:rPr>
                      <w:color w:val="auto"/>
                      <w:szCs w:val="21"/>
                      <w:highlight w:val="none"/>
                    </w:rPr>
                  </w:pPr>
                </w:p>
              </w:tc>
            </w:tr>
            <w:tr w14:paraId="7A1FA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6" w:hRule="exact"/>
                <w:jc w:val="center"/>
              </w:trPr>
              <w:tc>
                <w:tcPr>
                  <w:tcW w:w="777" w:type="dxa"/>
                  <w:vAlign w:val="center"/>
                </w:tcPr>
                <w:p w14:paraId="476F4917">
                  <w:pPr>
                    <w:keepNext w:val="0"/>
                    <w:keepLines w:val="0"/>
                    <w:suppressLineNumbers w:val="0"/>
                    <w:spacing w:before="0" w:beforeAutospacing="0" w:after="0" w:afterAutospacing="0"/>
                    <w:ind w:left="0" w:right="-107" w:rightChars="-51"/>
                    <w:jc w:val="center"/>
                    <w:rPr>
                      <w:color w:val="auto"/>
                      <w:szCs w:val="21"/>
                      <w:highlight w:val="none"/>
                    </w:rPr>
                  </w:pPr>
                  <w:r>
                    <w:rPr>
                      <w:color w:val="auto"/>
                      <w:szCs w:val="21"/>
                      <w:highlight w:val="none"/>
                    </w:rPr>
                    <w:t>东厂界</w:t>
                  </w:r>
                </w:p>
              </w:tc>
              <w:tc>
                <w:tcPr>
                  <w:tcW w:w="676" w:type="dxa"/>
                  <w:vAlign w:val="center"/>
                </w:tcPr>
                <w:p w14:paraId="7AB17BBB">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208</w:t>
                  </w:r>
                </w:p>
              </w:tc>
              <w:tc>
                <w:tcPr>
                  <w:tcW w:w="678" w:type="dxa"/>
                  <w:vAlign w:val="center"/>
                </w:tcPr>
                <w:p w14:paraId="604352A4">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160</w:t>
                  </w:r>
                </w:p>
              </w:tc>
              <w:tc>
                <w:tcPr>
                  <w:tcW w:w="690" w:type="dxa"/>
                  <w:vAlign w:val="center"/>
                </w:tcPr>
                <w:p w14:paraId="032AD24A">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1.2</w:t>
                  </w:r>
                </w:p>
              </w:tc>
              <w:tc>
                <w:tcPr>
                  <w:tcW w:w="660" w:type="dxa"/>
                  <w:vAlign w:val="center"/>
                </w:tcPr>
                <w:p w14:paraId="4B4600F3">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昼间</w:t>
                  </w:r>
                </w:p>
              </w:tc>
              <w:tc>
                <w:tcPr>
                  <w:tcW w:w="1029" w:type="dxa"/>
                  <w:vAlign w:val="center"/>
                </w:tcPr>
                <w:p w14:paraId="1663B361">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45</w:t>
                  </w:r>
                </w:p>
              </w:tc>
              <w:tc>
                <w:tcPr>
                  <w:tcW w:w="1029" w:type="dxa"/>
                  <w:vAlign w:val="center"/>
                </w:tcPr>
                <w:p w14:paraId="05E88B2D">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14</w:t>
                  </w:r>
                </w:p>
              </w:tc>
              <w:tc>
                <w:tcPr>
                  <w:tcW w:w="763" w:type="dxa"/>
                  <w:shd w:val="clear" w:color="auto" w:fill="auto"/>
                  <w:vAlign w:val="center"/>
                </w:tcPr>
                <w:p w14:paraId="6DBA044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45</w:t>
                  </w:r>
                </w:p>
              </w:tc>
              <w:tc>
                <w:tcPr>
                  <w:tcW w:w="763" w:type="dxa"/>
                  <w:vAlign w:val="center"/>
                </w:tcPr>
                <w:p w14:paraId="16EA1CE7">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65</w:t>
                  </w:r>
                </w:p>
              </w:tc>
              <w:tc>
                <w:tcPr>
                  <w:tcW w:w="762" w:type="dxa"/>
                  <w:vAlign w:val="center"/>
                </w:tcPr>
                <w:p w14:paraId="67BF89AD">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达标</w:t>
                  </w:r>
                </w:p>
              </w:tc>
            </w:tr>
            <w:tr w14:paraId="4E37B4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8" w:hRule="exact"/>
                <w:jc w:val="center"/>
              </w:trPr>
              <w:tc>
                <w:tcPr>
                  <w:tcW w:w="777" w:type="dxa"/>
                  <w:vAlign w:val="center"/>
                </w:tcPr>
                <w:p w14:paraId="0B2295A1">
                  <w:pPr>
                    <w:keepNext w:val="0"/>
                    <w:keepLines w:val="0"/>
                    <w:suppressLineNumbers w:val="0"/>
                    <w:spacing w:before="0" w:beforeAutospacing="0" w:after="0" w:afterAutospacing="0"/>
                    <w:ind w:left="0" w:right="-107" w:rightChars="-51"/>
                    <w:jc w:val="center"/>
                    <w:rPr>
                      <w:color w:val="auto"/>
                      <w:szCs w:val="21"/>
                      <w:highlight w:val="none"/>
                    </w:rPr>
                  </w:pPr>
                  <w:r>
                    <w:rPr>
                      <w:color w:val="auto"/>
                      <w:szCs w:val="21"/>
                      <w:highlight w:val="none"/>
                    </w:rPr>
                    <w:t>南厂界</w:t>
                  </w:r>
                </w:p>
              </w:tc>
              <w:tc>
                <w:tcPr>
                  <w:tcW w:w="676" w:type="dxa"/>
                  <w:vAlign w:val="center"/>
                </w:tcPr>
                <w:p w14:paraId="50A3930A">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150</w:t>
                  </w:r>
                </w:p>
              </w:tc>
              <w:tc>
                <w:tcPr>
                  <w:tcW w:w="678" w:type="dxa"/>
                  <w:vAlign w:val="center"/>
                </w:tcPr>
                <w:p w14:paraId="10B5EEEC">
                  <w:pPr>
                    <w:keepNext w:val="0"/>
                    <w:keepLines w:val="0"/>
                    <w:suppressLineNumbers w:val="0"/>
                    <w:spacing w:before="0" w:beforeAutospacing="0" w:after="0" w:afterAutospacing="0"/>
                    <w:ind w:left="0" w:right="-107" w:rightChars="-51"/>
                    <w:jc w:val="center"/>
                    <w:rPr>
                      <w:rFonts w:hint="eastAsia" w:eastAsia="宋体"/>
                      <w:color w:val="auto"/>
                      <w:szCs w:val="21"/>
                      <w:highlight w:val="none"/>
                      <w:lang w:val="en-US" w:eastAsia="zh-CN"/>
                    </w:rPr>
                  </w:pPr>
                  <w:r>
                    <w:rPr>
                      <w:rFonts w:hint="eastAsia"/>
                      <w:color w:val="auto"/>
                      <w:szCs w:val="21"/>
                      <w:highlight w:val="none"/>
                      <w:lang w:val="en-US" w:eastAsia="zh-CN"/>
                    </w:rPr>
                    <w:t>0</w:t>
                  </w:r>
                </w:p>
              </w:tc>
              <w:tc>
                <w:tcPr>
                  <w:tcW w:w="690" w:type="dxa"/>
                  <w:vAlign w:val="center"/>
                </w:tcPr>
                <w:p w14:paraId="771E06F3">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1.2</w:t>
                  </w:r>
                </w:p>
              </w:tc>
              <w:tc>
                <w:tcPr>
                  <w:tcW w:w="660" w:type="dxa"/>
                  <w:vAlign w:val="center"/>
                </w:tcPr>
                <w:p w14:paraId="67B8D45C">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昼间</w:t>
                  </w:r>
                </w:p>
              </w:tc>
              <w:tc>
                <w:tcPr>
                  <w:tcW w:w="1029" w:type="dxa"/>
                  <w:vAlign w:val="center"/>
                </w:tcPr>
                <w:p w14:paraId="37D2722D">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45</w:t>
                  </w:r>
                </w:p>
              </w:tc>
              <w:tc>
                <w:tcPr>
                  <w:tcW w:w="1029" w:type="dxa"/>
                  <w:vAlign w:val="center"/>
                </w:tcPr>
                <w:p w14:paraId="3AAFAC00">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10</w:t>
                  </w:r>
                </w:p>
              </w:tc>
              <w:tc>
                <w:tcPr>
                  <w:tcW w:w="763" w:type="dxa"/>
                  <w:shd w:val="clear" w:color="auto" w:fill="auto"/>
                  <w:vAlign w:val="center"/>
                </w:tcPr>
                <w:p w14:paraId="66DCE31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45</w:t>
                  </w:r>
                </w:p>
              </w:tc>
              <w:tc>
                <w:tcPr>
                  <w:tcW w:w="763" w:type="dxa"/>
                  <w:vAlign w:val="center"/>
                </w:tcPr>
                <w:p w14:paraId="5E8B8CF6">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65</w:t>
                  </w:r>
                </w:p>
              </w:tc>
              <w:tc>
                <w:tcPr>
                  <w:tcW w:w="762" w:type="dxa"/>
                  <w:vAlign w:val="center"/>
                </w:tcPr>
                <w:p w14:paraId="0B76F057">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达标</w:t>
                  </w:r>
                </w:p>
              </w:tc>
            </w:tr>
            <w:tr w14:paraId="13D0B2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4" w:hRule="exact"/>
                <w:jc w:val="center"/>
              </w:trPr>
              <w:tc>
                <w:tcPr>
                  <w:tcW w:w="777" w:type="dxa"/>
                  <w:vAlign w:val="center"/>
                </w:tcPr>
                <w:p w14:paraId="5AD4D91A">
                  <w:pPr>
                    <w:keepNext w:val="0"/>
                    <w:keepLines w:val="0"/>
                    <w:suppressLineNumbers w:val="0"/>
                    <w:spacing w:before="0" w:beforeAutospacing="0" w:after="0" w:afterAutospacing="0"/>
                    <w:ind w:left="0" w:right="-107" w:rightChars="-51"/>
                    <w:jc w:val="center"/>
                    <w:rPr>
                      <w:color w:val="auto"/>
                      <w:szCs w:val="21"/>
                      <w:highlight w:val="none"/>
                    </w:rPr>
                  </w:pPr>
                  <w:r>
                    <w:rPr>
                      <w:color w:val="auto"/>
                      <w:szCs w:val="21"/>
                      <w:highlight w:val="none"/>
                    </w:rPr>
                    <w:t>西厂界</w:t>
                  </w:r>
                </w:p>
              </w:tc>
              <w:tc>
                <w:tcPr>
                  <w:tcW w:w="676" w:type="dxa"/>
                  <w:vAlign w:val="center"/>
                </w:tcPr>
                <w:p w14:paraId="20140FD7">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-66</w:t>
                  </w:r>
                </w:p>
              </w:tc>
              <w:tc>
                <w:tcPr>
                  <w:tcW w:w="678" w:type="dxa"/>
                  <w:vAlign w:val="center"/>
                </w:tcPr>
                <w:p w14:paraId="399B1AE8">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160</w:t>
                  </w:r>
                </w:p>
              </w:tc>
              <w:tc>
                <w:tcPr>
                  <w:tcW w:w="690" w:type="dxa"/>
                  <w:vAlign w:val="center"/>
                </w:tcPr>
                <w:p w14:paraId="75B7A69A">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1.2</w:t>
                  </w:r>
                </w:p>
              </w:tc>
              <w:tc>
                <w:tcPr>
                  <w:tcW w:w="660" w:type="dxa"/>
                  <w:vAlign w:val="center"/>
                </w:tcPr>
                <w:p w14:paraId="6672A0EB">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昼间</w:t>
                  </w:r>
                </w:p>
              </w:tc>
              <w:tc>
                <w:tcPr>
                  <w:tcW w:w="1029" w:type="dxa"/>
                  <w:vAlign w:val="center"/>
                </w:tcPr>
                <w:p w14:paraId="1EA38863">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46</w:t>
                  </w:r>
                </w:p>
              </w:tc>
              <w:tc>
                <w:tcPr>
                  <w:tcW w:w="1029" w:type="dxa"/>
                  <w:vAlign w:val="center"/>
                </w:tcPr>
                <w:p w14:paraId="544CC43A">
                  <w:pPr>
                    <w:keepNext w:val="0"/>
                    <w:keepLines w:val="0"/>
                    <w:suppressLineNumbers w:val="0"/>
                    <w:spacing w:before="0" w:beforeAutospacing="0" w:after="0" w:afterAutospacing="0"/>
                    <w:ind w:left="0" w:right="-107" w:rightChars="-51"/>
                    <w:jc w:val="center"/>
                    <w:rPr>
                      <w:rFonts w:hint="eastAsia" w:eastAsia="宋体"/>
                      <w:color w:val="auto"/>
                      <w:szCs w:val="21"/>
                      <w:highlight w:val="none"/>
                      <w:lang w:val="en-US" w:eastAsia="zh-CN"/>
                    </w:rPr>
                  </w:pPr>
                  <w:r>
                    <w:rPr>
                      <w:rFonts w:hint="eastAsia"/>
                      <w:color w:val="auto"/>
                      <w:szCs w:val="21"/>
                      <w:highlight w:val="none"/>
                      <w:lang w:val="en-US" w:eastAsia="zh-CN"/>
                    </w:rPr>
                    <w:t>8</w:t>
                  </w:r>
                </w:p>
              </w:tc>
              <w:tc>
                <w:tcPr>
                  <w:tcW w:w="763" w:type="dxa"/>
                  <w:shd w:val="clear" w:color="auto" w:fill="auto"/>
                  <w:vAlign w:val="center"/>
                </w:tcPr>
                <w:p w14:paraId="72B7192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46</w:t>
                  </w:r>
                </w:p>
              </w:tc>
              <w:tc>
                <w:tcPr>
                  <w:tcW w:w="763" w:type="dxa"/>
                  <w:vAlign w:val="center"/>
                </w:tcPr>
                <w:p w14:paraId="065E53F0">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65</w:t>
                  </w:r>
                </w:p>
              </w:tc>
              <w:tc>
                <w:tcPr>
                  <w:tcW w:w="762" w:type="dxa"/>
                  <w:vAlign w:val="center"/>
                </w:tcPr>
                <w:p w14:paraId="466DC4D9">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达标</w:t>
                  </w:r>
                </w:p>
              </w:tc>
            </w:tr>
            <w:tr w14:paraId="322F6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exact"/>
                <w:jc w:val="center"/>
              </w:trPr>
              <w:tc>
                <w:tcPr>
                  <w:tcW w:w="777" w:type="dxa"/>
                  <w:vAlign w:val="center"/>
                </w:tcPr>
                <w:p w14:paraId="407D301F">
                  <w:pPr>
                    <w:keepNext w:val="0"/>
                    <w:keepLines w:val="0"/>
                    <w:suppressLineNumbers w:val="0"/>
                    <w:spacing w:before="0" w:beforeAutospacing="0" w:after="0" w:afterAutospacing="0"/>
                    <w:ind w:left="0" w:right="-107" w:rightChars="-51"/>
                    <w:jc w:val="center"/>
                    <w:rPr>
                      <w:color w:val="auto"/>
                      <w:szCs w:val="21"/>
                      <w:highlight w:val="none"/>
                    </w:rPr>
                  </w:pPr>
                  <w:r>
                    <w:rPr>
                      <w:color w:val="auto"/>
                      <w:szCs w:val="21"/>
                      <w:highlight w:val="none"/>
                    </w:rPr>
                    <w:t>北厂界</w:t>
                  </w:r>
                </w:p>
              </w:tc>
              <w:tc>
                <w:tcPr>
                  <w:tcW w:w="676" w:type="dxa"/>
                  <w:vAlign w:val="center"/>
                </w:tcPr>
                <w:p w14:paraId="79899B1D">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70</w:t>
                  </w:r>
                </w:p>
              </w:tc>
              <w:tc>
                <w:tcPr>
                  <w:tcW w:w="678" w:type="dxa"/>
                  <w:vAlign w:val="center"/>
                </w:tcPr>
                <w:p w14:paraId="3111ADDA">
                  <w:pPr>
                    <w:keepNext w:val="0"/>
                    <w:keepLines w:val="0"/>
                    <w:suppressLineNumbers w:val="0"/>
                    <w:spacing w:before="0" w:beforeAutospacing="0" w:after="0" w:afterAutospacing="0"/>
                    <w:ind w:left="0" w:right="-107" w:rightChars="-51"/>
                    <w:jc w:val="center"/>
                    <w:rPr>
                      <w:rFonts w:hint="default" w:eastAsia="宋体"/>
                      <w:color w:val="auto"/>
                      <w:szCs w:val="21"/>
                      <w:highlight w:val="none"/>
                      <w:lang w:val="en-US" w:eastAsia="zh-CN"/>
                    </w:rPr>
                  </w:pPr>
                  <w:r>
                    <w:rPr>
                      <w:rFonts w:hint="eastAsia"/>
                      <w:color w:val="auto"/>
                      <w:szCs w:val="21"/>
                      <w:highlight w:val="none"/>
                      <w:lang w:val="en-US" w:eastAsia="zh-CN"/>
                    </w:rPr>
                    <w:t>320</w:t>
                  </w:r>
                </w:p>
              </w:tc>
              <w:tc>
                <w:tcPr>
                  <w:tcW w:w="690" w:type="dxa"/>
                  <w:vAlign w:val="center"/>
                </w:tcPr>
                <w:p w14:paraId="66A09F46">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1.2</w:t>
                  </w:r>
                </w:p>
              </w:tc>
              <w:tc>
                <w:tcPr>
                  <w:tcW w:w="660" w:type="dxa"/>
                  <w:vAlign w:val="center"/>
                </w:tcPr>
                <w:p w14:paraId="3C9D877E">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昼间</w:t>
                  </w:r>
                </w:p>
              </w:tc>
              <w:tc>
                <w:tcPr>
                  <w:tcW w:w="1029" w:type="dxa"/>
                  <w:vAlign w:val="center"/>
                </w:tcPr>
                <w:p w14:paraId="432B5DEA">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46</w:t>
                  </w:r>
                </w:p>
              </w:tc>
              <w:tc>
                <w:tcPr>
                  <w:tcW w:w="1029" w:type="dxa"/>
                  <w:vAlign w:val="center"/>
                </w:tcPr>
                <w:p w14:paraId="23F0E58A">
                  <w:pPr>
                    <w:keepNext w:val="0"/>
                    <w:keepLines w:val="0"/>
                    <w:suppressLineNumbers w:val="0"/>
                    <w:spacing w:before="0" w:beforeAutospacing="0" w:after="0" w:afterAutospacing="0"/>
                    <w:ind w:left="0" w:right="-107" w:rightChars="-51"/>
                    <w:jc w:val="center"/>
                    <w:rPr>
                      <w:rFonts w:hint="eastAsia" w:eastAsia="宋体"/>
                      <w:color w:val="auto"/>
                      <w:szCs w:val="21"/>
                      <w:highlight w:val="none"/>
                      <w:lang w:val="en-US" w:eastAsia="zh-CN"/>
                    </w:rPr>
                  </w:pPr>
                  <w:r>
                    <w:rPr>
                      <w:rFonts w:hint="eastAsia"/>
                      <w:color w:val="auto"/>
                      <w:szCs w:val="21"/>
                      <w:highlight w:val="none"/>
                      <w:lang w:val="en-US" w:eastAsia="zh-CN"/>
                    </w:rPr>
                    <w:t>0</w:t>
                  </w:r>
                </w:p>
              </w:tc>
              <w:tc>
                <w:tcPr>
                  <w:tcW w:w="763" w:type="dxa"/>
                  <w:shd w:val="clear" w:color="auto" w:fill="auto"/>
                  <w:vAlign w:val="center"/>
                </w:tcPr>
                <w:p w14:paraId="56CEBB4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46</w:t>
                  </w:r>
                </w:p>
              </w:tc>
              <w:tc>
                <w:tcPr>
                  <w:tcW w:w="763" w:type="dxa"/>
                  <w:vAlign w:val="center"/>
                </w:tcPr>
                <w:p w14:paraId="4ECBFB9F">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65</w:t>
                  </w:r>
                </w:p>
              </w:tc>
              <w:tc>
                <w:tcPr>
                  <w:tcW w:w="762" w:type="dxa"/>
                  <w:vAlign w:val="center"/>
                </w:tcPr>
                <w:p w14:paraId="13489427">
                  <w:pPr>
                    <w:keepNext w:val="0"/>
                    <w:keepLines w:val="0"/>
                    <w:suppressLineNumbers w:val="0"/>
                    <w:spacing w:before="0" w:beforeAutospacing="0" w:after="0" w:afterAutospacing="0"/>
                    <w:ind w:left="0" w:right="-107" w:rightChars="-51"/>
                    <w:jc w:val="center"/>
                    <w:rPr>
                      <w:color w:val="auto"/>
                      <w:szCs w:val="21"/>
                      <w:highlight w:val="none"/>
                    </w:rPr>
                  </w:pPr>
                  <w:r>
                    <w:rPr>
                      <w:rFonts w:hint="eastAsia"/>
                      <w:color w:val="auto"/>
                      <w:szCs w:val="21"/>
                      <w:highlight w:val="none"/>
                    </w:rPr>
                    <w:t>达标</w:t>
                  </w:r>
                </w:p>
              </w:tc>
            </w:tr>
          </w:tbl>
          <w:p w14:paraId="10078D7D">
            <w:pPr>
              <w:keepNext w:val="0"/>
              <w:keepLines w:val="0"/>
              <w:suppressLineNumbers w:val="0"/>
              <w:adjustRightInd w:val="0"/>
              <w:snapToGrid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根据预测，项目东、南、西、北厂界噪声贡献值满足《工业企业厂界环境噪声排放标准》（GB12348-2008）中3类标准，即昼间≤65dB(A)，夜间≤55dB(A)。项目的建设不会降低厂界声环境质量级别，因此本项目的建设对厂址周围环境影响较小。</w:t>
            </w:r>
          </w:p>
          <w:p w14:paraId="5F5F6925">
            <w:pPr>
              <w:keepNext w:val="0"/>
              <w:keepLines w:val="0"/>
              <w:suppressLineNumbers w:val="0"/>
              <w:adjustRightInd w:val="0"/>
              <w:snapToGrid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（3）噪声防治措施</w:t>
            </w:r>
          </w:p>
          <w:p w14:paraId="368D3851">
            <w:pPr>
              <w:keepNext w:val="0"/>
              <w:keepLines w:val="0"/>
              <w:suppressLineNumbers w:val="0"/>
              <w:adjustRightInd w:val="0"/>
              <w:snapToGrid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为最大限度地减小生产设备噪声对环境影响，环评要求采取以下措施：</w:t>
            </w:r>
          </w:p>
          <w:p w14:paraId="2C695B41">
            <w:pPr>
              <w:keepNext w:val="0"/>
              <w:keepLines w:val="0"/>
              <w:suppressLineNumbers w:val="0"/>
              <w:adjustRightInd w:val="0"/>
              <w:snapToGrid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①选用低噪声设备，采取设备基础减振、建筑隔声等降噪措施；</w:t>
            </w:r>
          </w:p>
          <w:p w14:paraId="6F19D2A7">
            <w:pPr>
              <w:keepNext w:val="0"/>
              <w:keepLines w:val="0"/>
              <w:suppressLineNumbers w:val="0"/>
              <w:adjustRightInd w:val="0"/>
              <w:snapToGrid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②合理布局，按《工业企业噪声控制设计规范》对主要噪声源合理布局。生产设备布置在生产车间内，利用建筑墙体隔音，充分利用生产车间内部空间，符合噪声源相对集中、闹静分开的原则；</w:t>
            </w:r>
          </w:p>
          <w:p w14:paraId="0597F2B9">
            <w:pPr>
              <w:keepNext w:val="0"/>
              <w:keepLines w:val="0"/>
              <w:suppressLineNumbers w:val="0"/>
              <w:adjustRightInd w:val="0"/>
              <w:snapToGrid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③高噪声设备的安装基础加减振弹簧垫，设置消声器、尽量降低噪音；</w:t>
            </w:r>
          </w:p>
          <w:p w14:paraId="1612F43E">
            <w:pPr>
              <w:keepNext w:val="0"/>
              <w:keepLines w:val="0"/>
              <w:suppressLineNumbers w:val="0"/>
              <w:adjustRightInd w:val="0"/>
              <w:snapToGrid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④强化生产管理，加强设备维修，确保降噪设施的有效运行，并加强对生产设备的保养、检修与润滑，保证设备处于良好的运转状态。</w:t>
            </w:r>
          </w:p>
          <w:p w14:paraId="4361E4F7">
            <w:pPr>
              <w:keepNext w:val="0"/>
              <w:keepLines w:val="0"/>
              <w:suppressLineNumbers w:val="0"/>
              <w:adjustRightInd w:val="0"/>
              <w:snapToGrid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此外，加强员工环保意识教育，提倡文明生产装卸，防止人为噪声等，通过采取上述措施后，项目产生的噪声对周围声环境的影响较小，噪声防治措施可行。</w:t>
            </w:r>
          </w:p>
          <w:p w14:paraId="3F8FCBFB">
            <w:pPr>
              <w:keepNext w:val="0"/>
              <w:keepLines w:val="0"/>
              <w:suppressLineNumbers w:val="0"/>
              <w:spacing w:before="0" w:beforeAutospacing="0" w:after="0" w:afterAutospacing="0" w:line="360" w:lineRule="auto"/>
              <w:ind w:left="0" w:right="0" w:firstLine="480" w:firstLineChars="200"/>
              <w:rPr>
                <w:bCs/>
                <w:color w:val="auto"/>
                <w:sz w:val="24"/>
                <w:highlight w:val="none"/>
              </w:rPr>
            </w:pPr>
            <w:r>
              <w:rPr>
                <w:rFonts w:hint="eastAsia"/>
                <w:bCs/>
                <w:color w:val="auto"/>
                <w:sz w:val="24"/>
                <w:highlight w:val="none"/>
              </w:rPr>
              <w:t>（4）噪声监测</w:t>
            </w:r>
          </w:p>
          <w:p w14:paraId="27D4F519">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13</w:t>
            </w:r>
            <w:r>
              <w:rPr>
                <w:rFonts w:hint="eastAsia"/>
                <w:color w:val="auto"/>
                <w:sz w:val="24"/>
                <w:highlight w:val="none"/>
              </w:rPr>
              <w:t xml:space="preserve">  监测计划</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94"/>
              <w:gridCol w:w="1345"/>
              <w:gridCol w:w="1571"/>
              <w:gridCol w:w="1399"/>
              <w:gridCol w:w="2464"/>
            </w:tblGrid>
            <w:tr w14:paraId="5AD49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1094" w:type="dxa"/>
                  <w:vAlign w:val="center"/>
                </w:tcPr>
                <w:p w14:paraId="20C7177E">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类别</w:t>
                  </w:r>
                </w:p>
              </w:tc>
              <w:tc>
                <w:tcPr>
                  <w:tcW w:w="1345" w:type="dxa"/>
                  <w:vAlign w:val="center"/>
                </w:tcPr>
                <w:p w14:paraId="1E4C8389">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监测点位</w:t>
                  </w:r>
                </w:p>
              </w:tc>
              <w:tc>
                <w:tcPr>
                  <w:tcW w:w="1571" w:type="dxa"/>
                  <w:vAlign w:val="center"/>
                </w:tcPr>
                <w:p w14:paraId="4F1E5E76">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监测因子</w:t>
                  </w:r>
                </w:p>
              </w:tc>
              <w:tc>
                <w:tcPr>
                  <w:tcW w:w="1399" w:type="dxa"/>
                  <w:vAlign w:val="center"/>
                </w:tcPr>
                <w:p w14:paraId="6EE2C4D5">
                  <w:pPr>
                    <w:keepNext w:val="0"/>
                    <w:keepLines w:val="0"/>
                    <w:suppressLineNumbers w:val="0"/>
                    <w:snapToGrid w:val="0"/>
                    <w:spacing w:before="0" w:beforeAutospacing="0" w:after="0" w:afterAutospacing="0"/>
                    <w:ind w:left="0" w:right="0"/>
                    <w:jc w:val="center"/>
                    <w:rPr>
                      <w:color w:val="auto"/>
                      <w:szCs w:val="21"/>
                      <w:highlight w:val="none"/>
                    </w:rPr>
                  </w:pPr>
                  <w:r>
                    <w:rPr>
                      <w:color w:val="auto"/>
                      <w:szCs w:val="21"/>
                      <w:highlight w:val="none"/>
                    </w:rPr>
                    <w:t>监测频次</w:t>
                  </w:r>
                </w:p>
              </w:tc>
              <w:tc>
                <w:tcPr>
                  <w:tcW w:w="2464" w:type="dxa"/>
                  <w:vAlign w:val="center"/>
                </w:tcPr>
                <w:p w14:paraId="3AE7A795">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执行标准</w:t>
                  </w:r>
                </w:p>
              </w:tc>
            </w:tr>
            <w:tr w14:paraId="4A71B0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1094" w:type="dxa"/>
                  <w:vAlign w:val="center"/>
                </w:tcPr>
                <w:p w14:paraId="229277CF">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噪声</w:t>
                  </w:r>
                </w:p>
              </w:tc>
              <w:tc>
                <w:tcPr>
                  <w:tcW w:w="1345" w:type="dxa"/>
                  <w:vAlign w:val="center"/>
                </w:tcPr>
                <w:p w14:paraId="37098709">
                  <w:pPr>
                    <w:keepNext w:val="0"/>
                    <w:keepLines w:val="0"/>
                    <w:suppressLineNumbers w:val="0"/>
                    <w:snapToGrid w:val="0"/>
                    <w:spacing w:before="0" w:beforeAutospacing="0" w:after="0" w:afterAutospacing="0"/>
                    <w:ind w:left="0" w:right="0"/>
                    <w:jc w:val="center"/>
                    <w:rPr>
                      <w:color w:val="auto"/>
                      <w:szCs w:val="21"/>
                      <w:highlight w:val="none"/>
                    </w:rPr>
                  </w:pPr>
                  <w:r>
                    <w:rPr>
                      <w:color w:val="auto"/>
                      <w:szCs w:val="21"/>
                      <w:highlight w:val="none"/>
                    </w:rPr>
                    <w:t>厂区边界四周厂界外1m</w:t>
                  </w:r>
                </w:p>
              </w:tc>
              <w:tc>
                <w:tcPr>
                  <w:tcW w:w="1571" w:type="dxa"/>
                  <w:vAlign w:val="center"/>
                </w:tcPr>
                <w:p w14:paraId="0849222A">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等效声级</w:t>
                  </w:r>
                </w:p>
                <w:p w14:paraId="5F588ADB">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Leq（A）</w:t>
                  </w:r>
                </w:p>
              </w:tc>
              <w:tc>
                <w:tcPr>
                  <w:tcW w:w="1399" w:type="dxa"/>
                  <w:vAlign w:val="center"/>
                </w:tcPr>
                <w:p w14:paraId="554EC4FC">
                  <w:pPr>
                    <w:keepNext w:val="0"/>
                    <w:keepLines w:val="0"/>
                    <w:suppressLineNumbers w:val="0"/>
                    <w:snapToGrid w:val="0"/>
                    <w:spacing w:before="0" w:beforeAutospacing="0" w:after="0" w:afterAutospacing="0"/>
                    <w:ind w:left="0" w:right="0"/>
                    <w:jc w:val="center"/>
                    <w:rPr>
                      <w:color w:val="auto"/>
                      <w:szCs w:val="21"/>
                      <w:highlight w:val="none"/>
                    </w:rPr>
                  </w:pPr>
                  <w:r>
                    <w:rPr>
                      <w:rFonts w:hint="eastAsia"/>
                      <w:color w:val="auto"/>
                      <w:szCs w:val="21"/>
                      <w:highlight w:val="none"/>
                    </w:rPr>
                    <w:t>昼夜各1次，监测1天，1次/季度</w:t>
                  </w:r>
                </w:p>
              </w:tc>
              <w:tc>
                <w:tcPr>
                  <w:tcW w:w="2464" w:type="dxa"/>
                  <w:vAlign w:val="center"/>
                </w:tcPr>
                <w:p w14:paraId="78DF9AE0">
                  <w:pPr>
                    <w:keepNext w:val="0"/>
                    <w:keepLines w:val="0"/>
                    <w:suppressLineNumbers w:val="0"/>
                    <w:snapToGrid w:val="0"/>
                    <w:spacing w:before="0" w:beforeAutospacing="0" w:after="0" w:afterAutospacing="0"/>
                    <w:ind w:left="0" w:right="0"/>
                    <w:jc w:val="center"/>
                    <w:rPr>
                      <w:color w:val="auto"/>
                      <w:szCs w:val="21"/>
                      <w:highlight w:val="none"/>
                    </w:rPr>
                  </w:pPr>
                  <w:r>
                    <w:rPr>
                      <w:color w:val="auto"/>
                      <w:szCs w:val="21"/>
                      <w:highlight w:val="none"/>
                    </w:rPr>
                    <w:t>《工业企业厂界环境噪声排放标准》（GB12348-2008）中</w:t>
                  </w:r>
                  <w:r>
                    <w:rPr>
                      <w:rFonts w:hint="eastAsia"/>
                      <w:color w:val="auto"/>
                      <w:szCs w:val="21"/>
                      <w:highlight w:val="none"/>
                    </w:rPr>
                    <w:t>3</w:t>
                  </w:r>
                  <w:r>
                    <w:rPr>
                      <w:color w:val="auto"/>
                      <w:szCs w:val="21"/>
                      <w:highlight w:val="none"/>
                    </w:rPr>
                    <w:t>类标准</w:t>
                  </w:r>
                </w:p>
              </w:tc>
            </w:tr>
          </w:tbl>
          <w:p w14:paraId="3D297C6B">
            <w:pPr>
              <w:keepNext w:val="0"/>
              <w:keepLines w:val="0"/>
              <w:suppressLineNumbers w:val="0"/>
              <w:spacing w:before="0" w:beforeAutospacing="0" w:after="0" w:afterAutospacing="0" w:line="360" w:lineRule="auto"/>
              <w:ind w:left="0" w:right="0" w:firstLine="482" w:firstLineChars="200"/>
              <w:jc w:val="left"/>
              <w:rPr>
                <w:b/>
                <w:bCs/>
                <w:color w:val="auto"/>
                <w:sz w:val="24"/>
                <w:highlight w:val="none"/>
              </w:rPr>
            </w:pPr>
            <w:r>
              <w:rPr>
                <w:rFonts w:hint="eastAsia"/>
                <w:b/>
                <w:bCs/>
                <w:color w:val="auto"/>
                <w:sz w:val="24"/>
                <w:highlight w:val="none"/>
              </w:rPr>
              <w:t>4、</w:t>
            </w:r>
            <w:r>
              <w:rPr>
                <w:b/>
                <w:bCs/>
                <w:color w:val="auto"/>
                <w:sz w:val="24"/>
                <w:highlight w:val="none"/>
              </w:rPr>
              <w:t>固废</w:t>
            </w:r>
          </w:p>
          <w:p w14:paraId="20BE369C">
            <w:pPr>
              <w:keepNext w:val="0"/>
              <w:keepLines w:val="0"/>
              <w:suppressLineNumbers w:val="0"/>
              <w:spacing w:before="0" w:beforeAutospacing="0" w:after="0" w:afterAutospacing="0" w:line="360" w:lineRule="auto"/>
              <w:ind w:left="0" w:right="0" w:firstLine="480" w:firstLineChars="200"/>
              <w:rPr>
                <w:rFonts w:hint="eastAsia"/>
                <w:bCs/>
                <w:color w:val="auto"/>
                <w:sz w:val="24"/>
                <w:highlight w:val="none"/>
                <w:lang w:eastAsia="zh-CN"/>
              </w:rPr>
            </w:pPr>
            <w:r>
              <w:rPr>
                <w:rFonts w:hint="eastAsia"/>
                <w:bCs/>
                <w:color w:val="auto"/>
                <w:sz w:val="24"/>
                <w:highlight w:val="none"/>
                <w:lang w:eastAsia="zh-CN"/>
              </w:rPr>
              <w:t>（1）过滤杂质S1-1</w:t>
            </w:r>
          </w:p>
          <w:p w14:paraId="3C41C195">
            <w:pPr>
              <w:keepNext w:val="0"/>
              <w:keepLines w:val="0"/>
              <w:suppressLineNumbers w:val="0"/>
              <w:spacing w:before="0" w:beforeAutospacing="0" w:after="0" w:afterAutospacing="0" w:line="360" w:lineRule="auto"/>
              <w:ind w:left="0" w:right="0" w:firstLine="480" w:firstLineChars="200"/>
              <w:rPr>
                <w:rFonts w:hint="eastAsia"/>
                <w:bCs/>
                <w:color w:val="auto"/>
                <w:sz w:val="24"/>
                <w:highlight w:val="none"/>
              </w:rPr>
            </w:pPr>
            <w:r>
              <w:rPr>
                <w:rFonts w:hint="eastAsia"/>
                <w:bCs/>
                <w:color w:val="auto"/>
                <w:sz w:val="24"/>
                <w:highlight w:val="none"/>
                <w:lang w:val="en-US" w:eastAsia="zh-CN"/>
              </w:rPr>
              <w:t>石蜡、微晶蜡</w:t>
            </w:r>
            <w:r>
              <w:rPr>
                <w:rFonts w:hint="eastAsia"/>
                <w:bCs/>
                <w:color w:val="auto"/>
                <w:sz w:val="24"/>
                <w:highlight w:val="none"/>
              </w:rPr>
              <w:t>由密闭管道送入石蜡造粒生产线，密闭管道局部设有过滤网，对</w:t>
            </w:r>
            <w:r>
              <w:rPr>
                <w:rFonts w:hint="eastAsia"/>
                <w:bCs/>
                <w:color w:val="auto"/>
                <w:sz w:val="24"/>
                <w:highlight w:val="none"/>
                <w:lang w:val="en-US" w:eastAsia="zh-CN"/>
              </w:rPr>
              <w:t>原料</w:t>
            </w:r>
            <w:r>
              <w:rPr>
                <w:rFonts w:hint="eastAsia"/>
                <w:bCs/>
                <w:color w:val="auto"/>
                <w:sz w:val="24"/>
                <w:highlight w:val="none"/>
              </w:rPr>
              <w:t>进行机械除杂过滤处理。此步骤会产生过滤杂质，主要成分为石蜡中难溶性杂质及分子式量较大的石油烃类物质，根据物料平衡表分析，产生量为0.</w:t>
            </w:r>
            <w:r>
              <w:rPr>
                <w:rFonts w:hint="eastAsia"/>
                <w:bCs/>
                <w:color w:val="auto"/>
                <w:sz w:val="24"/>
                <w:highlight w:val="none"/>
                <w:lang w:val="en-US" w:eastAsia="zh-CN"/>
              </w:rPr>
              <w:t>3</w:t>
            </w:r>
            <w:r>
              <w:rPr>
                <w:rFonts w:hint="eastAsia"/>
                <w:bCs/>
                <w:color w:val="auto"/>
                <w:sz w:val="24"/>
                <w:highlight w:val="none"/>
              </w:rPr>
              <w:t>t/a。对照《国家危险废物名录（202</w:t>
            </w:r>
            <w:r>
              <w:rPr>
                <w:rFonts w:hint="eastAsia"/>
                <w:bCs/>
                <w:color w:val="auto"/>
                <w:sz w:val="24"/>
                <w:highlight w:val="none"/>
                <w:lang w:val="en-US" w:eastAsia="zh-CN"/>
              </w:rPr>
              <w:t>5</w:t>
            </w:r>
            <w:r>
              <w:rPr>
                <w:rFonts w:hint="eastAsia"/>
                <w:bCs/>
                <w:color w:val="auto"/>
                <w:sz w:val="24"/>
                <w:highlight w:val="none"/>
              </w:rPr>
              <w:t>年本）》“其他生产、销售、使用过程中产生的废矿物油及沾染矿物油的废弃包装物。”属于危险固废，类别为HW08废矿物油与含矿物油废物，废物代码为900-249-08，经危废暂存库暂存后统一交有资质单位处理。</w:t>
            </w:r>
          </w:p>
          <w:p w14:paraId="41AC52D6">
            <w:pPr>
              <w:keepNext w:val="0"/>
              <w:keepLines w:val="0"/>
              <w:suppressLineNumbers w:val="0"/>
              <w:spacing w:before="0" w:beforeAutospacing="0" w:after="0" w:afterAutospacing="0" w:line="360" w:lineRule="auto"/>
              <w:ind w:left="0" w:right="0" w:firstLine="480" w:firstLineChars="200"/>
              <w:rPr>
                <w:rFonts w:hint="eastAsia"/>
                <w:bCs/>
                <w:color w:val="auto"/>
                <w:sz w:val="24"/>
                <w:highlight w:val="none"/>
                <w:lang w:eastAsia="zh-CN"/>
              </w:rPr>
            </w:pPr>
            <w:r>
              <w:rPr>
                <w:rFonts w:hint="eastAsia"/>
                <w:bCs/>
                <w:color w:val="auto"/>
                <w:sz w:val="24"/>
                <w:highlight w:val="none"/>
                <w:lang w:eastAsia="zh-CN"/>
              </w:rPr>
              <w:t>（2）废过滤网S1-2</w:t>
            </w:r>
          </w:p>
          <w:p w14:paraId="0AF2B031">
            <w:pPr>
              <w:keepNext w:val="0"/>
              <w:keepLines w:val="0"/>
              <w:suppressLineNumbers w:val="0"/>
              <w:spacing w:before="0" w:beforeAutospacing="0" w:after="0" w:afterAutospacing="0" w:line="360" w:lineRule="auto"/>
              <w:ind w:left="0" w:right="0" w:firstLine="480" w:firstLineChars="200"/>
              <w:rPr>
                <w:rFonts w:hint="eastAsia"/>
                <w:bCs/>
                <w:color w:val="auto"/>
                <w:sz w:val="24"/>
                <w:highlight w:val="none"/>
              </w:rPr>
            </w:pPr>
            <w:r>
              <w:rPr>
                <w:rFonts w:hint="eastAsia"/>
                <w:bCs/>
                <w:color w:val="auto"/>
                <w:sz w:val="24"/>
                <w:highlight w:val="none"/>
              </w:rPr>
              <w:t>过滤过程中的过滤网需定期清理更换，根据物料平衡表分析，废过滤网产生量为0.05t/a，对照《国家危险废物名录（202</w:t>
            </w:r>
            <w:r>
              <w:rPr>
                <w:rFonts w:hint="eastAsia"/>
                <w:bCs/>
                <w:color w:val="auto"/>
                <w:sz w:val="24"/>
                <w:highlight w:val="none"/>
                <w:lang w:val="en-US" w:eastAsia="zh-CN"/>
              </w:rPr>
              <w:t>5</w:t>
            </w:r>
            <w:r>
              <w:rPr>
                <w:rFonts w:hint="eastAsia"/>
                <w:bCs/>
                <w:color w:val="auto"/>
                <w:sz w:val="24"/>
                <w:highlight w:val="none"/>
              </w:rPr>
              <w:t>年本）》“其他生产、销售、使用过程中产生的废矿物油及沾染矿物油的废弃包装物。”属于危险固废，类别为HW08废矿物油与含矿物油废物，废物代码为900-249-08，经危废暂存库暂存后统一交有资质单位处理。</w:t>
            </w:r>
          </w:p>
          <w:p w14:paraId="1B5DF01D">
            <w:pPr>
              <w:keepNext w:val="0"/>
              <w:keepLines w:val="0"/>
              <w:suppressLineNumbers w:val="0"/>
              <w:spacing w:before="0" w:beforeAutospacing="0" w:after="0" w:afterAutospacing="0" w:line="360" w:lineRule="auto"/>
              <w:ind w:left="0" w:right="0" w:firstLine="480" w:firstLineChars="200"/>
              <w:rPr>
                <w:rFonts w:hint="eastAsia"/>
                <w:bCs/>
                <w:color w:val="auto"/>
                <w:sz w:val="24"/>
                <w:highlight w:val="none"/>
                <w:lang w:eastAsia="zh-CN"/>
              </w:rPr>
            </w:pPr>
            <w:r>
              <w:rPr>
                <w:rFonts w:hint="eastAsia"/>
                <w:bCs/>
                <w:color w:val="auto"/>
                <w:sz w:val="24"/>
                <w:highlight w:val="none"/>
                <w:lang w:eastAsia="zh-CN"/>
              </w:rPr>
              <w:t>（3）</w:t>
            </w:r>
            <w:r>
              <w:rPr>
                <w:rFonts w:hint="eastAsia"/>
                <w:bCs/>
                <w:color w:val="auto"/>
                <w:sz w:val="24"/>
                <w:highlight w:val="none"/>
                <w:lang w:val="en-US" w:eastAsia="zh-CN"/>
              </w:rPr>
              <w:t>落地</w:t>
            </w:r>
            <w:r>
              <w:rPr>
                <w:rFonts w:hint="eastAsia"/>
                <w:bCs/>
                <w:color w:val="auto"/>
                <w:sz w:val="24"/>
                <w:highlight w:val="none"/>
                <w:lang w:eastAsia="zh-CN"/>
              </w:rPr>
              <w:t>石蜡S1-3</w:t>
            </w:r>
          </w:p>
          <w:p w14:paraId="58926559">
            <w:pPr>
              <w:keepNext w:val="0"/>
              <w:keepLines w:val="0"/>
              <w:suppressLineNumbers w:val="0"/>
              <w:spacing w:before="0" w:beforeAutospacing="0" w:after="0" w:afterAutospacing="0" w:line="360" w:lineRule="auto"/>
              <w:ind w:left="0" w:right="0" w:firstLine="480" w:firstLineChars="200"/>
              <w:rPr>
                <w:rFonts w:hint="default" w:eastAsia="宋体"/>
                <w:bCs/>
                <w:color w:val="auto"/>
                <w:sz w:val="24"/>
                <w:highlight w:val="none"/>
                <w:lang w:val="en-US" w:eastAsia="zh-CN"/>
              </w:rPr>
            </w:pPr>
            <w:r>
              <w:rPr>
                <w:rFonts w:hint="eastAsia"/>
                <w:bCs/>
                <w:color w:val="auto"/>
                <w:sz w:val="24"/>
                <w:highlight w:val="none"/>
              </w:rPr>
              <w:t>在灌装入库过程中会产生掉落在地上的被污染的成品石蜡，根据物料平衡分析，被污染的石蜡产生量约为</w:t>
            </w:r>
            <w:r>
              <w:rPr>
                <w:rFonts w:hint="eastAsia"/>
                <w:bCs/>
                <w:color w:val="auto"/>
                <w:sz w:val="24"/>
                <w:highlight w:val="none"/>
                <w:lang w:val="en-US" w:eastAsia="zh-CN"/>
              </w:rPr>
              <w:t>2.7</w:t>
            </w:r>
            <w:r>
              <w:rPr>
                <w:rFonts w:hint="eastAsia"/>
                <w:bCs/>
                <w:color w:val="auto"/>
                <w:sz w:val="24"/>
                <w:highlight w:val="none"/>
              </w:rPr>
              <w:t>t/a，</w:t>
            </w:r>
            <w:r>
              <w:rPr>
                <w:rFonts w:hint="eastAsia"/>
                <w:bCs/>
                <w:color w:val="auto"/>
                <w:sz w:val="24"/>
                <w:highlight w:val="none"/>
                <w:lang w:val="en-US" w:eastAsia="zh-CN"/>
              </w:rPr>
              <w:t>属于《固体废物分类与代码目录》（生态环境部公告 2024 年第 4 号）中“900-099-S59”，其他工业生产过程中产生的固体废物。暂存于1座占地面积约10m</w:t>
            </w:r>
            <w:r>
              <w:rPr>
                <w:rFonts w:hint="eastAsia"/>
                <w:bCs/>
                <w:color w:val="auto"/>
                <w:sz w:val="24"/>
                <w:highlight w:val="none"/>
                <w:vertAlign w:val="superscript"/>
                <w:lang w:val="en-US" w:eastAsia="zh-CN"/>
              </w:rPr>
              <w:t>2</w:t>
            </w:r>
            <w:r>
              <w:rPr>
                <w:rFonts w:hint="eastAsia"/>
                <w:bCs/>
                <w:color w:val="auto"/>
                <w:sz w:val="24"/>
                <w:highlight w:val="none"/>
                <w:lang w:val="en-US" w:eastAsia="zh-CN"/>
              </w:rPr>
              <w:t>的一般固体废物暂存间暂存后出售、综合利用。</w:t>
            </w:r>
          </w:p>
          <w:p w14:paraId="504BB54C">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14</w:t>
            </w:r>
            <w:r>
              <w:rPr>
                <w:rFonts w:hint="eastAsia"/>
                <w:color w:val="auto"/>
                <w:sz w:val="24"/>
                <w:highlight w:val="none"/>
              </w:rPr>
              <w:t xml:space="preserve">  本项目固体废物统计一览表</w:t>
            </w:r>
          </w:p>
          <w:tbl>
            <w:tblPr>
              <w:tblStyle w:val="27"/>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58"/>
              <w:gridCol w:w="1146"/>
              <w:gridCol w:w="908"/>
              <w:gridCol w:w="1034"/>
              <w:gridCol w:w="966"/>
              <w:gridCol w:w="1311"/>
              <w:gridCol w:w="904"/>
              <w:gridCol w:w="902"/>
            </w:tblGrid>
            <w:tr w14:paraId="05E58C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20" w:type="pct"/>
                  <w:vAlign w:val="center"/>
                </w:tcPr>
                <w:p w14:paraId="393369F8">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类别</w:t>
                  </w:r>
                </w:p>
              </w:tc>
              <w:tc>
                <w:tcPr>
                  <w:tcW w:w="731" w:type="pct"/>
                  <w:vAlign w:val="center"/>
                </w:tcPr>
                <w:p w14:paraId="6B456878">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固废名称</w:t>
                  </w:r>
                </w:p>
              </w:tc>
              <w:tc>
                <w:tcPr>
                  <w:tcW w:w="579" w:type="pct"/>
                  <w:vAlign w:val="center"/>
                </w:tcPr>
                <w:p w14:paraId="12A30850">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产生单元</w:t>
                  </w:r>
                </w:p>
              </w:tc>
              <w:tc>
                <w:tcPr>
                  <w:tcW w:w="660" w:type="pct"/>
                  <w:vAlign w:val="center"/>
                </w:tcPr>
                <w:p w14:paraId="1A41DCAB">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成分</w:t>
                  </w:r>
                </w:p>
              </w:tc>
              <w:tc>
                <w:tcPr>
                  <w:tcW w:w="616" w:type="pct"/>
                  <w:vAlign w:val="center"/>
                </w:tcPr>
                <w:p w14:paraId="7141E2FC">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形态</w:t>
                  </w:r>
                </w:p>
              </w:tc>
              <w:tc>
                <w:tcPr>
                  <w:tcW w:w="837" w:type="pct"/>
                  <w:vAlign w:val="center"/>
                </w:tcPr>
                <w:p w14:paraId="2C991078">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废物代码</w:t>
                  </w:r>
                </w:p>
              </w:tc>
              <w:tc>
                <w:tcPr>
                  <w:tcW w:w="577" w:type="pct"/>
                  <w:vAlign w:val="center"/>
                </w:tcPr>
                <w:p w14:paraId="3B415AC0">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产生量</w:t>
                  </w:r>
                </w:p>
                <w:p w14:paraId="7754E926">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t/a</w:t>
                  </w:r>
                </w:p>
              </w:tc>
              <w:tc>
                <w:tcPr>
                  <w:tcW w:w="576" w:type="pct"/>
                  <w:vAlign w:val="center"/>
                </w:tcPr>
                <w:p w14:paraId="2903C4F5">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处置措施</w:t>
                  </w:r>
                </w:p>
              </w:tc>
            </w:tr>
            <w:tr w14:paraId="686B8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0" w:hRule="atLeast"/>
              </w:trPr>
              <w:tc>
                <w:tcPr>
                  <w:tcW w:w="420" w:type="pct"/>
                  <w:vMerge w:val="restart"/>
                  <w:vAlign w:val="center"/>
                </w:tcPr>
                <w:p w14:paraId="5E278CE3">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危险废物</w:t>
                  </w:r>
                </w:p>
              </w:tc>
              <w:tc>
                <w:tcPr>
                  <w:tcW w:w="731" w:type="pct"/>
                  <w:vAlign w:val="center"/>
                </w:tcPr>
                <w:p w14:paraId="6DA781A4">
                  <w:pPr>
                    <w:pStyle w:val="61"/>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过滤杂质</w:t>
                  </w:r>
                </w:p>
              </w:tc>
              <w:tc>
                <w:tcPr>
                  <w:tcW w:w="579" w:type="pct"/>
                  <w:vAlign w:val="center"/>
                </w:tcPr>
                <w:p w14:paraId="3446EF7E">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过滤</w:t>
                  </w:r>
                </w:p>
              </w:tc>
              <w:tc>
                <w:tcPr>
                  <w:tcW w:w="660" w:type="pct"/>
                  <w:vMerge w:val="restart"/>
                  <w:vAlign w:val="center"/>
                </w:tcPr>
                <w:p w14:paraId="728511C7">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lang w:val="en-US" w:eastAsia="zh-CN"/>
                    </w:rPr>
                    <w:t>石蜡、微晶蜡等有机物</w:t>
                  </w:r>
                </w:p>
              </w:tc>
              <w:tc>
                <w:tcPr>
                  <w:tcW w:w="616" w:type="pct"/>
                  <w:vAlign w:val="center"/>
                </w:tcPr>
                <w:p w14:paraId="31CA69DB">
                  <w:pPr>
                    <w:pStyle w:val="61"/>
                    <w:keepNext w:val="0"/>
                    <w:keepLines w:val="0"/>
                    <w:suppressLineNumbers w:val="0"/>
                    <w:spacing w:before="0" w:beforeAutospacing="0" w:after="0" w:afterAutospacing="0" w:line="240" w:lineRule="auto"/>
                    <w:ind w:left="0" w:right="0"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固态</w:t>
                  </w:r>
                </w:p>
              </w:tc>
              <w:tc>
                <w:tcPr>
                  <w:tcW w:w="837" w:type="pct"/>
                  <w:vAlign w:val="center"/>
                </w:tcPr>
                <w:p w14:paraId="46DBFA3E">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900-249-08</w:t>
                  </w:r>
                </w:p>
              </w:tc>
              <w:tc>
                <w:tcPr>
                  <w:tcW w:w="577" w:type="pct"/>
                  <w:vAlign w:val="center"/>
                </w:tcPr>
                <w:p w14:paraId="4C426818">
                  <w:pPr>
                    <w:pStyle w:val="61"/>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0.3</w:t>
                  </w:r>
                </w:p>
              </w:tc>
              <w:tc>
                <w:tcPr>
                  <w:tcW w:w="576" w:type="pct"/>
                  <w:vMerge w:val="restart"/>
                  <w:vAlign w:val="center"/>
                </w:tcPr>
                <w:p w14:paraId="22F9D962">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暂存于危废贮存点，交有资质单位处理</w:t>
                  </w:r>
                </w:p>
              </w:tc>
            </w:tr>
            <w:tr w14:paraId="65B3E0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0" w:hRule="atLeast"/>
              </w:trPr>
              <w:tc>
                <w:tcPr>
                  <w:tcW w:w="420" w:type="pct"/>
                  <w:vMerge w:val="continue"/>
                  <w:vAlign w:val="center"/>
                </w:tcPr>
                <w:p w14:paraId="1727A006">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p>
              </w:tc>
              <w:tc>
                <w:tcPr>
                  <w:tcW w:w="731" w:type="pct"/>
                  <w:vAlign w:val="center"/>
                </w:tcPr>
                <w:p w14:paraId="71F8B7D3">
                  <w:pPr>
                    <w:pStyle w:val="61"/>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废过滤网</w:t>
                  </w:r>
                </w:p>
              </w:tc>
              <w:tc>
                <w:tcPr>
                  <w:tcW w:w="579" w:type="pct"/>
                  <w:vAlign w:val="center"/>
                </w:tcPr>
                <w:p w14:paraId="42714580">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过滤</w:t>
                  </w:r>
                </w:p>
              </w:tc>
              <w:tc>
                <w:tcPr>
                  <w:tcW w:w="660" w:type="pct"/>
                  <w:vMerge w:val="continue"/>
                  <w:vAlign w:val="center"/>
                </w:tcPr>
                <w:p w14:paraId="2E352C66">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p>
              </w:tc>
              <w:tc>
                <w:tcPr>
                  <w:tcW w:w="616" w:type="pct"/>
                  <w:vAlign w:val="center"/>
                </w:tcPr>
                <w:p w14:paraId="34862BB0">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lang w:val="en-US" w:eastAsia="zh-CN"/>
                    </w:rPr>
                    <w:t>固态</w:t>
                  </w:r>
                </w:p>
              </w:tc>
              <w:tc>
                <w:tcPr>
                  <w:tcW w:w="837" w:type="pct"/>
                  <w:vAlign w:val="center"/>
                </w:tcPr>
                <w:p w14:paraId="4A12F314">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900-249-08</w:t>
                  </w:r>
                </w:p>
              </w:tc>
              <w:tc>
                <w:tcPr>
                  <w:tcW w:w="577" w:type="pct"/>
                  <w:vAlign w:val="center"/>
                </w:tcPr>
                <w:p w14:paraId="7E138A13">
                  <w:pPr>
                    <w:pStyle w:val="61"/>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0.05</w:t>
                  </w:r>
                </w:p>
              </w:tc>
              <w:tc>
                <w:tcPr>
                  <w:tcW w:w="576" w:type="pct"/>
                  <w:vMerge w:val="continue"/>
                  <w:vAlign w:val="center"/>
                </w:tcPr>
                <w:p w14:paraId="7E87E8DB">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p>
              </w:tc>
            </w:tr>
            <w:tr w14:paraId="0283B6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0" w:hRule="atLeast"/>
              </w:trPr>
              <w:tc>
                <w:tcPr>
                  <w:tcW w:w="420" w:type="pct"/>
                  <w:vAlign w:val="center"/>
                </w:tcPr>
                <w:p w14:paraId="533CE26F">
                  <w:pPr>
                    <w:pStyle w:val="61"/>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一般工业固体废物</w:t>
                  </w:r>
                </w:p>
              </w:tc>
              <w:tc>
                <w:tcPr>
                  <w:tcW w:w="731" w:type="pct"/>
                  <w:vAlign w:val="center"/>
                </w:tcPr>
                <w:p w14:paraId="2830164C">
                  <w:pPr>
                    <w:pStyle w:val="61"/>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落地石蜡</w:t>
                  </w:r>
                </w:p>
              </w:tc>
              <w:tc>
                <w:tcPr>
                  <w:tcW w:w="579" w:type="pct"/>
                  <w:vAlign w:val="center"/>
                </w:tcPr>
                <w:p w14:paraId="0A906F58">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生产</w:t>
                  </w:r>
                </w:p>
              </w:tc>
              <w:tc>
                <w:tcPr>
                  <w:tcW w:w="660" w:type="pct"/>
                  <w:vMerge w:val="continue"/>
                  <w:vAlign w:val="center"/>
                </w:tcPr>
                <w:p w14:paraId="445CF9FA">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p>
              </w:tc>
              <w:tc>
                <w:tcPr>
                  <w:tcW w:w="616" w:type="pct"/>
                  <w:vAlign w:val="center"/>
                </w:tcPr>
                <w:p w14:paraId="067E503B">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lang w:val="en-US" w:eastAsia="zh-CN"/>
                    </w:rPr>
                    <w:t>固态</w:t>
                  </w:r>
                </w:p>
              </w:tc>
              <w:tc>
                <w:tcPr>
                  <w:tcW w:w="837" w:type="pct"/>
                  <w:vAlign w:val="center"/>
                </w:tcPr>
                <w:p w14:paraId="3D41D1DF">
                  <w:pPr>
                    <w:pStyle w:val="61"/>
                    <w:keepNext w:val="0"/>
                    <w:keepLines w:val="0"/>
                    <w:suppressLineNumbers w:val="0"/>
                    <w:spacing w:before="0" w:beforeAutospacing="0" w:after="0" w:afterAutospacing="0" w:line="240" w:lineRule="auto"/>
                    <w:ind w:left="0" w:right="0"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900-099-S59</w:t>
                  </w:r>
                </w:p>
              </w:tc>
              <w:tc>
                <w:tcPr>
                  <w:tcW w:w="577" w:type="pct"/>
                  <w:vAlign w:val="center"/>
                </w:tcPr>
                <w:p w14:paraId="4F68BDA4">
                  <w:pPr>
                    <w:pStyle w:val="61"/>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2.7</w:t>
                  </w:r>
                </w:p>
              </w:tc>
              <w:tc>
                <w:tcPr>
                  <w:tcW w:w="576" w:type="pct"/>
                  <w:vAlign w:val="center"/>
                </w:tcPr>
                <w:p w14:paraId="4DB2D854">
                  <w:pPr>
                    <w:pStyle w:val="61"/>
                    <w:keepNext w:val="0"/>
                    <w:keepLines w:val="0"/>
                    <w:suppressLineNumbers w:val="0"/>
                    <w:spacing w:before="0" w:beforeAutospacing="0" w:after="0" w:afterAutospacing="0" w:line="240" w:lineRule="auto"/>
                    <w:ind w:left="0" w:right="0" w:firstLine="0" w:firstLine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出售</w:t>
                  </w:r>
                </w:p>
              </w:tc>
            </w:tr>
          </w:tbl>
          <w:p w14:paraId="6B33B846">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15</w:t>
            </w:r>
            <w:r>
              <w:rPr>
                <w:rFonts w:hint="eastAsia"/>
                <w:color w:val="auto"/>
                <w:sz w:val="24"/>
                <w:highlight w:val="none"/>
              </w:rPr>
              <w:t xml:space="preserve">  本项目危废属性一览表</w:t>
            </w:r>
          </w:p>
          <w:tbl>
            <w:tblPr>
              <w:tblStyle w:val="27"/>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10"/>
              <w:gridCol w:w="617"/>
              <w:gridCol w:w="1220"/>
              <w:gridCol w:w="702"/>
              <w:gridCol w:w="586"/>
              <w:gridCol w:w="426"/>
              <w:gridCol w:w="718"/>
              <w:gridCol w:w="661"/>
              <w:gridCol w:w="1104"/>
              <w:gridCol w:w="984"/>
            </w:tblGrid>
            <w:tr w14:paraId="5641E1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517" w:type="pct"/>
                  <w:vAlign w:val="center"/>
                </w:tcPr>
                <w:p w14:paraId="599AE200">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危险</w:t>
                  </w:r>
                  <w:r>
                    <w:rPr>
                      <w:color w:val="auto"/>
                      <w:sz w:val="21"/>
                      <w:szCs w:val="21"/>
                      <w:highlight w:val="none"/>
                    </w:rPr>
                    <w:t>废物名称</w:t>
                  </w:r>
                </w:p>
              </w:tc>
              <w:tc>
                <w:tcPr>
                  <w:tcW w:w="394" w:type="pct"/>
                  <w:vAlign w:val="center"/>
                </w:tcPr>
                <w:p w14:paraId="33F787A0">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危险废物类别</w:t>
                  </w:r>
                </w:p>
              </w:tc>
              <w:tc>
                <w:tcPr>
                  <w:tcW w:w="779" w:type="pct"/>
                  <w:vAlign w:val="center"/>
                </w:tcPr>
                <w:p w14:paraId="6283113C">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危险废物</w:t>
                  </w:r>
                  <w:r>
                    <w:rPr>
                      <w:color w:val="auto"/>
                      <w:sz w:val="21"/>
                      <w:szCs w:val="21"/>
                      <w:highlight w:val="none"/>
                    </w:rPr>
                    <w:t>代码</w:t>
                  </w:r>
                </w:p>
              </w:tc>
              <w:tc>
                <w:tcPr>
                  <w:tcW w:w="448" w:type="pct"/>
                  <w:vAlign w:val="center"/>
                </w:tcPr>
                <w:p w14:paraId="436F4BE3">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产生量t/a</w:t>
                  </w:r>
                </w:p>
              </w:tc>
              <w:tc>
                <w:tcPr>
                  <w:tcW w:w="374" w:type="pct"/>
                  <w:vAlign w:val="center"/>
                </w:tcPr>
                <w:p w14:paraId="47C67E79">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产生工序及装置</w:t>
                  </w:r>
                </w:p>
              </w:tc>
              <w:tc>
                <w:tcPr>
                  <w:tcW w:w="272" w:type="pct"/>
                  <w:vAlign w:val="center"/>
                </w:tcPr>
                <w:p w14:paraId="62851717">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形态</w:t>
                  </w:r>
                </w:p>
              </w:tc>
              <w:tc>
                <w:tcPr>
                  <w:tcW w:w="458" w:type="pct"/>
                  <w:vAlign w:val="center"/>
                </w:tcPr>
                <w:p w14:paraId="62AFE78E">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color w:val="auto"/>
                      <w:sz w:val="21"/>
                      <w:szCs w:val="21"/>
                      <w:highlight w:val="none"/>
                    </w:rPr>
                    <w:t>有害</w:t>
                  </w:r>
                  <w:r>
                    <w:rPr>
                      <w:rFonts w:hint="eastAsia"/>
                      <w:color w:val="auto"/>
                      <w:sz w:val="21"/>
                      <w:szCs w:val="21"/>
                      <w:highlight w:val="none"/>
                    </w:rPr>
                    <w:t>成分</w:t>
                  </w:r>
                </w:p>
              </w:tc>
              <w:tc>
                <w:tcPr>
                  <w:tcW w:w="422" w:type="pct"/>
                  <w:vAlign w:val="center"/>
                </w:tcPr>
                <w:p w14:paraId="0F8E5F96">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产废周期</w:t>
                  </w:r>
                </w:p>
              </w:tc>
              <w:tc>
                <w:tcPr>
                  <w:tcW w:w="705" w:type="pct"/>
                  <w:vAlign w:val="center"/>
                </w:tcPr>
                <w:p w14:paraId="58B3539A">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危险特性</w:t>
                  </w:r>
                </w:p>
              </w:tc>
              <w:tc>
                <w:tcPr>
                  <w:tcW w:w="628" w:type="pct"/>
                  <w:vAlign w:val="center"/>
                </w:tcPr>
                <w:p w14:paraId="6CF7B3F8">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污染防治措施</w:t>
                  </w:r>
                </w:p>
              </w:tc>
            </w:tr>
            <w:tr w14:paraId="554E68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9" w:hRule="atLeast"/>
              </w:trPr>
              <w:tc>
                <w:tcPr>
                  <w:tcW w:w="517" w:type="pct"/>
                  <w:shd w:val="clear" w:color="auto" w:fill="auto"/>
                  <w:vAlign w:val="center"/>
                </w:tcPr>
                <w:p w14:paraId="40D7DE56">
                  <w:pPr>
                    <w:pStyle w:val="61"/>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过滤杂质</w:t>
                  </w:r>
                </w:p>
              </w:tc>
              <w:tc>
                <w:tcPr>
                  <w:tcW w:w="394" w:type="pct"/>
                  <w:vAlign w:val="center"/>
                </w:tcPr>
                <w:p w14:paraId="710DFE67">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HW08</w:t>
                  </w:r>
                </w:p>
              </w:tc>
              <w:tc>
                <w:tcPr>
                  <w:tcW w:w="779" w:type="pct"/>
                  <w:shd w:val="clear" w:color="auto" w:fill="auto"/>
                  <w:vAlign w:val="center"/>
                </w:tcPr>
                <w:p w14:paraId="69E9414B">
                  <w:pPr>
                    <w:pStyle w:val="61"/>
                    <w:keepNext w:val="0"/>
                    <w:keepLines w:val="0"/>
                    <w:suppressLineNumbers w:val="0"/>
                    <w:spacing w:before="0" w:beforeAutospacing="0" w:after="0" w:afterAutospacing="0" w:line="240" w:lineRule="auto"/>
                    <w:ind w:left="0" w:right="0"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900-249-08</w:t>
                  </w:r>
                </w:p>
              </w:tc>
              <w:tc>
                <w:tcPr>
                  <w:tcW w:w="448" w:type="pct"/>
                  <w:shd w:val="clear" w:color="auto" w:fill="auto"/>
                  <w:vAlign w:val="center"/>
                </w:tcPr>
                <w:p w14:paraId="0B617551">
                  <w:pPr>
                    <w:pStyle w:val="61"/>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0.3</w:t>
                  </w:r>
                </w:p>
              </w:tc>
              <w:tc>
                <w:tcPr>
                  <w:tcW w:w="374" w:type="pct"/>
                  <w:shd w:val="clear" w:color="auto" w:fill="auto"/>
                  <w:vAlign w:val="center"/>
                </w:tcPr>
                <w:p w14:paraId="6A523C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过滤</w:t>
                  </w:r>
                </w:p>
              </w:tc>
              <w:tc>
                <w:tcPr>
                  <w:tcW w:w="272" w:type="pct"/>
                  <w:shd w:val="clear" w:color="auto" w:fill="auto"/>
                  <w:vAlign w:val="center"/>
                </w:tcPr>
                <w:p w14:paraId="1011A14E">
                  <w:pPr>
                    <w:pStyle w:val="61"/>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固态</w:t>
                  </w:r>
                </w:p>
              </w:tc>
              <w:tc>
                <w:tcPr>
                  <w:tcW w:w="458" w:type="pct"/>
                  <w:vMerge w:val="restart"/>
                  <w:vAlign w:val="center"/>
                </w:tcPr>
                <w:p w14:paraId="4CB32BEF">
                  <w:pPr>
                    <w:pStyle w:val="61"/>
                    <w:keepNext w:val="0"/>
                    <w:keepLines w:val="0"/>
                    <w:suppressLineNumbers w:val="0"/>
                    <w:spacing w:before="0" w:beforeAutospacing="0" w:after="0" w:afterAutospacing="0" w:line="240" w:lineRule="auto"/>
                    <w:ind w:left="0" w:right="0" w:firstLine="0" w:firstLineChars="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石蜡、微晶蜡等有机物</w:t>
                  </w:r>
                </w:p>
              </w:tc>
              <w:tc>
                <w:tcPr>
                  <w:tcW w:w="422" w:type="pct"/>
                  <w:vAlign w:val="center"/>
                </w:tcPr>
                <w:p w14:paraId="509CD2F7">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间歇</w:t>
                  </w:r>
                </w:p>
              </w:tc>
              <w:tc>
                <w:tcPr>
                  <w:tcW w:w="705" w:type="pct"/>
                  <w:vAlign w:val="center"/>
                </w:tcPr>
                <w:p w14:paraId="2E24C661">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T，I</w:t>
                  </w:r>
                </w:p>
              </w:tc>
              <w:tc>
                <w:tcPr>
                  <w:tcW w:w="628" w:type="pct"/>
                  <w:vMerge w:val="restart"/>
                  <w:vAlign w:val="center"/>
                </w:tcPr>
                <w:p w14:paraId="51FC861A">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暂存于危废贮存点，分开存放，定期交有资质单位处理</w:t>
                  </w:r>
                </w:p>
              </w:tc>
            </w:tr>
            <w:tr w14:paraId="4E8BDD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517" w:type="pct"/>
                  <w:shd w:val="clear" w:color="auto" w:fill="auto"/>
                  <w:vAlign w:val="center"/>
                </w:tcPr>
                <w:p w14:paraId="09EA4A46">
                  <w:pPr>
                    <w:pStyle w:val="61"/>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废过滤网</w:t>
                  </w:r>
                </w:p>
              </w:tc>
              <w:tc>
                <w:tcPr>
                  <w:tcW w:w="394" w:type="pct"/>
                  <w:vAlign w:val="center"/>
                </w:tcPr>
                <w:p w14:paraId="100AA947">
                  <w:pPr>
                    <w:keepNext w:val="0"/>
                    <w:keepLines w:val="0"/>
                    <w:suppressLineNumbers w:val="0"/>
                    <w:spacing w:before="0" w:beforeAutospacing="0" w:after="0" w:afterAutospacing="0"/>
                    <w:ind w:left="0" w:right="0"/>
                    <w:jc w:val="center"/>
                    <w:rPr>
                      <w:color w:val="auto"/>
                      <w:highlight w:val="none"/>
                    </w:rPr>
                  </w:pPr>
                  <w:r>
                    <w:rPr>
                      <w:rFonts w:hint="eastAsia"/>
                      <w:color w:val="auto"/>
                      <w:szCs w:val="21"/>
                      <w:highlight w:val="none"/>
                      <w:lang w:val="en-US" w:eastAsia="zh-CN"/>
                    </w:rPr>
                    <w:t>HW08</w:t>
                  </w:r>
                </w:p>
              </w:tc>
              <w:tc>
                <w:tcPr>
                  <w:tcW w:w="779" w:type="pct"/>
                  <w:shd w:val="clear" w:color="auto" w:fill="auto"/>
                  <w:vAlign w:val="center"/>
                </w:tcPr>
                <w:p w14:paraId="1C85FA45">
                  <w:pPr>
                    <w:pStyle w:val="61"/>
                    <w:keepNext w:val="0"/>
                    <w:keepLines w:val="0"/>
                    <w:suppressLineNumbers w:val="0"/>
                    <w:spacing w:before="0" w:beforeAutospacing="0" w:after="0" w:afterAutospacing="0" w:line="240" w:lineRule="auto"/>
                    <w:ind w:left="0" w:right="0"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900-249-08</w:t>
                  </w:r>
                </w:p>
              </w:tc>
              <w:tc>
                <w:tcPr>
                  <w:tcW w:w="448" w:type="pct"/>
                  <w:shd w:val="clear" w:color="auto" w:fill="auto"/>
                  <w:vAlign w:val="center"/>
                </w:tcPr>
                <w:p w14:paraId="7C93A3E4">
                  <w:pPr>
                    <w:pStyle w:val="61"/>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0.05</w:t>
                  </w:r>
                </w:p>
              </w:tc>
              <w:tc>
                <w:tcPr>
                  <w:tcW w:w="374" w:type="pct"/>
                  <w:shd w:val="clear" w:color="auto" w:fill="auto"/>
                  <w:vAlign w:val="center"/>
                </w:tcPr>
                <w:p w14:paraId="091A9B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过滤</w:t>
                  </w:r>
                </w:p>
              </w:tc>
              <w:tc>
                <w:tcPr>
                  <w:tcW w:w="272" w:type="pct"/>
                  <w:shd w:val="clear" w:color="auto" w:fill="auto"/>
                  <w:vAlign w:val="center"/>
                </w:tcPr>
                <w:p w14:paraId="7D172347">
                  <w:pPr>
                    <w:pStyle w:val="61"/>
                    <w:keepNext w:val="0"/>
                    <w:keepLines w:val="0"/>
                    <w:suppressLineNumbers w:val="0"/>
                    <w:spacing w:before="0" w:beforeAutospacing="0" w:after="0" w:afterAutospacing="0" w:line="240" w:lineRule="auto"/>
                    <w:ind w:left="0" w:right="0" w:firstLine="0" w:firstLineChars="0"/>
                    <w:jc w:val="center"/>
                    <w:rPr>
                      <w:rFonts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固态</w:t>
                  </w:r>
                </w:p>
              </w:tc>
              <w:tc>
                <w:tcPr>
                  <w:tcW w:w="458" w:type="pct"/>
                  <w:vMerge w:val="continue"/>
                  <w:vAlign w:val="center"/>
                </w:tcPr>
                <w:p w14:paraId="2FC22E32">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p>
              </w:tc>
              <w:tc>
                <w:tcPr>
                  <w:tcW w:w="422" w:type="pct"/>
                  <w:vAlign w:val="center"/>
                </w:tcPr>
                <w:p w14:paraId="3BC84D66">
                  <w:pPr>
                    <w:pStyle w:val="61"/>
                    <w:keepNext w:val="0"/>
                    <w:keepLines w:val="0"/>
                    <w:suppressLineNumbers w:val="0"/>
                    <w:spacing w:before="0" w:beforeAutospacing="0" w:after="0" w:afterAutospacing="0" w:line="240" w:lineRule="auto"/>
                    <w:ind w:left="0" w:right="0" w:firstLine="0" w:firstLineChars="0"/>
                    <w:jc w:val="center"/>
                    <w:rPr>
                      <w:color w:val="auto"/>
                      <w:szCs w:val="21"/>
                      <w:highlight w:val="none"/>
                    </w:rPr>
                  </w:pPr>
                  <w:r>
                    <w:rPr>
                      <w:rFonts w:hint="eastAsia"/>
                      <w:color w:val="auto"/>
                      <w:sz w:val="21"/>
                      <w:szCs w:val="21"/>
                      <w:highlight w:val="none"/>
                    </w:rPr>
                    <w:t>间歇</w:t>
                  </w:r>
                </w:p>
              </w:tc>
              <w:tc>
                <w:tcPr>
                  <w:tcW w:w="705" w:type="pct"/>
                  <w:vAlign w:val="center"/>
                </w:tcPr>
                <w:p w14:paraId="3F11D5BB">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r>
                    <w:rPr>
                      <w:rFonts w:hint="eastAsia"/>
                      <w:color w:val="auto"/>
                      <w:sz w:val="21"/>
                      <w:szCs w:val="21"/>
                      <w:highlight w:val="none"/>
                    </w:rPr>
                    <w:t>T，I</w:t>
                  </w:r>
                </w:p>
              </w:tc>
              <w:tc>
                <w:tcPr>
                  <w:tcW w:w="628" w:type="pct"/>
                  <w:vMerge w:val="continue"/>
                  <w:vAlign w:val="center"/>
                </w:tcPr>
                <w:p w14:paraId="0F914A62">
                  <w:pPr>
                    <w:pStyle w:val="61"/>
                    <w:keepNext w:val="0"/>
                    <w:keepLines w:val="0"/>
                    <w:suppressLineNumbers w:val="0"/>
                    <w:spacing w:before="0" w:beforeAutospacing="0" w:after="0" w:afterAutospacing="0" w:line="240" w:lineRule="auto"/>
                    <w:ind w:left="0" w:right="0" w:firstLine="0" w:firstLineChars="0"/>
                    <w:jc w:val="center"/>
                    <w:rPr>
                      <w:color w:val="auto"/>
                      <w:sz w:val="21"/>
                      <w:szCs w:val="21"/>
                      <w:highlight w:val="none"/>
                    </w:rPr>
                  </w:pPr>
                </w:p>
              </w:tc>
            </w:tr>
          </w:tbl>
          <w:p w14:paraId="2633D8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color w:val="auto"/>
                <w:sz w:val="24"/>
                <w:highlight w:val="none"/>
              </w:rPr>
            </w:pPr>
            <w:r>
              <w:rPr>
                <w:rFonts w:hint="eastAsia"/>
                <w:color w:val="auto"/>
                <w:sz w:val="24"/>
                <w:highlight w:val="none"/>
              </w:rPr>
              <w:t>（4）贮存能力符合性分析</w:t>
            </w:r>
          </w:p>
          <w:p w14:paraId="63A2D1D5">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auto"/>
                <w:sz w:val="24"/>
                <w:highlight w:val="none"/>
                <w:lang w:val="en-US" w:eastAsia="zh-CN"/>
              </w:rPr>
            </w:pPr>
            <w:r>
              <w:rPr>
                <w:rFonts w:hint="eastAsia"/>
                <w:color w:val="auto"/>
                <w:sz w:val="24"/>
                <w:highlight w:val="none"/>
                <w:lang w:val="en-US" w:eastAsia="zh-CN"/>
              </w:rPr>
              <w:t>①一般固体废物暂存处</w:t>
            </w:r>
          </w:p>
          <w:p w14:paraId="2D2A8ACA">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color w:val="auto"/>
                <w:sz w:val="24"/>
                <w:highlight w:val="none"/>
                <w:lang w:val="en-US" w:eastAsia="zh-CN"/>
              </w:rPr>
            </w:pPr>
            <w:r>
              <w:rPr>
                <w:rFonts w:hint="eastAsia"/>
                <w:color w:val="auto"/>
                <w:sz w:val="24"/>
                <w:highlight w:val="none"/>
                <w:lang w:val="en-US" w:eastAsia="zh-CN"/>
              </w:rPr>
              <w:t>现有一般固废暂存间1座，占地面积10m</w:t>
            </w:r>
            <w:r>
              <w:rPr>
                <w:rFonts w:hint="eastAsia"/>
                <w:color w:val="auto"/>
                <w:sz w:val="24"/>
                <w:highlight w:val="none"/>
                <w:vertAlign w:val="superscript"/>
                <w:lang w:val="en-US" w:eastAsia="zh-CN"/>
              </w:rPr>
              <w:t>2</w:t>
            </w:r>
            <w:r>
              <w:rPr>
                <w:rFonts w:hint="eastAsia"/>
                <w:color w:val="auto"/>
                <w:sz w:val="24"/>
                <w:highlight w:val="none"/>
                <w:lang w:val="en-US" w:eastAsia="zh-CN"/>
              </w:rPr>
              <w:t>，贮存高度1.5m，</w:t>
            </w:r>
            <w:r>
              <w:rPr>
                <w:rFonts w:hint="eastAsia"/>
                <w:color w:val="auto"/>
                <w:sz w:val="24"/>
                <w:highlight w:val="none"/>
              </w:rPr>
              <w:t>则</w:t>
            </w:r>
            <w:r>
              <w:rPr>
                <w:rFonts w:hint="eastAsia"/>
                <w:color w:val="auto"/>
                <w:sz w:val="24"/>
                <w:highlight w:val="none"/>
                <w:lang w:val="en-US" w:eastAsia="zh-CN"/>
              </w:rPr>
              <w:t>一般工业固体废物</w:t>
            </w:r>
            <w:r>
              <w:rPr>
                <w:rFonts w:hint="eastAsia"/>
                <w:color w:val="auto"/>
                <w:sz w:val="24"/>
                <w:highlight w:val="none"/>
              </w:rPr>
              <w:t>最大贮存能力为</w:t>
            </w:r>
            <w:r>
              <w:rPr>
                <w:rFonts w:hint="eastAsia"/>
                <w:color w:val="auto"/>
                <w:sz w:val="24"/>
                <w:highlight w:val="none"/>
                <w:lang w:val="en-US" w:eastAsia="zh-CN"/>
              </w:rPr>
              <w:t>15</w:t>
            </w:r>
            <w:r>
              <w:rPr>
                <w:rFonts w:hint="eastAsia"/>
                <w:color w:val="auto"/>
                <w:sz w:val="24"/>
                <w:highlight w:val="none"/>
              </w:rPr>
              <w:t>t。</w:t>
            </w:r>
            <w:r>
              <w:rPr>
                <w:rFonts w:hint="eastAsia"/>
                <w:color w:val="auto"/>
                <w:sz w:val="24"/>
                <w:highlight w:val="none"/>
                <w:lang w:val="en-US" w:eastAsia="zh-CN"/>
              </w:rPr>
              <w:t>原项目一般工业固体废物0.4t/a，本项目新增2.7t/a，现有一般固废暂存间能够满足使用要求。</w:t>
            </w:r>
          </w:p>
          <w:p w14:paraId="0714A824">
            <w:pPr>
              <w:keepNext w:val="0"/>
              <w:keepLines w:val="0"/>
              <w:suppressLineNumbers w:val="0"/>
              <w:adjustRightInd w:val="0"/>
              <w:snapToGrid w:val="0"/>
              <w:spacing w:before="0" w:beforeAutospacing="0" w:after="0" w:afterAutospacing="0" w:line="360" w:lineRule="auto"/>
              <w:ind w:left="0" w:right="0" w:firstLine="480" w:firstLineChars="200"/>
              <w:rPr>
                <w:rFonts w:hint="default"/>
                <w:color w:val="auto"/>
                <w:sz w:val="24"/>
                <w:highlight w:val="none"/>
                <w:lang w:val="en-US" w:eastAsia="zh-CN"/>
              </w:rPr>
            </w:pPr>
            <w:r>
              <w:rPr>
                <w:rFonts w:hint="eastAsia"/>
                <w:color w:val="auto"/>
                <w:sz w:val="24"/>
                <w:highlight w:val="none"/>
                <w:lang w:val="en-US" w:eastAsia="zh-CN"/>
              </w:rPr>
              <w:t>②危险废物</w:t>
            </w:r>
          </w:p>
          <w:p w14:paraId="75274A67">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lang w:val="en-US" w:eastAsia="zh-CN"/>
              </w:rPr>
              <w:t>汉圣化工原有1座占地面积2</w:t>
            </w:r>
            <w:r>
              <w:rPr>
                <w:rFonts w:hint="eastAsia"/>
                <w:color w:val="auto"/>
                <w:sz w:val="24"/>
                <w:highlight w:val="none"/>
              </w:rPr>
              <w:t>m</w:t>
            </w:r>
            <w:r>
              <w:rPr>
                <w:rFonts w:hint="eastAsia"/>
                <w:color w:val="auto"/>
                <w:sz w:val="24"/>
                <w:highlight w:val="none"/>
                <w:vertAlign w:val="superscript"/>
              </w:rPr>
              <w:t>2</w:t>
            </w:r>
            <w:r>
              <w:rPr>
                <w:rFonts w:hint="eastAsia"/>
                <w:color w:val="auto"/>
                <w:sz w:val="24"/>
                <w:highlight w:val="none"/>
                <w:vertAlign w:val="baseline"/>
                <w:lang w:val="en-US" w:eastAsia="zh-CN"/>
              </w:rPr>
              <w:t>的危废贮存点</w:t>
            </w:r>
            <w:r>
              <w:rPr>
                <w:rFonts w:hint="eastAsia"/>
                <w:color w:val="auto"/>
                <w:sz w:val="24"/>
                <w:highlight w:val="none"/>
              </w:rPr>
              <w:t>，</w:t>
            </w:r>
            <w:r>
              <w:rPr>
                <w:rFonts w:hint="eastAsia"/>
                <w:color w:val="auto"/>
                <w:sz w:val="24"/>
                <w:highlight w:val="none"/>
                <w:lang w:val="en-US" w:eastAsia="zh-CN"/>
              </w:rPr>
              <w:t>贮存高度1m，</w:t>
            </w:r>
            <w:r>
              <w:rPr>
                <w:rFonts w:hint="eastAsia"/>
                <w:color w:val="auto"/>
                <w:sz w:val="24"/>
                <w:highlight w:val="none"/>
              </w:rPr>
              <w:t>则危废贮存点最大贮存能力为</w:t>
            </w:r>
            <w:r>
              <w:rPr>
                <w:rFonts w:hint="eastAsia"/>
                <w:color w:val="auto"/>
                <w:sz w:val="24"/>
                <w:highlight w:val="none"/>
                <w:lang w:val="en-US" w:eastAsia="zh-CN"/>
              </w:rPr>
              <w:t>2</w:t>
            </w:r>
            <w:r>
              <w:rPr>
                <w:rFonts w:hint="eastAsia"/>
                <w:color w:val="auto"/>
                <w:sz w:val="24"/>
                <w:highlight w:val="none"/>
              </w:rPr>
              <w:t>t。</w:t>
            </w:r>
            <w:r>
              <w:rPr>
                <w:rFonts w:hint="eastAsia"/>
                <w:color w:val="auto"/>
                <w:sz w:val="24"/>
                <w:highlight w:val="none"/>
                <w:lang w:val="en-US" w:eastAsia="zh-CN"/>
              </w:rPr>
              <w:t>原项目危险废物产生量约1.2t/a，本项目产生危险废物0.35t/a。</w:t>
            </w:r>
            <w:r>
              <w:rPr>
                <w:rFonts w:hint="eastAsia"/>
                <w:color w:val="auto"/>
                <w:sz w:val="24"/>
                <w:highlight w:val="none"/>
              </w:rPr>
              <w:t>危废贮存点每季度转运一次，全厂最大贮存量</w:t>
            </w:r>
            <w:r>
              <w:rPr>
                <w:rFonts w:hint="eastAsia"/>
                <w:color w:val="auto"/>
                <w:sz w:val="24"/>
                <w:highlight w:val="none"/>
                <w:lang w:val="en-US" w:eastAsia="zh-CN"/>
              </w:rPr>
              <w:t>1.55</w:t>
            </w:r>
            <w:r>
              <w:rPr>
                <w:rFonts w:hint="eastAsia"/>
                <w:color w:val="auto"/>
                <w:sz w:val="24"/>
                <w:highlight w:val="none"/>
              </w:rPr>
              <w:t>t，小于危废贮存点最大贮存能力，故危废贮存点贮存能力</w:t>
            </w:r>
            <w:r>
              <w:rPr>
                <w:rFonts w:hint="eastAsia"/>
                <w:color w:val="auto"/>
                <w:sz w:val="24"/>
                <w:highlight w:val="none"/>
                <w:lang w:val="en-US" w:eastAsia="zh-CN"/>
              </w:rPr>
              <w:t>能够满足使用要求</w:t>
            </w:r>
            <w:r>
              <w:rPr>
                <w:rFonts w:hint="eastAsia"/>
                <w:color w:val="auto"/>
                <w:sz w:val="24"/>
                <w:highlight w:val="none"/>
              </w:rPr>
              <w:t>。</w:t>
            </w:r>
          </w:p>
          <w:p w14:paraId="5DC2CE40">
            <w:pPr>
              <w:keepNext w:val="0"/>
              <w:keepLines w:val="0"/>
              <w:suppressLineNumbers w:val="0"/>
              <w:adjustRightInd w:val="0"/>
              <w:snapToGrid w:val="0"/>
              <w:spacing w:before="0" w:beforeAutospacing="0" w:after="0" w:afterAutospacing="0" w:line="360" w:lineRule="auto"/>
              <w:ind w:left="0" w:right="0" w:firstLine="480" w:firstLineChars="200"/>
              <w:rPr>
                <w:rFonts w:hint="default" w:eastAsia="宋体"/>
                <w:color w:val="auto"/>
                <w:sz w:val="24"/>
                <w:highlight w:val="none"/>
                <w:lang w:val="en-US" w:eastAsia="zh-CN"/>
              </w:rPr>
            </w:pPr>
            <w:r>
              <w:rPr>
                <w:rFonts w:hint="eastAsia"/>
                <w:color w:val="auto"/>
                <w:sz w:val="24"/>
                <w:highlight w:val="none"/>
                <w:lang w:eastAsia="zh-CN"/>
              </w:rPr>
              <w:t>（</w:t>
            </w:r>
            <w:r>
              <w:rPr>
                <w:rFonts w:hint="eastAsia"/>
                <w:color w:val="auto"/>
                <w:sz w:val="24"/>
                <w:highlight w:val="none"/>
                <w:lang w:val="en-US" w:eastAsia="zh-CN"/>
              </w:rPr>
              <w:t>5</w:t>
            </w:r>
            <w:r>
              <w:rPr>
                <w:rFonts w:hint="eastAsia"/>
                <w:color w:val="auto"/>
                <w:sz w:val="24"/>
                <w:highlight w:val="none"/>
                <w:lang w:eastAsia="zh-CN"/>
              </w:rPr>
              <w:t>）</w:t>
            </w:r>
            <w:r>
              <w:rPr>
                <w:rFonts w:hint="eastAsia"/>
                <w:color w:val="auto"/>
                <w:sz w:val="24"/>
                <w:highlight w:val="none"/>
                <w:lang w:val="en-US" w:eastAsia="zh-CN"/>
              </w:rPr>
              <w:t>一般固体废物暂存间要求</w:t>
            </w:r>
          </w:p>
          <w:p w14:paraId="769E0E34">
            <w:pPr>
              <w:keepNext w:val="0"/>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lang w:val="en-US" w:eastAsia="zh-CN"/>
              </w:rPr>
              <w:t>一般固体废物暂存间的</w:t>
            </w:r>
            <w:r>
              <w:rPr>
                <w:rFonts w:hint="eastAsia"/>
                <w:color w:val="auto"/>
                <w:sz w:val="24"/>
                <w:highlight w:val="none"/>
              </w:rPr>
              <w:t>建设需满足防渗漏、防雨淋、防扬尘等环境保护要求。</w:t>
            </w:r>
          </w:p>
          <w:p w14:paraId="1119AD01">
            <w:pPr>
              <w:keepNext w:val="0"/>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企业</w:t>
            </w:r>
            <w:r>
              <w:rPr>
                <w:rFonts w:hint="eastAsia"/>
                <w:color w:val="auto"/>
                <w:sz w:val="24"/>
                <w:highlight w:val="none"/>
                <w:lang w:val="en-US" w:eastAsia="zh-CN"/>
              </w:rPr>
              <w:t>已</w:t>
            </w:r>
            <w:r>
              <w:rPr>
                <w:rFonts w:hint="eastAsia"/>
                <w:color w:val="auto"/>
                <w:sz w:val="24"/>
                <w:highlight w:val="none"/>
              </w:rPr>
              <w:t>建立一般工业固体废物产生、收集、贮存、运输、利用、处置全过程管理台账。台账由专人管理，防止遗失，保存期限不少于5年。按固废类别进行分类贮存，并在显著位置张贴标志。禁止将一般工业固体废物投放到生活垃圾收集设施，禁止将不符合豁免条件的危险废物等混入到一般工业固体废物收集贮存设施。</w:t>
            </w:r>
          </w:p>
          <w:p w14:paraId="4A778C7E">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w:t>
            </w:r>
            <w:r>
              <w:rPr>
                <w:rFonts w:hint="eastAsia"/>
                <w:color w:val="auto"/>
                <w:sz w:val="24"/>
                <w:highlight w:val="none"/>
                <w:lang w:val="en-US" w:eastAsia="zh-CN"/>
              </w:rPr>
              <w:t>6</w:t>
            </w:r>
            <w:r>
              <w:rPr>
                <w:rFonts w:hint="eastAsia"/>
                <w:color w:val="auto"/>
                <w:sz w:val="24"/>
                <w:highlight w:val="none"/>
              </w:rPr>
              <w:t>）危险废物管理要求</w:t>
            </w:r>
          </w:p>
          <w:p w14:paraId="3FE9BA89">
            <w:pPr>
              <w:keepNext w:val="0"/>
              <w:keepLines w:val="0"/>
              <w:suppressLineNumbers w:val="0"/>
              <w:adjustRightInd w:val="0"/>
              <w:snapToGrid w:val="0"/>
              <w:spacing w:before="0" w:beforeAutospacing="0" w:after="0" w:afterAutospacing="0" w:line="336" w:lineRule="auto"/>
              <w:ind w:left="0" w:right="0" w:firstLine="480" w:firstLineChars="200"/>
              <w:rPr>
                <w:color w:val="auto"/>
                <w:highlight w:val="none"/>
              </w:rPr>
            </w:pPr>
            <w:r>
              <w:rPr>
                <w:rFonts w:hint="eastAsia" w:cs="宋体"/>
                <w:color w:val="auto"/>
                <w:sz w:val="24"/>
                <w:highlight w:val="none"/>
                <w:lang w:bidi="ar"/>
              </w:rPr>
              <w:t>项目危废贮存点的建设必须满足《危险废物贮存污染控制标准》（</w:t>
            </w:r>
            <w:r>
              <w:rPr>
                <w:color w:val="auto"/>
                <w:sz w:val="24"/>
                <w:highlight w:val="none"/>
                <w:lang w:bidi="ar"/>
              </w:rPr>
              <w:t>GB18597-2023</w:t>
            </w:r>
            <w:r>
              <w:rPr>
                <w:rFonts w:hint="eastAsia" w:cs="宋体"/>
                <w:color w:val="auto"/>
                <w:sz w:val="24"/>
                <w:highlight w:val="none"/>
                <w:lang w:bidi="ar"/>
              </w:rPr>
              <w:t>）、《危险废物识别标志设置技术规范》（</w:t>
            </w:r>
            <w:r>
              <w:rPr>
                <w:color w:val="auto"/>
                <w:sz w:val="24"/>
                <w:highlight w:val="none"/>
                <w:lang w:bidi="ar"/>
              </w:rPr>
              <w:t>HJ 1276—2022</w:t>
            </w:r>
            <w:r>
              <w:rPr>
                <w:rFonts w:hint="eastAsia" w:cs="宋体"/>
                <w:color w:val="auto"/>
                <w:sz w:val="24"/>
                <w:highlight w:val="none"/>
                <w:lang w:bidi="ar"/>
              </w:rPr>
              <w:t>）、《危险废物管理计划和管理台账制定技术导则》（</w:t>
            </w:r>
            <w:r>
              <w:rPr>
                <w:color w:val="auto"/>
                <w:sz w:val="24"/>
                <w:highlight w:val="none"/>
                <w:lang w:bidi="ar"/>
              </w:rPr>
              <w:t>HJ 1259—2022</w:t>
            </w:r>
            <w:r>
              <w:rPr>
                <w:rFonts w:hint="eastAsia" w:cs="宋体"/>
                <w:color w:val="auto"/>
                <w:sz w:val="24"/>
                <w:highlight w:val="none"/>
                <w:lang w:bidi="ar"/>
              </w:rPr>
              <w:t>）的相关要求。对危险废物的收集、暂存和运输按国家标准有如下要求：</w:t>
            </w:r>
          </w:p>
          <w:p w14:paraId="52B470CA">
            <w:pPr>
              <w:keepNext w:val="0"/>
              <w:keepLines w:val="0"/>
              <w:suppressLineNumbers w:val="0"/>
              <w:adjustRightInd w:val="0"/>
              <w:snapToGrid w:val="0"/>
              <w:spacing w:before="0" w:beforeAutospacing="0" w:after="0" w:afterAutospacing="0" w:line="336" w:lineRule="auto"/>
              <w:ind w:left="0" w:right="0" w:firstLine="480" w:firstLineChars="200"/>
              <w:rPr>
                <w:color w:val="auto"/>
                <w:highlight w:val="none"/>
              </w:rPr>
            </w:pPr>
            <w:r>
              <w:rPr>
                <w:color w:val="auto"/>
                <w:sz w:val="24"/>
                <w:highlight w:val="none"/>
                <w:lang w:bidi="ar"/>
              </w:rPr>
              <w:t>1</w:t>
            </w:r>
            <w:r>
              <w:rPr>
                <w:rFonts w:hint="eastAsia"/>
                <w:color w:val="auto"/>
                <w:sz w:val="24"/>
                <w:highlight w:val="none"/>
                <w:lang w:bidi="ar"/>
              </w:rPr>
              <w:t>）</w:t>
            </w:r>
            <w:r>
              <w:rPr>
                <w:rFonts w:hint="eastAsia" w:cs="宋体"/>
                <w:color w:val="auto"/>
                <w:sz w:val="24"/>
                <w:highlight w:val="none"/>
                <w:lang w:bidi="ar"/>
              </w:rPr>
              <w:t>贮存场所（设施）污染防治措施</w:t>
            </w:r>
          </w:p>
          <w:p w14:paraId="5A020695">
            <w:pPr>
              <w:keepNext w:val="0"/>
              <w:keepLines w:val="0"/>
              <w:suppressLineNumbers w:val="0"/>
              <w:adjustRightInd w:val="0"/>
              <w:snapToGrid w:val="0"/>
              <w:spacing w:before="0" w:beforeAutospacing="0" w:after="0" w:afterAutospacing="0" w:line="336" w:lineRule="auto"/>
              <w:ind w:left="0" w:right="0" w:firstLine="480" w:firstLineChars="200"/>
              <w:rPr>
                <w:color w:val="auto"/>
                <w:highlight w:val="none"/>
              </w:rPr>
            </w:pPr>
            <w:r>
              <w:rPr>
                <w:rFonts w:hint="eastAsia" w:cs="宋体"/>
                <w:color w:val="auto"/>
                <w:sz w:val="24"/>
                <w:highlight w:val="none"/>
                <w:lang w:bidi="ar"/>
              </w:rPr>
              <w:t>危废贮存点张贴警示标志，进行重点防渗，并且危险废物分区放置。</w:t>
            </w:r>
          </w:p>
          <w:p w14:paraId="45BE36CD">
            <w:pPr>
              <w:keepNext w:val="0"/>
              <w:keepLines w:val="0"/>
              <w:suppressLineNumbers w:val="0"/>
              <w:adjustRightInd w:val="0"/>
              <w:snapToGrid w:val="0"/>
              <w:spacing w:before="0" w:beforeAutospacing="0" w:after="0" w:afterAutospacing="0" w:line="336" w:lineRule="auto"/>
              <w:ind w:left="0" w:right="0" w:firstLine="480" w:firstLineChars="200"/>
              <w:rPr>
                <w:color w:val="auto"/>
                <w:highlight w:val="none"/>
              </w:rPr>
            </w:pPr>
            <w:r>
              <w:rPr>
                <w:color w:val="auto"/>
                <w:sz w:val="24"/>
                <w:highlight w:val="none"/>
                <w:lang w:bidi="ar"/>
              </w:rPr>
              <w:t>2</w:t>
            </w:r>
            <w:r>
              <w:rPr>
                <w:rFonts w:hint="eastAsia"/>
                <w:color w:val="auto"/>
                <w:sz w:val="24"/>
                <w:highlight w:val="none"/>
                <w:lang w:bidi="ar"/>
              </w:rPr>
              <w:t>）</w:t>
            </w:r>
            <w:r>
              <w:rPr>
                <w:rFonts w:hint="eastAsia" w:cs="宋体"/>
                <w:color w:val="auto"/>
                <w:sz w:val="24"/>
                <w:highlight w:val="none"/>
                <w:lang w:bidi="ar"/>
              </w:rPr>
              <w:t>运输过程的污染防治措施</w:t>
            </w:r>
          </w:p>
          <w:p w14:paraId="1C43ED7B">
            <w:pPr>
              <w:keepNext w:val="0"/>
              <w:keepLines w:val="0"/>
              <w:suppressLineNumbers w:val="0"/>
              <w:adjustRightInd w:val="0"/>
              <w:snapToGrid w:val="0"/>
              <w:spacing w:before="0" w:beforeAutospacing="0" w:after="0" w:afterAutospacing="0" w:line="336" w:lineRule="auto"/>
              <w:ind w:left="0" w:right="0" w:firstLine="480" w:firstLineChars="200"/>
              <w:rPr>
                <w:color w:val="auto"/>
                <w:highlight w:val="none"/>
              </w:rPr>
            </w:pPr>
            <w:r>
              <w:rPr>
                <w:rFonts w:hint="eastAsia" w:cs="宋体"/>
                <w:color w:val="auto"/>
                <w:sz w:val="24"/>
                <w:highlight w:val="none"/>
                <w:lang w:bidi="ar"/>
              </w:rPr>
              <w:t>本项目危险废物委托有资质的单位处置运输，运输过程中危险废物分类存放在密闭车厢内，防止逸洒。</w:t>
            </w:r>
          </w:p>
          <w:p w14:paraId="027B1FBE">
            <w:pPr>
              <w:keepNext w:val="0"/>
              <w:keepLines w:val="0"/>
              <w:suppressLineNumbers w:val="0"/>
              <w:adjustRightInd w:val="0"/>
              <w:snapToGrid w:val="0"/>
              <w:spacing w:before="0" w:beforeAutospacing="0" w:after="0" w:afterAutospacing="0" w:line="336" w:lineRule="auto"/>
              <w:ind w:left="0" w:right="0" w:firstLine="480" w:firstLineChars="200"/>
              <w:rPr>
                <w:color w:val="auto"/>
                <w:highlight w:val="none"/>
              </w:rPr>
            </w:pPr>
            <w:r>
              <w:rPr>
                <w:color w:val="auto"/>
                <w:sz w:val="24"/>
                <w:highlight w:val="none"/>
                <w:lang w:bidi="ar"/>
              </w:rPr>
              <w:t>3</w:t>
            </w:r>
            <w:r>
              <w:rPr>
                <w:rFonts w:hint="eastAsia"/>
                <w:color w:val="auto"/>
                <w:sz w:val="24"/>
                <w:highlight w:val="none"/>
                <w:lang w:bidi="ar"/>
              </w:rPr>
              <w:t>）</w:t>
            </w:r>
            <w:r>
              <w:rPr>
                <w:rFonts w:hint="eastAsia" w:cs="宋体"/>
                <w:color w:val="auto"/>
                <w:sz w:val="24"/>
                <w:highlight w:val="none"/>
                <w:lang w:bidi="ar"/>
              </w:rPr>
              <w:t>处置方式的污染防治措施</w:t>
            </w:r>
          </w:p>
          <w:p w14:paraId="6B2E5CB4">
            <w:pPr>
              <w:keepNext w:val="0"/>
              <w:keepLines w:val="0"/>
              <w:suppressLineNumbers w:val="0"/>
              <w:adjustRightInd w:val="0"/>
              <w:snapToGrid w:val="0"/>
              <w:spacing w:before="0" w:beforeAutospacing="0" w:after="0" w:afterAutospacing="0" w:line="336" w:lineRule="auto"/>
              <w:ind w:left="0" w:right="0" w:firstLine="480" w:firstLineChars="200"/>
              <w:rPr>
                <w:color w:val="auto"/>
                <w:highlight w:val="none"/>
              </w:rPr>
            </w:pPr>
            <w:r>
              <w:rPr>
                <w:rFonts w:hint="eastAsia" w:cs="宋体"/>
                <w:color w:val="auto"/>
                <w:sz w:val="24"/>
                <w:highlight w:val="none"/>
                <w:lang w:bidi="ar"/>
              </w:rPr>
              <w:t>本项目产生的危险废物暂存在危废贮存点，危废贮存点内分区存放，委托有资质的单位进行处置。</w:t>
            </w:r>
          </w:p>
          <w:p w14:paraId="2343C776">
            <w:pPr>
              <w:keepNext w:val="0"/>
              <w:keepLines w:val="0"/>
              <w:suppressLineNumbers w:val="0"/>
              <w:spacing w:before="0" w:beforeAutospacing="0" w:after="0" w:afterAutospacing="0" w:line="360" w:lineRule="auto"/>
              <w:ind w:left="0" w:right="0" w:firstLine="480" w:firstLineChars="200"/>
              <w:rPr>
                <w:color w:val="auto"/>
                <w:highlight w:val="none"/>
              </w:rPr>
            </w:pPr>
            <w:r>
              <w:rPr>
                <w:color w:val="auto"/>
                <w:sz w:val="24"/>
                <w:highlight w:val="none"/>
                <w:lang w:bidi="ar"/>
              </w:rPr>
              <w:t>4</w:t>
            </w:r>
            <w:r>
              <w:rPr>
                <w:rFonts w:hint="eastAsia"/>
                <w:color w:val="auto"/>
                <w:sz w:val="24"/>
                <w:highlight w:val="none"/>
                <w:lang w:bidi="ar"/>
              </w:rPr>
              <w:t>）</w:t>
            </w:r>
            <w:r>
              <w:rPr>
                <w:rFonts w:hint="eastAsia" w:cs="宋体"/>
                <w:color w:val="auto"/>
                <w:sz w:val="24"/>
                <w:highlight w:val="none"/>
                <w:lang w:bidi="ar"/>
              </w:rPr>
              <w:t>危险废物识别标志</w:t>
            </w:r>
          </w:p>
          <w:p w14:paraId="4A4D798A">
            <w:pPr>
              <w:keepNext w:val="0"/>
              <w:keepLines w:val="0"/>
              <w:suppressLineNumbers w:val="0"/>
              <w:spacing w:before="0" w:beforeAutospacing="0" w:after="0" w:afterAutospacing="0" w:line="360" w:lineRule="auto"/>
              <w:ind w:left="0" w:right="0" w:firstLine="480" w:firstLineChars="200"/>
              <w:rPr>
                <w:color w:val="auto"/>
                <w:highlight w:val="none"/>
              </w:rPr>
            </w:pPr>
            <w:r>
              <w:rPr>
                <w:rFonts w:hint="eastAsia" w:cs="宋体"/>
                <w:color w:val="auto"/>
                <w:sz w:val="24"/>
                <w:highlight w:val="none"/>
                <w:lang w:bidi="ar"/>
              </w:rPr>
              <w:t>危废贮存点按照《危险废物识别标志设置技术规范》（</w:t>
            </w:r>
            <w:r>
              <w:rPr>
                <w:color w:val="auto"/>
                <w:sz w:val="24"/>
                <w:highlight w:val="none"/>
                <w:lang w:bidi="ar"/>
              </w:rPr>
              <w:t>HJ 1276—2022</w:t>
            </w:r>
            <w:r>
              <w:rPr>
                <w:rFonts w:hint="eastAsia" w:cs="宋体"/>
                <w:color w:val="auto"/>
                <w:sz w:val="24"/>
                <w:highlight w:val="none"/>
                <w:lang w:bidi="ar"/>
              </w:rPr>
              <w:t>）设置危险废物标志，用于警示和区分危险废物。</w:t>
            </w:r>
          </w:p>
          <w:p w14:paraId="7443F503">
            <w:pPr>
              <w:keepNext w:val="0"/>
              <w:keepLines w:val="0"/>
              <w:suppressLineNumbers w:val="0"/>
              <w:spacing w:before="0" w:beforeAutospacing="0" w:after="0" w:afterAutospacing="0" w:line="360" w:lineRule="auto"/>
              <w:ind w:left="0" w:right="0" w:firstLine="480" w:firstLineChars="200"/>
              <w:rPr>
                <w:color w:val="auto"/>
                <w:highlight w:val="none"/>
              </w:rPr>
            </w:pPr>
            <w:r>
              <w:rPr>
                <w:color w:val="auto"/>
                <w:sz w:val="24"/>
                <w:highlight w:val="none"/>
                <w:lang w:bidi="ar"/>
              </w:rPr>
              <w:t>5</w:t>
            </w:r>
            <w:r>
              <w:rPr>
                <w:rFonts w:hint="eastAsia"/>
                <w:color w:val="auto"/>
                <w:sz w:val="24"/>
                <w:highlight w:val="none"/>
                <w:lang w:bidi="ar"/>
              </w:rPr>
              <w:t>）</w:t>
            </w:r>
            <w:r>
              <w:rPr>
                <w:rFonts w:hint="eastAsia" w:cs="宋体"/>
                <w:color w:val="auto"/>
                <w:sz w:val="24"/>
                <w:highlight w:val="none"/>
                <w:lang w:bidi="ar"/>
              </w:rPr>
              <w:t>环境管理要求</w:t>
            </w:r>
          </w:p>
          <w:p w14:paraId="26C0CCE8">
            <w:pPr>
              <w:keepNext w:val="0"/>
              <w:keepLines w:val="0"/>
              <w:widowControl/>
              <w:suppressLineNumbers w:val="0"/>
              <w:spacing w:before="0" w:beforeAutospacing="0" w:after="0" w:afterAutospacing="0" w:line="360" w:lineRule="auto"/>
              <w:ind w:left="0" w:right="0" w:firstLine="480" w:firstLineChars="200"/>
              <w:jc w:val="left"/>
              <w:rPr>
                <w:color w:val="auto"/>
                <w:highlight w:val="none"/>
              </w:rPr>
            </w:pPr>
            <w:r>
              <w:rPr>
                <w:rFonts w:hint="eastAsia" w:cs="宋体"/>
                <w:color w:val="auto"/>
                <w:sz w:val="24"/>
                <w:highlight w:val="none"/>
                <w:lang w:bidi="ar"/>
              </w:rPr>
              <w:t>企业根据《危险废物管理计划和管理台账制定技术导则》（</w:t>
            </w:r>
            <w:r>
              <w:rPr>
                <w:color w:val="auto"/>
                <w:sz w:val="24"/>
                <w:highlight w:val="none"/>
                <w:lang w:bidi="ar"/>
              </w:rPr>
              <w:t>HJ 1259</w:t>
            </w:r>
            <w:r>
              <w:rPr>
                <w:rFonts w:hint="eastAsia" w:cs="宋体"/>
                <w:color w:val="auto"/>
                <w:sz w:val="24"/>
                <w:highlight w:val="none"/>
                <w:lang w:bidi="ar"/>
              </w:rPr>
              <w:t>—</w:t>
            </w:r>
            <w:r>
              <w:rPr>
                <w:color w:val="auto"/>
                <w:sz w:val="24"/>
                <w:highlight w:val="none"/>
                <w:lang w:bidi="ar"/>
              </w:rPr>
              <w:t>2022</w:t>
            </w:r>
            <w:r>
              <w:rPr>
                <w:rFonts w:hint="eastAsia" w:cs="宋体"/>
                <w:color w:val="auto"/>
                <w:sz w:val="24"/>
                <w:highlight w:val="none"/>
                <w:lang w:bidi="ar"/>
              </w:rPr>
              <w:t>），按照产生危险废物的单位的管理类别制定危险废物管理计划。制定危险废物的种类、产生量、流向、贮存、利用、处置等有关资料的申报周期。公司于每年</w:t>
            </w:r>
            <w:r>
              <w:rPr>
                <w:color w:val="auto"/>
                <w:sz w:val="24"/>
                <w:highlight w:val="none"/>
                <w:lang w:bidi="ar"/>
              </w:rPr>
              <w:t>3</w:t>
            </w:r>
            <w:r>
              <w:rPr>
                <w:rFonts w:hint="eastAsia" w:cs="宋体"/>
                <w:color w:val="auto"/>
                <w:sz w:val="24"/>
                <w:highlight w:val="none"/>
                <w:lang w:bidi="ar"/>
              </w:rPr>
              <w:t>月</w:t>
            </w:r>
            <w:r>
              <w:rPr>
                <w:color w:val="auto"/>
                <w:sz w:val="24"/>
                <w:highlight w:val="none"/>
                <w:lang w:bidi="ar"/>
              </w:rPr>
              <w:t>31</w:t>
            </w:r>
            <w:r>
              <w:rPr>
                <w:rFonts w:hint="eastAsia" w:cs="宋体"/>
                <w:color w:val="auto"/>
                <w:sz w:val="24"/>
                <w:highlight w:val="none"/>
                <w:lang w:bidi="ar"/>
              </w:rPr>
              <w:t>日前通过国家危险废物信息管理系统在线填写并提交当年度的危险废物管理计划，由国家危险废物信息管理系统自动生成备案编号和回执，完成备案。企业已建立危险废物管理台账，台账包括电子管理台账和纸质管理台账，并由专人负责，做好危险废物产生、贮存、利用、处置等环节的动态流向记录，台账保存时间至少</w:t>
            </w:r>
            <w:r>
              <w:rPr>
                <w:color w:val="auto"/>
                <w:sz w:val="24"/>
                <w:highlight w:val="none"/>
                <w:lang w:bidi="ar"/>
              </w:rPr>
              <w:t>5</w:t>
            </w:r>
            <w:r>
              <w:rPr>
                <w:rFonts w:hint="eastAsia" w:cs="宋体"/>
                <w:color w:val="auto"/>
                <w:sz w:val="24"/>
                <w:highlight w:val="none"/>
                <w:lang w:bidi="ar"/>
              </w:rPr>
              <w:t>年。</w:t>
            </w:r>
          </w:p>
          <w:p w14:paraId="6B0C8B9D">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6）按照《中华人民共和国固体废物污染环境防治法》的规定进行危险废物申报登记，定点收集、定人管理、定期交有危废处理资质单位进行无害化处置。并制定危废</w:t>
            </w:r>
            <w:r>
              <w:rPr>
                <w:rFonts w:hint="eastAsia"/>
                <w:color w:val="FF0000"/>
                <w:sz w:val="24"/>
                <w:highlight w:val="none"/>
              </w:rPr>
              <w:t>台账</w:t>
            </w:r>
            <w:r>
              <w:rPr>
                <w:rFonts w:hint="eastAsia"/>
                <w:color w:val="auto"/>
                <w:sz w:val="24"/>
                <w:highlight w:val="none"/>
              </w:rPr>
              <w:t>登记和转运登记管理制度，严禁建设单位将危险废物与一般工业固废或者生活垃圾混合处置。</w:t>
            </w:r>
          </w:p>
          <w:p w14:paraId="38662E6C">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危险废物贮存满足《危险废物贮存污染控制标准》（GB18597-2023）中贮存点的要求，具体如下：</w:t>
            </w:r>
          </w:p>
          <w:p w14:paraId="7A77DFD5">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16</w:t>
            </w:r>
            <w:r>
              <w:rPr>
                <w:rFonts w:hint="eastAsia"/>
                <w:color w:val="auto"/>
                <w:sz w:val="24"/>
                <w:highlight w:val="none"/>
              </w:rPr>
              <w:t xml:space="preserve">  本项目危险废物贮存控制要求</w:t>
            </w:r>
          </w:p>
          <w:tbl>
            <w:tblPr>
              <w:tblStyle w:val="2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8"/>
              <w:gridCol w:w="1560"/>
              <w:gridCol w:w="5533"/>
            </w:tblGrid>
            <w:tr w14:paraId="670FAF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38" w:type="dxa"/>
                  <w:vAlign w:val="center"/>
                </w:tcPr>
                <w:p w14:paraId="5E4ED7FA">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序号</w:t>
                  </w:r>
                </w:p>
              </w:tc>
              <w:tc>
                <w:tcPr>
                  <w:tcW w:w="1560" w:type="dxa"/>
                  <w:vAlign w:val="center"/>
                </w:tcPr>
                <w:p w14:paraId="5E3A358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贮存控制要求</w:t>
                  </w:r>
                </w:p>
              </w:tc>
              <w:tc>
                <w:tcPr>
                  <w:tcW w:w="5533" w:type="dxa"/>
                  <w:vAlign w:val="center"/>
                </w:tcPr>
                <w:p w14:paraId="2AC6613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具体内容</w:t>
                  </w:r>
                </w:p>
              </w:tc>
            </w:tr>
            <w:tr w14:paraId="45C92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38" w:type="dxa"/>
                  <w:vAlign w:val="center"/>
                </w:tcPr>
                <w:p w14:paraId="20657A4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1</w:t>
                  </w:r>
                </w:p>
              </w:tc>
              <w:tc>
                <w:tcPr>
                  <w:tcW w:w="1560" w:type="dxa"/>
                  <w:vAlign w:val="center"/>
                </w:tcPr>
                <w:p w14:paraId="7BFA503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总体要求</w:t>
                  </w:r>
                </w:p>
              </w:tc>
              <w:tc>
                <w:tcPr>
                  <w:tcW w:w="5533" w:type="dxa"/>
                  <w:vAlign w:val="center"/>
                </w:tcPr>
                <w:p w14:paraId="34C4DD69">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①贮存危险废物根据危险废物的类别、形态、物理化学性质和污染防治要求进行分类贮存，且避免危险废物与不相容的物质或材料接触。</w:t>
                  </w:r>
                </w:p>
                <w:p w14:paraId="58D32371">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②根据本项目危险废物的形态、物理化学性质、包装形式和污染物迁移途径等特征，本项目污染物主要是 VOCs 的挥发，本项目各危险废物根据液态、固态分类装入封闭容器进行贮存。</w:t>
                  </w:r>
                </w:p>
                <w:p w14:paraId="32DB7EF3">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③废物贮存点和包装物按 HJ1276 要求设置危废贮存点或场所标志、危险废物贮存分区标志和危险废物标签等危险废物识别标志。</w:t>
                  </w:r>
                </w:p>
                <w:p w14:paraId="49513D69">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④企业需通过使用电子地磅、电子标签、电子管理台账等技术手段对危险废物贮存过程进行信息化管理，确保数据完整、真实、准确；采用视频监控的确保监控画面清晰，视频记录保存时间至少为3个月。</w:t>
                  </w:r>
                </w:p>
                <w:p w14:paraId="5612071D">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⑤废物贮存点退役时，所有者或运营者依法履行环境保护责任，退役前妥善处理处置废物贮存点内剩余的危险废物，并对废物贮存点进行清理，消除污染；依据土壤污染防治相关法律法规履行场地环境风险防控责任。</w:t>
                  </w:r>
                </w:p>
              </w:tc>
            </w:tr>
            <w:tr w14:paraId="7427B9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38" w:type="dxa"/>
                  <w:vAlign w:val="center"/>
                </w:tcPr>
                <w:p w14:paraId="6D52B405">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2</w:t>
                  </w:r>
                </w:p>
              </w:tc>
              <w:tc>
                <w:tcPr>
                  <w:tcW w:w="1560" w:type="dxa"/>
                  <w:vAlign w:val="center"/>
                </w:tcPr>
                <w:p w14:paraId="14F4F9D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危废贮存点污染控制要求</w:t>
                  </w:r>
                </w:p>
              </w:tc>
              <w:tc>
                <w:tcPr>
                  <w:tcW w:w="5533" w:type="dxa"/>
                  <w:vAlign w:val="center"/>
                </w:tcPr>
                <w:p w14:paraId="5CBBAEE2">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①废物贮存点根据危险废物的类别、数量、形态、物理化学性质和污染防治等要求设置必要的贮存分区，避免不相容的危险废物接触、混合。</w:t>
                  </w:r>
                </w:p>
                <w:p w14:paraId="7FD2893F">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②贮存分区内地面、墙面裙脚、堵截泄漏的围堰、接触危险废物的隔板和墙体等采用坚固的材料建造，表面无裂缝。</w:t>
                  </w:r>
                </w:p>
                <w:p w14:paraId="6C92A6C1">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③废物贮存点地面与裙脚采取表面防渗措施；表面防渗材料与所接触的物料或污染物相容，可采用抗渗混凝土、高密度聚乙烯膜、钠基膨润土防水毯或其他防渗性能等效的材料。贮存的危险废物直接接触地面的进行基础防渗，防渗层为至少1m厚黏土层（渗透系数不大于10</w:t>
                  </w:r>
                  <w:r>
                    <w:rPr>
                      <w:rFonts w:hint="eastAsia"/>
                      <w:color w:val="auto"/>
                      <w:szCs w:val="21"/>
                      <w:highlight w:val="none"/>
                      <w:vertAlign w:val="superscript"/>
                    </w:rPr>
                    <w:t>-7</w:t>
                  </w:r>
                  <w:r>
                    <w:rPr>
                      <w:rFonts w:hint="eastAsia"/>
                      <w:color w:val="auto"/>
                      <w:szCs w:val="21"/>
                      <w:highlight w:val="none"/>
                    </w:rPr>
                    <w:t>cm/s），或至少2mm 厚高密度聚乙烯膜等人工防渗材料（渗透系数不大于10</w:t>
                  </w:r>
                  <w:r>
                    <w:rPr>
                      <w:rFonts w:hint="eastAsia"/>
                      <w:color w:val="auto"/>
                      <w:szCs w:val="21"/>
                      <w:highlight w:val="none"/>
                      <w:vertAlign w:val="superscript"/>
                    </w:rPr>
                    <w:t>-10</w:t>
                  </w:r>
                  <w:r>
                    <w:rPr>
                      <w:rFonts w:hint="eastAsia"/>
                      <w:color w:val="auto"/>
                      <w:szCs w:val="21"/>
                      <w:highlight w:val="none"/>
                    </w:rPr>
                    <w:t>cm/s），或其他防渗性能等效的材料。</w:t>
                  </w:r>
                </w:p>
                <w:p w14:paraId="1863F4FE">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④同一废物贮存点宜采用相同的防渗、防腐工艺（包括防渗、防腐结构或材料），防渗、防腐材料覆盖所有可能与废物及其渗滤液、渗漏液等接触的构筑物表面；采用不同防渗、防腐工艺分别建设贮存分区。</w:t>
                  </w:r>
                </w:p>
                <w:p w14:paraId="585B99DD">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⑤废物贮存点采取技术和管理措施防止无关人员进入。</w:t>
                  </w:r>
                </w:p>
              </w:tc>
            </w:tr>
            <w:tr w14:paraId="27FC2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38" w:type="dxa"/>
                  <w:vAlign w:val="center"/>
                </w:tcPr>
                <w:p w14:paraId="2C1FD266">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3</w:t>
                  </w:r>
                </w:p>
              </w:tc>
              <w:tc>
                <w:tcPr>
                  <w:tcW w:w="1560" w:type="dxa"/>
                  <w:vAlign w:val="center"/>
                </w:tcPr>
                <w:p w14:paraId="20FA0734">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容器和包装物污染控制要求</w:t>
                  </w:r>
                </w:p>
              </w:tc>
              <w:tc>
                <w:tcPr>
                  <w:tcW w:w="5533" w:type="dxa"/>
                  <w:vAlign w:val="center"/>
                </w:tcPr>
                <w:p w14:paraId="67CF5039">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①容器和包装物满足相应的防渗、防漏、防腐和强度等要求。</w:t>
                  </w:r>
                </w:p>
                <w:p w14:paraId="60818220">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②硬质容器和包装物及其支护结构堆叠码放时不应有明显变形，无破损泄漏。</w:t>
                  </w:r>
                </w:p>
                <w:p w14:paraId="041444D6">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③柔性容器和包装物堆叠码放时封口严密，无破损泄漏。</w:t>
                  </w:r>
                </w:p>
                <w:p w14:paraId="120201B3">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④使用容器盛装液态、半固态危险废物时，容器内部留有适当的空间，以</w:t>
                  </w:r>
                  <w:r>
                    <w:rPr>
                      <w:rFonts w:hint="eastAsia"/>
                      <w:color w:val="FF0000"/>
                      <w:szCs w:val="21"/>
                      <w:highlight w:val="none"/>
                      <w:lang w:val="en-US" w:eastAsia="zh-CN"/>
                    </w:rPr>
                    <w:t>适应</w:t>
                  </w:r>
                  <w:r>
                    <w:rPr>
                      <w:rFonts w:hint="eastAsia"/>
                      <w:color w:val="auto"/>
                      <w:szCs w:val="21"/>
                      <w:highlight w:val="none"/>
                    </w:rPr>
                    <w:t>因温度变化等可能引发的收缩和膨胀，防止其导致容器渗漏或永久变形。</w:t>
                  </w:r>
                </w:p>
                <w:p w14:paraId="013050D1">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⑤容器和包装物外表面保持清洁。</w:t>
                  </w:r>
                </w:p>
              </w:tc>
            </w:tr>
            <w:tr w14:paraId="4A346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38" w:type="dxa"/>
                  <w:vAlign w:val="center"/>
                </w:tcPr>
                <w:p w14:paraId="3837DAA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4</w:t>
                  </w:r>
                </w:p>
              </w:tc>
              <w:tc>
                <w:tcPr>
                  <w:tcW w:w="1560" w:type="dxa"/>
                  <w:vAlign w:val="center"/>
                </w:tcPr>
                <w:p w14:paraId="26820E6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贮存过程污染控制要求</w:t>
                  </w:r>
                </w:p>
              </w:tc>
              <w:tc>
                <w:tcPr>
                  <w:tcW w:w="5533" w:type="dxa"/>
                  <w:vAlign w:val="center"/>
                </w:tcPr>
                <w:p w14:paraId="66164EFE">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①本项目危险废物装入闭口容器或包装物内贮存。</w:t>
                  </w:r>
                </w:p>
                <w:p w14:paraId="7B4BC608">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②危险废物存入废物贮存点前对危险废物类别和特性与危险废物标签等危险废物识别标志的一致性进行核验，不一致的或类别、特性不明的不</w:t>
                  </w:r>
                  <w:r>
                    <w:rPr>
                      <w:rFonts w:hint="eastAsia"/>
                      <w:color w:val="auto"/>
                      <w:szCs w:val="21"/>
                      <w:highlight w:val="none"/>
                      <w:lang w:val="en-US" w:eastAsia="zh-CN"/>
                    </w:rPr>
                    <w:t>允许</w:t>
                  </w:r>
                  <w:r>
                    <w:rPr>
                      <w:rFonts w:hint="eastAsia"/>
                      <w:color w:val="auto"/>
                      <w:szCs w:val="21"/>
                      <w:highlight w:val="none"/>
                    </w:rPr>
                    <w:t>存入。</w:t>
                  </w:r>
                </w:p>
                <w:p w14:paraId="4AEBCBB4">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③定期检查危险废物的贮存状况，及时清理废物贮存点地面，更换破损泄漏的危险废物贮存容器和包装物，保证堆存危险废物的防雨、防风、防扬尘等设施功能完好。</w:t>
                  </w:r>
                </w:p>
                <w:p w14:paraId="58CD6145">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④废物贮存点运行期间，按国家有关标准和规定建立危险废物管理台账并保存。</w:t>
                  </w:r>
                </w:p>
                <w:p w14:paraId="1EAC2FF8">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⑤建立废物贮存点环境管理制度、管理人员岗位职责制</w:t>
                  </w:r>
                </w:p>
                <w:p w14:paraId="48907966">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度、设施运行操作制度、人员岗位培训制度等。</w:t>
                  </w:r>
                </w:p>
                <w:p w14:paraId="0F8F9782">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⑥依据国家土壤和地下水污染防治的有关规定，废物贮存点特点建立土壤和地下水污染隐患排查制度，并定期开展隐患排查；发现隐患及时采取措施消除隐患，并建立档案。</w:t>
                  </w:r>
                </w:p>
              </w:tc>
            </w:tr>
            <w:tr w14:paraId="086A69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738" w:type="dxa"/>
                  <w:vAlign w:val="center"/>
                </w:tcPr>
                <w:p w14:paraId="5C80E9B1">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5</w:t>
                  </w:r>
                </w:p>
              </w:tc>
              <w:tc>
                <w:tcPr>
                  <w:tcW w:w="1560" w:type="dxa"/>
                  <w:vAlign w:val="center"/>
                </w:tcPr>
                <w:p w14:paraId="48218C84">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管理台账要求</w:t>
                  </w:r>
                </w:p>
              </w:tc>
              <w:tc>
                <w:tcPr>
                  <w:tcW w:w="5533" w:type="dxa"/>
                  <w:vAlign w:val="center"/>
                </w:tcPr>
                <w:p w14:paraId="090B05CF">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①建立危险废物管理台账，落实危险废物管理台账记录的责任人，明确工作职责，并对危险废物管理台账的真实性、准确性和完整性负法律责任。</w:t>
                  </w:r>
                </w:p>
                <w:p w14:paraId="0036EA7F">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②根据危险废物产生、贮存、利用、处置等环节的动态流向，如实建立各环节的危险废物管理台账。</w:t>
                  </w:r>
                </w:p>
                <w:p w14:paraId="17992D45">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③危险废物管理台账分为电子管理台账和纸质管理台账两</w:t>
                  </w:r>
                </w:p>
                <w:p w14:paraId="3FAF287E">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种形式。产生危险废物的单位可通过国家危险废物信息管理系统、企业自建信息管理系统或第三方平台等方式记录电子管理台账。</w:t>
                  </w:r>
                </w:p>
                <w:p w14:paraId="0BCF1757">
                  <w:pPr>
                    <w:keepNext w:val="0"/>
                    <w:keepLines w:val="0"/>
                    <w:suppressLineNumbers w:val="0"/>
                    <w:adjustRightInd w:val="0"/>
                    <w:snapToGrid w:val="0"/>
                    <w:spacing w:before="0" w:beforeAutospacing="0" w:after="0" w:afterAutospacing="0"/>
                    <w:ind w:left="0" w:right="0"/>
                    <w:jc w:val="left"/>
                    <w:rPr>
                      <w:color w:val="auto"/>
                      <w:szCs w:val="21"/>
                      <w:highlight w:val="none"/>
                    </w:rPr>
                  </w:pPr>
                  <w:r>
                    <w:rPr>
                      <w:rFonts w:hint="eastAsia"/>
                      <w:color w:val="auto"/>
                      <w:szCs w:val="21"/>
                      <w:highlight w:val="none"/>
                    </w:rPr>
                    <w:t>④保存时间存档5年以上。</w:t>
                  </w:r>
                </w:p>
              </w:tc>
            </w:tr>
          </w:tbl>
          <w:p w14:paraId="0D233888">
            <w:pPr>
              <w:keepNext w:val="0"/>
              <w:keepLines w:val="0"/>
              <w:widowControl/>
              <w:suppressLineNumbers w:val="0"/>
              <w:spacing w:before="0" w:beforeAutospacing="0" w:after="0" w:afterAutospacing="0" w:line="360" w:lineRule="auto"/>
              <w:ind w:left="0" w:right="0" w:firstLine="480" w:firstLineChars="200"/>
              <w:jc w:val="left"/>
              <w:rPr>
                <w:color w:val="auto"/>
                <w:highlight w:val="none"/>
              </w:rPr>
            </w:pPr>
            <w:r>
              <w:rPr>
                <w:rFonts w:hint="eastAsia" w:cs="宋体"/>
                <w:color w:val="auto"/>
                <w:sz w:val="24"/>
                <w:highlight w:val="none"/>
                <w:lang w:bidi="ar"/>
              </w:rPr>
              <w:t>通过落实以上要求、措施，项目各危险废物对周围环境影响较小。</w:t>
            </w:r>
          </w:p>
          <w:p w14:paraId="26713C4B">
            <w:pPr>
              <w:keepNext w:val="0"/>
              <w:keepLines w:val="0"/>
              <w:suppressLineNumbers w:val="0"/>
              <w:adjustRightInd w:val="0"/>
              <w:snapToGrid w:val="0"/>
              <w:spacing w:before="0" w:beforeAutospacing="0" w:after="0" w:afterAutospacing="0" w:line="360" w:lineRule="auto"/>
              <w:ind w:left="0" w:right="0" w:firstLine="482" w:firstLineChars="200"/>
              <w:rPr>
                <w:rFonts w:hint="eastAsia"/>
                <w:b/>
                <w:color w:val="auto"/>
                <w:sz w:val="24"/>
                <w:highlight w:val="none"/>
              </w:rPr>
            </w:pPr>
          </w:p>
          <w:p w14:paraId="71BED7F8">
            <w:pPr>
              <w:keepNext w:val="0"/>
              <w:keepLines w:val="0"/>
              <w:suppressLineNumbers w:val="0"/>
              <w:adjustRightInd w:val="0"/>
              <w:snapToGrid w:val="0"/>
              <w:spacing w:before="0" w:beforeAutospacing="0" w:after="0" w:afterAutospacing="0" w:line="360" w:lineRule="auto"/>
              <w:ind w:left="0" w:right="0" w:firstLine="482" w:firstLineChars="200"/>
              <w:rPr>
                <w:rFonts w:hint="eastAsia"/>
                <w:b/>
                <w:color w:val="auto"/>
                <w:sz w:val="24"/>
                <w:highlight w:val="none"/>
              </w:rPr>
            </w:pPr>
          </w:p>
          <w:p w14:paraId="44783774">
            <w:pPr>
              <w:keepNext w:val="0"/>
              <w:keepLines w:val="0"/>
              <w:suppressLineNumbers w:val="0"/>
              <w:adjustRightInd w:val="0"/>
              <w:snapToGrid w:val="0"/>
              <w:spacing w:before="0" w:beforeAutospacing="0" w:after="0" w:afterAutospacing="0" w:line="360" w:lineRule="auto"/>
              <w:ind w:left="0" w:right="0" w:firstLine="482" w:firstLineChars="200"/>
              <w:rPr>
                <w:rFonts w:hint="eastAsia"/>
                <w:b/>
                <w:color w:val="auto"/>
                <w:sz w:val="24"/>
                <w:highlight w:val="none"/>
              </w:rPr>
            </w:pPr>
          </w:p>
          <w:p w14:paraId="17CECC8C">
            <w:pPr>
              <w:keepNext w:val="0"/>
              <w:keepLines w:val="0"/>
              <w:suppressLineNumbers w:val="0"/>
              <w:adjustRightInd w:val="0"/>
              <w:snapToGrid w:val="0"/>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5、地下水、土壤</w:t>
            </w:r>
          </w:p>
          <w:p w14:paraId="575C6290">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（1）土壤、地下水环境影响污染物类型与污染途径</w:t>
            </w:r>
          </w:p>
          <w:p w14:paraId="48079890">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土壤、地下水污染源主要为生产车间、危废贮存点。</w:t>
            </w:r>
          </w:p>
          <w:p w14:paraId="248458A0">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17</w:t>
            </w:r>
            <w:r>
              <w:rPr>
                <w:rFonts w:hint="eastAsia"/>
                <w:color w:val="auto"/>
                <w:sz w:val="24"/>
                <w:highlight w:val="none"/>
              </w:rPr>
              <w:t xml:space="preserve">  土壤环境污染物类型与污染途径</w:t>
            </w:r>
          </w:p>
          <w:tbl>
            <w:tblPr>
              <w:tblStyle w:val="2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0"/>
              <w:gridCol w:w="1737"/>
              <w:gridCol w:w="1738"/>
              <w:gridCol w:w="1912"/>
              <w:gridCol w:w="1564"/>
            </w:tblGrid>
            <w:tr w14:paraId="4DDE56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80" w:type="dxa"/>
                  <w:vAlign w:val="center"/>
                </w:tcPr>
                <w:p w14:paraId="6967BC6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序号</w:t>
                  </w:r>
                </w:p>
              </w:tc>
              <w:tc>
                <w:tcPr>
                  <w:tcW w:w="1737" w:type="dxa"/>
                  <w:vAlign w:val="center"/>
                </w:tcPr>
                <w:p w14:paraId="3BF58621">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污染源</w:t>
                  </w:r>
                </w:p>
              </w:tc>
              <w:tc>
                <w:tcPr>
                  <w:tcW w:w="1738" w:type="dxa"/>
                  <w:vAlign w:val="center"/>
                </w:tcPr>
                <w:p w14:paraId="6336DD5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污染物</w:t>
                  </w:r>
                </w:p>
              </w:tc>
              <w:tc>
                <w:tcPr>
                  <w:tcW w:w="1912" w:type="dxa"/>
                  <w:vAlign w:val="center"/>
                </w:tcPr>
                <w:p w14:paraId="15BB8E8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污染因子</w:t>
                  </w:r>
                </w:p>
              </w:tc>
              <w:tc>
                <w:tcPr>
                  <w:tcW w:w="1564" w:type="dxa"/>
                  <w:vAlign w:val="center"/>
                </w:tcPr>
                <w:p w14:paraId="7F61B4C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污染途径</w:t>
                  </w:r>
                </w:p>
              </w:tc>
            </w:tr>
            <w:tr w14:paraId="5A1796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80" w:type="dxa"/>
                  <w:vAlign w:val="center"/>
                </w:tcPr>
                <w:p w14:paraId="358F0E3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1</w:t>
                  </w:r>
                </w:p>
              </w:tc>
              <w:tc>
                <w:tcPr>
                  <w:tcW w:w="1737" w:type="dxa"/>
                  <w:vAlign w:val="center"/>
                </w:tcPr>
                <w:p w14:paraId="64198EF1">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rPr>
                    <w:t>生产车间</w:t>
                  </w:r>
                  <w:r>
                    <w:rPr>
                      <w:rFonts w:hint="eastAsia"/>
                      <w:color w:val="auto"/>
                      <w:szCs w:val="21"/>
                      <w:highlight w:val="none"/>
                      <w:lang w:eastAsia="zh-CN"/>
                    </w:rPr>
                    <w:t>、</w:t>
                  </w:r>
                  <w:r>
                    <w:rPr>
                      <w:rFonts w:hint="eastAsia"/>
                      <w:color w:val="auto"/>
                      <w:szCs w:val="21"/>
                      <w:highlight w:val="none"/>
                      <w:lang w:val="en-US" w:eastAsia="zh-CN"/>
                    </w:rPr>
                    <w:t>罐区C（11座23m</w:t>
                  </w:r>
                  <w:r>
                    <w:rPr>
                      <w:rFonts w:hint="eastAsia"/>
                      <w:color w:val="auto"/>
                      <w:szCs w:val="21"/>
                      <w:highlight w:val="none"/>
                      <w:vertAlign w:val="superscript"/>
                      <w:lang w:val="en-US" w:eastAsia="zh-CN"/>
                    </w:rPr>
                    <w:t>3</w:t>
                  </w:r>
                  <w:r>
                    <w:rPr>
                      <w:rFonts w:hint="eastAsia"/>
                      <w:color w:val="auto"/>
                      <w:szCs w:val="21"/>
                      <w:highlight w:val="none"/>
                      <w:lang w:val="en-US" w:eastAsia="zh-CN"/>
                    </w:rPr>
                    <w:t>微晶蜡储罐）</w:t>
                  </w:r>
                </w:p>
              </w:tc>
              <w:tc>
                <w:tcPr>
                  <w:tcW w:w="1738" w:type="dxa"/>
                  <w:vAlign w:val="center"/>
                </w:tcPr>
                <w:p w14:paraId="67E7C7CB">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石蜡、微晶蜡</w:t>
                  </w:r>
                </w:p>
              </w:tc>
              <w:tc>
                <w:tcPr>
                  <w:tcW w:w="1912" w:type="dxa"/>
                  <w:vAlign w:val="center"/>
                </w:tcPr>
                <w:p w14:paraId="6B2F2FF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有机物、石油烃等</w:t>
                  </w:r>
                </w:p>
              </w:tc>
              <w:tc>
                <w:tcPr>
                  <w:tcW w:w="1564" w:type="dxa"/>
                  <w:vAlign w:val="center"/>
                </w:tcPr>
                <w:p w14:paraId="507E3894">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垂直入渗</w:t>
                  </w:r>
                </w:p>
              </w:tc>
            </w:tr>
            <w:tr w14:paraId="74DD05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80" w:type="dxa"/>
                  <w:vAlign w:val="center"/>
                </w:tcPr>
                <w:p w14:paraId="5E820A4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2</w:t>
                  </w:r>
                </w:p>
              </w:tc>
              <w:tc>
                <w:tcPr>
                  <w:tcW w:w="1737" w:type="dxa"/>
                  <w:shd w:val="clear" w:color="auto" w:fill="auto"/>
                  <w:vAlign w:val="center"/>
                </w:tcPr>
                <w:p w14:paraId="1D19E714">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危废贮存点</w:t>
                  </w:r>
                </w:p>
              </w:tc>
              <w:tc>
                <w:tcPr>
                  <w:tcW w:w="1738" w:type="dxa"/>
                  <w:shd w:val="clear" w:color="auto" w:fill="auto"/>
                  <w:vAlign w:val="center"/>
                </w:tcPr>
                <w:p w14:paraId="6DDE465C">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危险废物</w:t>
                  </w:r>
                </w:p>
              </w:tc>
              <w:tc>
                <w:tcPr>
                  <w:tcW w:w="1912" w:type="dxa"/>
                  <w:shd w:val="clear" w:color="auto" w:fill="auto"/>
                  <w:vAlign w:val="center"/>
                </w:tcPr>
                <w:p w14:paraId="0710C92D">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毒性物质、石油烃</w:t>
                  </w:r>
                </w:p>
              </w:tc>
              <w:tc>
                <w:tcPr>
                  <w:tcW w:w="1564" w:type="dxa"/>
                  <w:shd w:val="clear" w:color="auto" w:fill="auto"/>
                  <w:vAlign w:val="center"/>
                </w:tcPr>
                <w:p w14:paraId="6E2E032D">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垂直入渗</w:t>
                  </w:r>
                </w:p>
              </w:tc>
            </w:tr>
          </w:tbl>
          <w:p w14:paraId="36C6D9BB">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（2）对于垂直入渗影响的分区防控措施</w:t>
            </w:r>
          </w:p>
          <w:p w14:paraId="295575AC">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根据工程特点和当地的实际情况，按照“源头控制、分区防控、污染监控”的地下水污染防治总体原则，本工程将从污染物的产生、入渗、扩散采取全方位的控制措施。</w:t>
            </w:r>
          </w:p>
          <w:p w14:paraId="000F5E53">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①源头控制，可能发生地下水和土壤污染的主要风险区域在于车间、污水处理站、危废贮存点，为防止土壤和地下水污染，严格按照国家相关规范要求，对构筑物采取相应的措施，以防止和降低污染物的跑、冒、滴、漏，将污染物泄漏的环境风险事故降到最低程度。</w:t>
            </w:r>
          </w:p>
          <w:p w14:paraId="38605606">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建设项目从源头采取控制措施，具体措施如下：</w:t>
            </w:r>
          </w:p>
          <w:p w14:paraId="2145EF85">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对重点区域进行防渗处理，在车间、污水处理站、危废贮存点采取防渗处理防止泄漏的物质进入地下水和土壤造成污染，严禁垂直入渗污染。</w:t>
            </w:r>
          </w:p>
          <w:p w14:paraId="1CDBF300">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设置专人进行每日检查，对可能发生物质泄漏的重点区域设置专人负责制度，每天进行防渗层完好性检查、物质是否有泄漏及泄漏原因检查等，并做好记录。</w:t>
            </w:r>
          </w:p>
          <w:p w14:paraId="36E3834A">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②分区防控，对厂区可能泄漏污染物的污染区域地面进行防渗处理，以有效防止洒落地面的污染物渗入地下。</w:t>
            </w:r>
          </w:p>
          <w:p w14:paraId="02B0A372">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生产车间、危废贮存点处按照《环境影响评价技术导则地下水环境》（HJ610-2016）重点防渗区以及《危险废物贮存污染控制标准》（GB18597-2023）建设，防渗性能不应低于6.0m厚、渗透系数为1.0×10</w:t>
            </w:r>
            <w:r>
              <w:rPr>
                <w:rFonts w:hint="eastAsia"/>
                <w:color w:val="auto"/>
                <w:sz w:val="24"/>
                <w:highlight w:val="none"/>
                <w:vertAlign w:val="superscript"/>
              </w:rPr>
              <w:t>-7</w:t>
            </w:r>
            <w:r>
              <w:rPr>
                <w:rFonts w:hint="eastAsia"/>
                <w:color w:val="auto"/>
                <w:sz w:val="24"/>
                <w:highlight w:val="none"/>
              </w:rPr>
              <w:t>cm/s的粘土层的防渗性能。</w:t>
            </w:r>
          </w:p>
          <w:p w14:paraId="04E92395">
            <w:pPr>
              <w:keepNext w:val="0"/>
              <w:keepLines w:val="0"/>
              <w:suppressLineNumbers w:val="0"/>
              <w:spacing w:before="0" w:beforeAutospacing="0" w:after="0" w:afterAutospacing="0" w:line="360" w:lineRule="exact"/>
              <w:ind w:left="0" w:right="0"/>
              <w:jc w:val="center"/>
              <w:rPr>
                <w:rFonts w:hint="eastAsia"/>
                <w:color w:val="auto"/>
                <w:sz w:val="24"/>
                <w:highlight w:val="none"/>
              </w:rPr>
            </w:pPr>
          </w:p>
          <w:p w14:paraId="4E5F361B">
            <w:pPr>
              <w:keepNext w:val="0"/>
              <w:keepLines w:val="0"/>
              <w:suppressLineNumbers w:val="0"/>
              <w:spacing w:before="0" w:beforeAutospacing="0" w:after="0" w:afterAutospacing="0" w:line="360" w:lineRule="exact"/>
              <w:ind w:left="0" w:right="0"/>
              <w:jc w:val="center"/>
              <w:rPr>
                <w:rFonts w:hint="eastAsia"/>
                <w:color w:val="auto"/>
                <w:sz w:val="24"/>
                <w:highlight w:val="none"/>
              </w:rPr>
            </w:pPr>
          </w:p>
          <w:p w14:paraId="2470A1D0">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18</w:t>
            </w:r>
            <w:r>
              <w:rPr>
                <w:rFonts w:hint="eastAsia"/>
                <w:color w:val="auto"/>
                <w:sz w:val="24"/>
                <w:highlight w:val="none"/>
              </w:rPr>
              <w:t xml:space="preserve">  污染防渗分区一览表</w:t>
            </w:r>
          </w:p>
          <w:tbl>
            <w:tblPr>
              <w:tblStyle w:val="2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8"/>
              <w:gridCol w:w="1559"/>
              <w:gridCol w:w="2268"/>
              <w:gridCol w:w="3126"/>
            </w:tblGrid>
            <w:tr w14:paraId="5232A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878" w:type="dxa"/>
                  <w:vAlign w:val="center"/>
                </w:tcPr>
                <w:p w14:paraId="5AE44F7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序号</w:t>
                  </w:r>
                </w:p>
              </w:tc>
              <w:tc>
                <w:tcPr>
                  <w:tcW w:w="1559" w:type="dxa"/>
                  <w:vAlign w:val="center"/>
                </w:tcPr>
                <w:p w14:paraId="6D45D5DE">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污染防控分区</w:t>
                  </w:r>
                </w:p>
              </w:tc>
              <w:tc>
                <w:tcPr>
                  <w:tcW w:w="2268" w:type="dxa"/>
                  <w:vAlign w:val="center"/>
                </w:tcPr>
                <w:p w14:paraId="5DDE222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生产装置、单元名称</w:t>
                  </w:r>
                </w:p>
              </w:tc>
              <w:tc>
                <w:tcPr>
                  <w:tcW w:w="3126" w:type="dxa"/>
                  <w:vAlign w:val="center"/>
                </w:tcPr>
                <w:p w14:paraId="3B4001A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防渗要求</w:t>
                  </w:r>
                </w:p>
              </w:tc>
            </w:tr>
            <w:tr w14:paraId="3899CF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 w:type="dxa"/>
                  <w:vAlign w:val="center"/>
                </w:tcPr>
                <w:p w14:paraId="3CDBCF5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1</w:t>
                  </w:r>
                </w:p>
              </w:tc>
              <w:tc>
                <w:tcPr>
                  <w:tcW w:w="1559" w:type="dxa"/>
                  <w:vAlign w:val="center"/>
                </w:tcPr>
                <w:p w14:paraId="75E47EE1">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重点防渗</w:t>
                  </w:r>
                </w:p>
              </w:tc>
              <w:tc>
                <w:tcPr>
                  <w:tcW w:w="2268" w:type="dxa"/>
                  <w:vAlign w:val="center"/>
                </w:tcPr>
                <w:p w14:paraId="499E197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生产车间</w:t>
                  </w:r>
                  <w:r>
                    <w:rPr>
                      <w:rFonts w:hint="eastAsia"/>
                      <w:color w:val="auto"/>
                      <w:szCs w:val="21"/>
                      <w:highlight w:val="none"/>
                      <w:lang w:eastAsia="zh-CN"/>
                    </w:rPr>
                    <w:t>、</w:t>
                  </w:r>
                  <w:r>
                    <w:rPr>
                      <w:rFonts w:hint="eastAsia"/>
                      <w:color w:val="auto"/>
                      <w:szCs w:val="21"/>
                      <w:highlight w:val="none"/>
                      <w:lang w:val="en-US" w:eastAsia="zh-CN"/>
                    </w:rPr>
                    <w:t>罐区A、B、C（C区：11座23m</w:t>
                  </w:r>
                  <w:r>
                    <w:rPr>
                      <w:rFonts w:hint="eastAsia"/>
                      <w:color w:val="auto"/>
                      <w:szCs w:val="21"/>
                      <w:highlight w:val="none"/>
                      <w:vertAlign w:val="superscript"/>
                      <w:lang w:val="en-US" w:eastAsia="zh-CN"/>
                    </w:rPr>
                    <w:t>3</w:t>
                  </w:r>
                  <w:r>
                    <w:rPr>
                      <w:rFonts w:hint="eastAsia"/>
                      <w:color w:val="auto"/>
                      <w:szCs w:val="21"/>
                      <w:highlight w:val="none"/>
                      <w:lang w:val="en-US" w:eastAsia="zh-CN"/>
                    </w:rPr>
                    <w:t>微晶蜡储罐）、</w:t>
                  </w:r>
                  <w:r>
                    <w:rPr>
                      <w:rFonts w:hint="eastAsia"/>
                      <w:color w:val="auto"/>
                      <w:szCs w:val="21"/>
                      <w:highlight w:val="none"/>
                    </w:rPr>
                    <w:t>危废贮存点</w:t>
                  </w:r>
                </w:p>
              </w:tc>
              <w:tc>
                <w:tcPr>
                  <w:tcW w:w="3126" w:type="dxa"/>
                  <w:vAlign w:val="center"/>
                </w:tcPr>
                <w:p w14:paraId="18D9737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防渗性能不应低于6.0m厚、渗透系数为1.0×10</w:t>
                  </w:r>
                  <w:r>
                    <w:rPr>
                      <w:rFonts w:hint="eastAsia"/>
                      <w:color w:val="auto"/>
                      <w:szCs w:val="21"/>
                      <w:highlight w:val="none"/>
                      <w:vertAlign w:val="superscript"/>
                    </w:rPr>
                    <w:t>-</w:t>
                  </w:r>
                  <w:r>
                    <w:rPr>
                      <w:rFonts w:hint="eastAsia"/>
                      <w:color w:val="auto"/>
                      <w:szCs w:val="21"/>
                      <w:highlight w:val="none"/>
                      <w:vertAlign w:val="superscript"/>
                      <w:lang w:val="en-US" w:eastAsia="zh-CN"/>
                    </w:rPr>
                    <w:t>10</w:t>
                  </w:r>
                  <w:r>
                    <w:rPr>
                      <w:rFonts w:hint="eastAsia"/>
                      <w:color w:val="auto"/>
                      <w:szCs w:val="21"/>
                      <w:highlight w:val="none"/>
                    </w:rPr>
                    <w:t>cm/s的粘土层的防渗性能。</w:t>
                  </w:r>
                </w:p>
              </w:tc>
            </w:tr>
            <w:tr w14:paraId="020A9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78" w:type="dxa"/>
                  <w:vAlign w:val="center"/>
                </w:tcPr>
                <w:p w14:paraId="40E960FE">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2</w:t>
                  </w:r>
                </w:p>
              </w:tc>
              <w:tc>
                <w:tcPr>
                  <w:tcW w:w="1559" w:type="dxa"/>
                  <w:vAlign w:val="center"/>
                </w:tcPr>
                <w:p w14:paraId="00F46B9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一般防渗</w:t>
                  </w:r>
                </w:p>
              </w:tc>
              <w:tc>
                <w:tcPr>
                  <w:tcW w:w="2268" w:type="dxa"/>
                  <w:vAlign w:val="center"/>
                </w:tcPr>
                <w:p w14:paraId="290C0B2A">
                  <w:pPr>
                    <w:keepNext w:val="0"/>
                    <w:keepLines w:val="0"/>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原料雨棚等其它</w:t>
                  </w:r>
                </w:p>
              </w:tc>
              <w:tc>
                <w:tcPr>
                  <w:tcW w:w="3126" w:type="dxa"/>
                  <w:vAlign w:val="center"/>
                </w:tcPr>
                <w:p w14:paraId="30736FB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防渗性能不应低于1.5m厚、渗透系数为1.0×10</w:t>
                  </w:r>
                  <w:r>
                    <w:rPr>
                      <w:rFonts w:hint="eastAsia"/>
                      <w:color w:val="auto"/>
                      <w:szCs w:val="21"/>
                      <w:highlight w:val="none"/>
                      <w:vertAlign w:val="superscript"/>
                    </w:rPr>
                    <w:t>-7</w:t>
                  </w:r>
                  <w:r>
                    <w:rPr>
                      <w:rFonts w:hint="eastAsia"/>
                      <w:color w:val="auto"/>
                      <w:szCs w:val="21"/>
                      <w:highlight w:val="none"/>
                    </w:rPr>
                    <w:t>cm/s的粘土层的防渗性能。</w:t>
                  </w:r>
                </w:p>
              </w:tc>
            </w:tr>
          </w:tbl>
          <w:p w14:paraId="53A20765">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（3）地下水与土壤监测要求</w:t>
            </w:r>
          </w:p>
          <w:p w14:paraId="7CD5FCDC">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参照《环境影响评价技术导则 地下水环境》，本项目</w:t>
            </w:r>
            <w:r>
              <w:rPr>
                <w:rFonts w:hint="eastAsia"/>
                <w:color w:val="auto"/>
                <w:sz w:val="24"/>
                <w:highlight w:val="none"/>
                <w:lang w:val="en-US" w:eastAsia="zh-CN"/>
              </w:rPr>
              <w:t>为C2511原油加工及石油制品制造（单纯混合分装）</w:t>
            </w:r>
            <w:r>
              <w:rPr>
                <w:rFonts w:hint="eastAsia"/>
                <w:color w:val="auto"/>
                <w:sz w:val="24"/>
                <w:highlight w:val="none"/>
              </w:rPr>
              <w:t>，项目类别属于Ⅲ类项目，周边无地下水敏感目标，应设置不少于一个的跟踪监测点位。根据《地下水环境监测技术规范》（HJ164-2020），制定本项目运营期地下水自行监测计划，具体要求见下表所示，地下水跟踪监测点位见附图。</w:t>
            </w:r>
          </w:p>
          <w:p w14:paraId="26CD7AEA">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19</w:t>
            </w:r>
            <w:r>
              <w:rPr>
                <w:rFonts w:hint="eastAsia"/>
                <w:color w:val="auto"/>
                <w:sz w:val="24"/>
                <w:highlight w:val="none"/>
              </w:rPr>
              <w:t xml:space="preserve">  地下水监测计划</w:t>
            </w:r>
          </w:p>
          <w:tbl>
            <w:tblPr>
              <w:tblStyle w:val="2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0"/>
              <w:gridCol w:w="1041"/>
              <w:gridCol w:w="2423"/>
              <w:gridCol w:w="1417"/>
              <w:gridCol w:w="2130"/>
            </w:tblGrid>
            <w:tr w14:paraId="532165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20" w:type="dxa"/>
                  <w:vAlign w:val="center"/>
                </w:tcPr>
                <w:p w14:paraId="217E988B">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类型</w:t>
                  </w:r>
                </w:p>
              </w:tc>
              <w:tc>
                <w:tcPr>
                  <w:tcW w:w="1041" w:type="dxa"/>
                  <w:vAlign w:val="center"/>
                </w:tcPr>
                <w:p w14:paraId="4DD11E20">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监测点位</w:t>
                  </w:r>
                </w:p>
              </w:tc>
              <w:tc>
                <w:tcPr>
                  <w:tcW w:w="2423" w:type="dxa"/>
                  <w:vAlign w:val="center"/>
                </w:tcPr>
                <w:p w14:paraId="6D6F9A25">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监测指标</w:t>
                  </w:r>
                </w:p>
              </w:tc>
              <w:tc>
                <w:tcPr>
                  <w:tcW w:w="1417" w:type="dxa"/>
                  <w:vAlign w:val="center"/>
                </w:tcPr>
                <w:p w14:paraId="44A3F74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频次</w:t>
                  </w:r>
                </w:p>
              </w:tc>
              <w:tc>
                <w:tcPr>
                  <w:tcW w:w="2130" w:type="dxa"/>
                  <w:vAlign w:val="center"/>
                </w:tcPr>
                <w:p w14:paraId="45CF70C6">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执行标准</w:t>
                  </w:r>
                </w:p>
              </w:tc>
            </w:tr>
            <w:tr w14:paraId="4F4154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20" w:type="dxa"/>
                  <w:vAlign w:val="center"/>
                </w:tcPr>
                <w:p w14:paraId="1A7F3EAC">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地下水</w:t>
                  </w:r>
                </w:p>
              </w:tc>
              <w:tc>
                <w:tcPr>
                  <w:tcW w:w="1041" w:type="dxa"/>
                  <w:vAlign w:val="center"/>
                </w:tcPr>
                <w:p w14:paraId="56BE471E">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项目所在地</w:t>
                  </w:r>
                </w:p>
              </w:tc>
              <w:tc>
                <w:tcPr>
                  <w:tcW w:w="2423" w:type="dxa"/>
                  <w:shd w:val="clear" w:color="auto" w:fill="auto"/>
                  <w:vAlign w:val="center"/>
                </w:tcPr>
                <w:p w14:paraId="5D02A191">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色度、浑浊度、臭和味、肉眼可见物、pH、总硬度、溶解性总固体、硫酸盐、氯化物、铁、锰、铜、锌、铝、挥发酚、阴离子合成洗涤剂、高锰酸盐指数、氨、硫化物、钠、硝酸盐、亚硝酸盐、氰化物、氟化物、碘化物、砷、汞、硒、镉、铬、铅、三氯甲烷、四氯化碳、苯、甲苯、二甲苯、苯乙烯、乙苯</w:t>
                  </w:r>
                </w:p>
              </w:tc>
              <w:tc>
                <w:tcPr>
                  <w:tcW w:w="1417" w:type="dxa"/>
                  <w:shd w:val="clear" w:color="auto" w:fill="auto"/>
                  <w:vAlign w:val="center"/>
                </w:tcPr>
                <w:p w14:paraId="23F5915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1次/年</w:t>
                  </w:r>
                </w:p>
              </w:tc>
              <w:tc>
                <w:tcPr>
                  <w:tcW w:w="2130" w:type="dxa"/>
                  <w:shd w:val="clear" w:color="auto" w:fill="auto"/>
                  <w:vAlign w:val="center"/>
                </w:tcPr>
                <w:p w14:paraId="5CC1EFD6">
                  <w:pPr>
                    <w:keepNext w:val="0"/>
                    <w:keepLines w:val="0"/>
                    <w:suppressLineNumbers w:val="0"/>
                    <w:adjustRightInd w:val="0"/>
                    <w:snapToGrid w:val="0"/>
                    <w:spacing w:before="0" w:beforeAutospacing="0" w:after="0" w:afterAutospacing="0"/>
                    <w:ind w:left="0" w:right="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《地下水质量标准》（GB/T14848-2017）Ⅲ类</w:t>
                  </w:r>
                </w:p>
              </w:tc>
            </w:tr>
          </w:tbl>
          <w:p w14:paraId="10FE17B8">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运营期土壤监测要求如下表所示。</w:t>
            </w:r>
          </w:p>
          <w:p w14:paraId="6AA6A832">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20</w:t>
            </w:r>
            <w:r>
              <w:rPr>
                <w:rFonts w:hint="eastAsia"/>
                <w:color w:val="auto"/>
                <w:sz w:val="24"/>
                <w:highlight w:val="none"/>
              </w:rPr>
              <w:t xml:space="preserve">  土壤监测计划</w:t>
            </w:r>
          </w:p>
          <w:tbl>
            <w:tblPr>
              <w:tblStyle w:val="2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4"/>
              <w:gridCol w:w="1047"/>
              <w:gridCol w:w="1419"/>
              <w:gridCol w:w="1134"/>
              <w:gridCol w:w="3412"/>
            </w:tblGrid>
            <w:tr w14:paraId="33C27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24" w:type="dxa"/>
                  <w:vAlign w:val="center"/>
                </w:tcPr>
                <w:p w14:paraId="4CBED38A">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类型</w:t>
                  </w:r>
                </w:p>
              </w:tc>
              <w:tc>
                <w:tcPr>
                  <w:tcW w:w="1047" w:type="dxa"/>
                  <w:vAlign w:val="center"/>
                </w:tcPr>
                <w:p w14:paraId="5AC7797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监测点位</w:t>
                  </w:r>
                </w:p>
              </w:tc>
              <w:tc>
                <w:tcPr>
                  <w:tcW w:w="1419" w:type="dxa"/>
                  <w:vAlign w:val="center"/>
                </w:tcPr>
                <w:p w14:paraId="12E4040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监测指标</w:t>
                  </w:r>
                </w:p>
              </w:tc>
              <w:tc>
                <w:tcPr>
                  <w:tcW w:w="1134" w:type="dxa"/>
                  <w:vAlign w:val="center"/>
                </w:tcPr>
                <w:p w14:paraId="554A66B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频次</w:t>
                  </w:r>
                </w:p>
              </w:tc>
              <w:tc>
                <w:tcPr>
                  <w:tcW w:w="3412" w:type="dxa"/>
                  <w:vAlign w:val="center"/>
                </w:tcPr>
                <w:p w14:paraId="1D0E1A8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执行标准</w:t>
                  </w:r>
                </w:p>
              </w:tc>
            </w:tr>
            <w:tr w14:paraId="3FADD0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824" w:type="dxa"/>
                  <w:vAlign w:val="center"/>
                </w:tcPr>
                <w:p w14:paraId="39CA6827">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土壤</w:t>
                  </w:r>
                </w:p>
              </w:tc>
              <w:tc>
                <w:tcPr>
                  <w:tcW w:w="1047" w:type="dxa"/>
                  <w:vAlign w:val="center"/>
                </w:tcPr>
                <w:p w14:paraId="5ABA11DB">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项目所在地</w:t>
                  </w:r>
                </w:p>
              </w:tc>
              <w:tc>
                <w:tcPr>
                  <w:tcW w:w="1419" w:type="dxa"/>
                  <w:vAlign w:val="center"/>
                </w:tcPr>
                <w:p w14:paraId="6849C84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pH</w:t>
                  </w:r>
                  <w:r>
                    <w:rPr>
                      <w:rFonts w:hint="eastAsia"/>
                      <w:color w:val="auto"/>
                      <w:szCs w:val="21"/>
                      <w:highlight w:val="none"/>
                      <w:lang w:eastAsia="zh-CN"/>
                    </w:rPr>
                    <w:t>、</w:t>
                  </w:r>
                  <w:r>
                    <w:rPr>
                      <w:rFonts w:hint="eastAsia"/>
                      <w:color w:val="auto"/>
                      <w:szCs w:val="21"/>
                      <w:highlight w:val="none"/>
                    </w:rPr>
                    <w:t>砷</w:t>
                  </w:r>
                  <w:r>
                    <w:rPr>
                      <w:rFonts w:hint="eastAsia"/>
                      <w:color w:val="auto"/>
                      <w:szCs w:val="21"/>
                      <w:highlight w:val="none"/>
                      <w:lang w:eastAsia="zh-CN"/>
                    </w:rPr>
                    <w:t>、</w:t>
                  </w:r>
                  <w:r>
                    <w:rPr>
                      <w:rFonts w:hint="eastAsia"/>
                      <w:color w:val="auto"/>
                      <w:szCs w:val="21"/>
                      <w:highlight w:val="none"/>
                    </w:rPr>
                    <w:t>镉</w:t>
                  </w:r>
                  <w:r>
                    <w:rPr>
                      <w:rFonts w:hint="eastAsia"/>
                      <w:color w:val="auto"/>
                      <w:szCs w:val="21"/>
                      <w:highlight w:val="none"/>
                      <w:lang w:eastAsia="zh-CN"/>
                    </w:rPr>
                    <w:t>、</w:t>
                  </w:r>
                  <w:r>
                    <w:rPr>
                      <w:rFonts w:hint="eastAsia"/>
                      <w:color w:val="auto"/>
                      <w:szCs w:val="21"/>
                      <w:highlight w:val="none"/>
                    </w:rPr>
                    <w:t>铬（六价）</w:t>
                  </w:r>
                  <w:r>
                    <w:rPr>
                      <w:rFonts w:hint="eastAsia"/>
                      <w:color w:val="auto"/>
                      <w:szCs w:val="21"/>
                      <w:highlight w:val="none"/>
                      <w:lang w:eastAsia="zh-CN"/>
                    </w:rPr>
                    <w:t>、</w:t>
                  </w:r>
                  <w:r>
                    <w:rPr>
                      <w:rFonts w:hint="eastAsia"/>
                      <w:color w:val="auto"/>
                      <w:szCs w:val="21"/>
                      <w:highlight w:val="none"/>
                    </w:rPr>
                    <w:t>铜</w:t>
                  </w:r>
                  <w:r>
                    <w:rPr>
                      <w:rFonts w:hint="eastAsia"/>
                      <w:color w:val="auto"/>
                      <w:szCs w:val="21"/>
                      <w:highlight w:val="none"/>
                      <w:lang w:eastAsia="zh-CN"/>
                    </w:rPr>
                    <w:t>、</w:t>
                  </w:r>
                  <w:r>
                    <w:rPr>
                      <w:rFonts w:hint="eastAsia"/>
                      <w:color w:val="auto"/>
                      <w:szCs w:val="21"/>
                      <w:highlight w:val="none"/>
                    </w:rPr>
                    <w:t>铅</w:t>
                  </w:r>
                  <w:r>
                    <w:rPr>
                      <w:rFonts w:hint="eastAsia"/>
                      <w:color w:val="auto"/>
                      <w:szCs w:val="21"/>
                      <w:highlight w:val="none"/>
                      <w:lang w:eastAsia="zh-CN"/>
                    </w:rPr>
                    <w:t>、</w:t>
                  </w:r>
                  <w:r>
                    <w:rPr>
                      <w:rFonts w:hint="eastAsia"/>
                      <w:color w:val="auto"/>
                      <w:szCs w:val="21"/>
                      <w:highlight w:val="none"/>
                    </w:rPr>
                    <w:t>镍</w:t>
                  </w:r>
                  <w:r>
                    <w:rPr>
                      <w:rFonts w:hint="eastAsia"/>
                      <w:color w:val="auto"/>
                      <w:szCs w:val="21"/>
                      <w:highlight w:val="none"/>
                      <w:lang w:eastAsia="zh-CN"/>
                    </w:rPr>
                    <w:t>、</w:t>
                  </w:r>
                  <w:r>
                    <w:rPr>
                      <w:rFonts w:hint="eastAsia"/>
                      <w:color w:val="auto"/>
                      <w:szCs w:val="21"/>
                      <w:highlight w:val="none"/>
                    </w:rPr>
                    <w:t>汞+石油烃</w:t>
                  </w:r>
                </w:p>
              </w:tc>
              <w:tc>
                <w:tcPr>
                  <w:tcW w:w="1134" w:type="dxa"/>
                  <w:vAlign w:val="center"/>
                </w:tcPr>
                <w:p w14:paraId="039498AC">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1次/5年</w:t>
                  </w:r>
                </w:p>
              </w:tc>
              <w:tc>
                <w:tcPr>
                  <w:tcW w:w="3412" w:type="dxa"/>
                  <w:vAlign w:val="center"/>
                </w:tcPr>
                <w:p w14:paraId="0C1D9372">
                  <w:pPr>
                    <w:keepNext w:val="0"/>
                    <w:keepLines w:val="0"/>
                    <w:suppressLineNumbers w:val="0"/>
                    <w:adjustRightInd w:val="0"/>
                    <w:snapToGrid w:val="0"/>
                    <w:spacing w:before="0" w:beforeAutospacing="0" w:after="0" w:afterAutospacing="0"/>
                    <w:ind w:left="0" w:right="0"/>
                    <w:jc w:val="center"/>
                    <w:rPr>
                      <w:color w:val="auto"/>
                      <w:szCs w:val="21"/>
                      <w:highlight w:val="none"/>
                    </w:rPr>
                  </w:pPr>
                  <w:r>
                    <w:rPr>
                      <w:rFonts w:hint="eastAsia"/>
                      <w:color w:val="auto"/>
                      <w:szCs w:val="21"/>
                      <w:highlight w:val="none"/>
                    </w:rPr>
                    <w:t>《土壤环境质量 建设用地土壤污染风险管控标准（试行）》（GB36600-2018）中第二类用地标准要求</w:t>
                  </w:r>
                </w:p>
              </w:tc>
            </w:tr>
          </w:tbl>
          <w:p w14:paraId="60889057">
            <w:pPr>
              <w:keepNext w:val="0"/>
              <w:keepLines w:val="0"/>
              <w:suppressLineNumbers w:val="0"/>
              <w:adjustRightInd w:val="0"/>
              <w:snapToGrid w:val="0"/>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6、生态环境</w:t>
            </w:r>
          </w:p>
          <w:p w14:paraId="41224101">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根据《建设项目环境影响评价技术导则生态环境》（HJ19-2022），本项目位于工业园区内，占地为工业用地，项目所在地不属于特殊生态敏感区和重要生态敏感区。项目占地范围内及周边无珍稀野生动植物和国家级保护动植物，对周边生态环境影响较小。</w:t>
            </w:r>
          </w:p>
          <w:p w14:paraId="09EB7831">
            <w:pPr>
              <w:keepNext w:val="0"/>
              <w:keepLines w:val="0"/>
              <w:suppressLineNumbers w:val="0"/>
              <w:adjustRightInd w:val="0"/>
              <w:snapToGrid w:val="0"/>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7、</w:t>
            </w:r>
            <w:r>
              <w:rPr>
                <w:b/>
                <w:color w:val="auto"/>
                <w:sz w:val="24"/>
                <w:highlight w:val="none"/>
              </w:rPr>
              <w:t>环境风险</w:t>
            </w:r>
          </w:p>
          <w:p w14:paraId="4BBA6573">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rFonts w:hint="eastAsia"/>
                <w:color w:val="auto"/>
                <w:sz w:val="24"/>
                <w:highlight w:val="none"/>
              </w:rPr>
              <w:t>（1）评价依据</w:t>
            </w:r>
          </w:p>
          <w:p w14:paraId="5BE51F3B">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rFonts w:hint="eastAsia"/>
                <w:color w:val="auto"/>
                <w:sz w:val="24"/>
                <w:highlight w:val="none"/>
              </w:rPr>
              <w:t>①风险调查</w:t>
            </w:r>
          </w:p>
          <w:p w14:paraId="28C9225F">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rFonts w:hint="eastAsia"/>
                <w:color w:val="auto"/>
                <w:sz w:val="24"/>
                <w:highlight w:val="none"/>
              </w:rPr>
              <w:t>本项目属本项目</w:t>
            </w:r>
            <w:r>
              <w:rPr>
                <w:rFonts w:hint="eastAsia"/>
                <w:color w:val="auto"/>
                <w:sz w:val="24"/>
                <w:highlight w:val="none"/>
                <w:lang w:val="en-US" w:eastAsia="zh-CN"/>
              </w:rPr>
              <w:t>为C2511原油加工及石油制品制造（单纯混合分装），</w:t>
            </w:r>
            <w:r>
              <w:rPr>
                <w:rFonts w:hint="eastAsia"/>
                <w:color w:val="auto"/>
                <w:sz w:val="24"/>
                <w:highlight w:val="none"/>
              </w:rPr>
              <w:t>本项目在生产过程中</w:t>
            </w:r>
            <w:r>
              <w:rPr>
                <w:rFonts w:hint="eastAsia"/>
                <w:color w:val="auto"/>
                <w:sz w:val="24"/>
                <w:highlight w:val="none"/>
                <w:lang w:val="en-US" w:eastAsia="zh-CN"/>
              </w:rPr>
              <w:t>产生一定量危险废物，属风险物质</w:t>
            </w:r>
            <w:r>
              <w:rPr>
                <w:rFonts w:hint="eastAsia"/>
                <w:color w:val="auto"/>
                <w:sz w:val="24"/>
                <w:highlight w:val="none"/>
              </w:rPr>
              <w:t>。</w:t>
            </w:r>
          </w:p>
          <w:p w14:paraId="678A0E13">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rFonts w:hint="eastAsia"/>
                <w:color w:val="auto"/>
                <w:sz w:val="24"/>
                <w:highlight w:val="none"/>
              </w:rPr>
              <w:t>②风险潜势初判及评价等级</w:t>
            </w:r>
          </w:p>
          <w:p w14:paraId="33F1BEC5">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rFonts w:hint="eastAsia"/>
                <w:color w:val="auto"/>
                <w:sz w:val="24"/>
                <w:highlight w:val="none"/>
              </w:rPr>
              <w:t>根据《建设项目环境风险评价技术导则》（HJ169-2018）中关于环境风险潜势初判方式首先按下式计算物质总量与临界量比值（Q）</w:t>
            </w:r>
          </w:p>
          <w:p w14:paraId="5AFE175B">
            <w:pPr>
              <w:keepNext w:val="0"/>
              <w:keepLines w:val="0"/>
              <w:suppressLineNumbers w:val="0"/>
              <w:spacing w:before="0" w:beforeAutospacing="0" w:after="0" w:afterAutospacing="0" w:line="360" w:lineRule="auto"/>
              <w:ind w:left="0" w:right="0" w:firstLine="480" w:firstLineChars="200"/>
              <w:jc w:val="center"/>
              <w:rPr>
                <w:color w:val="auto"/>
                <w:kern w:val="0"/>
                <w:sz w:val="24"/>
                <w:highlight w:val="none"/>
              </w:rPr>
            </w:pPr>
            <w:r>
              <w:rPr>
                <w:rFonts w:hint="eastAsia"/>
                <w:color w:val="auto"/>
                <w:kern w:val="0"/>
                <w:position w:val="-30"/>
                <w:sz w:val="24"/>
                <w:highlight w:val="none"/>
              </w:rPr>
              <w:object>
                <v:shape id="_x0000_i1029" o:spt="75" type="#_x0000_t75" style="height:35.25pt;width:126.75pt;" o:ole="t" filled="f" o:preferrelative="t" stroked="f" coordsize="21600,21600">
                  <v:path/>
                  <v:fill on="f" focussize="0,0"/>
                  <v:stroke on="f" joinstyle="miter"/>
                  <v:imagedata r:id="rId25" o:title=""/>
                  <o:lock v:ext="edit" aspectratio="t"/>
                  <w10:wrap type="none"/>
                  <w10:anchorlock/>
                </v:shape>
                <o:OLEObject Type="Embed" ProgID="Equation.3" ShapeID="_x0000_i1029" DrawAspect="Content" ObjectID="_1468075725" r:id="rId24">
                  <o:LockedField>false</o:LockedField>
                </o:OLEObject>
              </w:object>
            </w:r>
          </w:p>
          <w:p w14:paraId="2F6CD15B">
            <w:pPr>
              <w:keepNext w:val="0"/>
              <w:keepLines w:val="0"/>
              <w:suppressLineNumbers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式中：q</w:t>
            </w:r>
            <w:r>
              <w:rPr>
                <w:color w:val="auto"/>
                <w:kern w:val="0"/>
                <w:sz w:val="24"/>
                <w:highlight w:val="none"/>
                <w:vertAlign w:val="subscript"/>
              </w:rPr>
              <w:t>1</w:t>
            </w:r>
            <w:r>
              <w:rPr>
                <w:color w:val="auto"/>
                <w:kern w:val="0"/>
                <w:sz w:val="24"/>
                <w:highlight w:val="none"/>
              </w:rPr>
              <w:t>,q</w:t>
            </w:r>
            <w:r>
              <w:rPr>
                <w:color w:val="auto"/>
                <w:kern w:val="0"/>
                <w:sz w:val="24"/>
                <w:highlight w:val="none"/>
                <w:vertAlign w:val="subscript"/>
              </w:rPr>
              <w:t>2</w:t>
            </w:r>
            <w:r>
              <w:rPr>
                <w:color w:val="auto"/>
                <w:kern w:val="0"/>
                <w:sz w:val="24"/>
                <w:highlight w:val="none"/>
              </w:rPr>
              <w:t>,…,q</w:t>
            </w:r>
            <w:r>
              <w:rPr>
                <w:color w:val="auto"/>
                <w:kern w:val="0"/>
                <w:sz w:val="24"/>
                <w:highlight w:val="none"/>
                <w:vertAlign w:val="subscript"/>
              </w:rPr>
              <w:t>n</w:t>
            </w:r>
            <w:r>
              <w:rPr>
                <w:color w:val="auto"/>
                <w:kern w:val="0"/>
                <w:sz w:val="24"/>
                <w:highlight w:val="none"/>
              </w:rPr>
              <w:t>——每种危险物质的最大存在总量，t；</w:t>
            </w:r>
          </w:p>
          <w:p w14:paraId="7DB34E00">
            <w:pPr>
              <w:keepNext w:val="0"/>
              <w:keepLines w:val="0"/>
              <w:suppressLineNumbers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Q</w:t>
            </w:r>
            <w:r>
              <w:rPr>
                <w:color w:val="auto"/>
                <w:kern w:val="0"/>
                <w:sz w:val="24"/>
                <w:highlight w:val="none"/>
                <w:vertAlign w:val="subscript"/>
              </w:rPr>
              <w:t>1</w:t>
            </w:r>
            <w:r>
              <w:rPr>
                <w:color w:val="auto"/>
                <w:kern w:val="0"/>
                <w:sz w:val="24"/>
                <w:highlight w:val="none"/>
              </w:rPr>
              <w:t>,Q</w:t>
            </w:r>
            <w:r>
              <w:rPr>
                <w:color w:val="auto"/>
                <w:kern w:val="0"/>
                <w:sz w:val="24"/>
                <w:highlight w:val="none"/>
                <w:vertAlign w:val="subscript"/>
              </w:rPr>
              <w:t>2</w:t>
            </w:r>
            <w:r>
              <w:rPr>
                <w:color w:val="auto"/>
                <w:kern w:val="0"/>
                <w:sz w:val="24"/>
                <w:highlight w:val="none"/>
              </w:rPr>
              <w:t>,…,Q</w:t>
            </w:r>
            <w:r>
              <w:rPr>
                <w:color w:val="auto"/>
                <w:kern w:val="0"/>
                <w:sz w:val="24"/>
                <w:highlight w:val="none"/>
                <w:vertAlign w:val="subscript"/>
              </w:rPr>
              <w:t>n</w:t>
            </w:r>
            <w:r>
              <w:rPr>
                <w:color w:val="auto"/>
                <w:kern w:val="0"/>
                <w:sz w:val="24"/>
                <w:highlight w:val="none"/>
              </w:rPr>
              <w:t>——每种危险物质的临界量，t。</w:t>
            </w:r>
          </w:p>
          <w:p w14:paraId="5304C7EC">
            <w:pPr>
              <w:keepNext w:val="0"/>
              <w:keepLines w:val="0"/>
              <w:suppressLineNumbers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当Q&lt;1时，该项目环境风险潜势为Ⅰ</w:t>
            </w:r>
          </w:p>
          <w:p w14:paraId="60EEE5E3">
            <w:pPr>
              <w:keepNext w:val="0"/>
              <w:keepLines w:val="0"/>
              <w:suppressLineNumbers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当Q≥1时，将Q值划分为：1≤Q&lt;10</w:t>
            </w:r>
            <w:r>
              <w:rPr>
                <w:rFonts w:hint="eastAsia"/>
                <w:color w:val="auto"/>
                <w:kern w:val="0"/>
                <w:sz w:val="24"/>
                <w:highlight w:val="none"/>
              </w:rPr>
              <w:t>、</w:t>
            </w:r>
            <w:r>
              <w:rPr>
                <w:color w:val="auto"/>
                <w:kern w:val="0"/>
                <w:sz w:val="24"/>
                <w:highlight w:val="none"/>
              </w:rPr>
              <w:t>10≤Q&lt;100</w:t>
            </w:r>
            <w:r>
              <w:rPr>
                <w:rFonts w:hint="eastAsia"/>
                <w:color w:val="auto"/>
                <w:kern w:val="0"/>
                <w:sz w:val="24"/>
                <w:highlight w:val="none"/>
              </w:rPr>
              <w:t>、</w:t>
            </w:r>
            <w:r>
              <w:rPr>
                <w:color w:val="auto"/>
                <w:kern w:val="0"/>
                <w:sz w:val="24"/>
                <w:highlight w:val="none"/>
              </w:rPr>
              <w:t>Q≥100。</w:t>
            </w:r>
          </w:p>
          <w:p w14:paraId="6C2DD258">
            <w:pPr>
              <w:keepNext w:val="0"/>
              <w:keepLines w:val="0"/>
              <w:suppressLineNumbers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本项目危险物质Q值见表</w:t>
            </w:r>
            <w:r>
              <w:rPr>
                <w:rFonts w:hint="eastAsia"/>
                <w:color w:val="auto"/>
                <w:kern w:val="0"/>
                <w:sz w:val="24"/>
                <w:highlight w:val="none"/>
              </w:rPr>
              <w:t>4-</w:t>
            </w:r>
            <w:r>
              <w:rPr>
                <w:rFonts w:hint="eastAsia"/>
                <w:color w:val="auto"/>
                <w:kern w:val="0"/>
                <w:sz w:val="24"/>
                <w:highlight w:val="none"/>
                <w:lang w:val="en-US" w:eastAsia="zh-CN"/>
              </w:rPr>
              <w:t>21</w:t>
            </w:r>
            <w:r>
              <w:rPr>
                <w:color w:val="auto"/>
                <w:kern w:val="0"/>
                <w:sz w:val="24"/>
                <w:highlight w:val="none"/>
              </w:rPr>
              <w:t>。</w:t>
            </w:r>
          </w:p>
          <w:p w14:paraId="34A1758D">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21</w:t>
            </w:r>
            <w:r>
              <w:rPr>
                <w:rFonts w:hint="eastAsia"/>
                <w:color w:val="auto"/>
                <w:sz w:val="24"/>
                <w:highlight w:val="none"/>
              </w:rPr>
              <w:t xml:space="preserve">  建设项目Q值确定表</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1552"/>
              <w:gridCol w:w="1274"/>
              <w:gridCol w:w="1642"/>
              <w:gridCol w:w="1188"/>
              <w:gridCol w:w="1429"/>
            </w:tblGrid>
            <w:tr w14:paraId="3BA851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741" w:type="dxa"/>
                  <w:vAlign w:val="center"/>
                </w:tcPr>
                <w:p w14:paraId="2F816527">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序号</w:t>
                  </w:r>
                </w:p>
              </w:tc>
              <w:tc>
                <w:tcPr>
                  <w:tcW w:w="1552" w:type="dxa"/>
                  <w:vAlign w:val="center"/>
                </w:tcPr>
                <w:p w14:paraId="7D7010E7">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危险物质名称</w:t>
                  </w:r>
                </w:p>
              </w:tc>
              <w:tc>
                <w:tcPr>
                  <w:tcW w:w="1274" w:type="dxa"/>
                  <w:vAlign w:val="center"/>
                </w:tcPr>
                <w:p w14:paraId="7498587D">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CAS号</w:t>
                  </w:r>
                </w:p>
              </w:tc>
              <w:tc>
                <w:tcPr>
                  <w:tcW w:w="1642" w:type="dxa"/>
                  <w:vAlign w:val="center"/>
                </w:tcPr>
                <w:p w14:paraId="7595EF46">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最大储存量（t）</w:t>
                  </w:r>
                </w:p>
              </w:tc>
              <w:tc>
                <w:tcPr>
                  <w:tcW w:w="1188" w:type="dxa"/>
                  <w:vAlign w:val="center"/>
                </w:tcPr>
                <w:p w14:paraId="55887257">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临界量（t）</w:t>
                  </w:r>
                </w:p>
              </w:tc>
              <w:tc>
                <w:tcPr>
                  <w:tcW w:w="1429" w:type="dxa"/>
                  <w:vAlign w:val="center"/>
                </w:tcPr>
                <w:p w14:paraId="1DE2B9C5">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该种危险物质Q值</w:t>
                  </w:r>
                </w:p>
              </w:tc>
            </w:tr>
            <w:tr w14:paraId="1C9FDF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741" w:type="dxa"/>
                  <w:vAlign w:val="center"/>
                </w:tcPr>
                <w:p w14:paraId="01954257">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lang w:val="en-US" w:eastAsia="zh-CN"/>
                    </w:rPr>
                    <w:t>1</w:t>
                  </w:r>
                </w:p>
              </w:tc>
              <w:tc>
                <w:tcPr>
                  <w:tcW w:w="1552" w:type="dxa"/>
                  <w:vAlign w:val="center"/>
                </w:tcPr>
                <w:p w14:paraId="3491C76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危险废物</w:t>
                  </w:r>
                </w:p>
              </w:tc>
              <w:tc>
                <w:tcPr>
                  <w:tcW w:w="1274" w:type="dxa"/>
                  <w:vAlign w:val="center"/>
                </w:tcPr>
                <w:p w14:paraId="3515AF50">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w:t>
                  </w:r>
                </w:p>
              </w:tc>
              <w:tc>
                <w:tcPr>
                  <w:tcW w:w="1642" w:type="dxa"/>
                  <w:vAlign w:val="center"/>
                </w:tcPr>
                <w:p w14:paraId="4F434FEE">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2</w:t>
                  </w:r>
                </w:p>
              </w:tc>
              <w:tc>
                <w:tcPr>
                  <w:tcW w:w="1188" w:type="dxa"/>
                  <w:vAlign w:val="center"/>
                </w:tcPr>
                <w:p w14:paraId="0565EB2F">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50</w:t>
                  </w:r>
                </w:p>
              </w:tc>
              <w:tc>
                <w:tcPr>
                  <w:tcW w:w="1429" w:type="dxa"/>
                  <w:vAlign w:val="center"/>
                </w:tcPr>
                <w:p w14:paraId="2CDD377B">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0.04</w:t>
                  </w:r>
                </w:p>
              </w:tc>
            </w:tr>
          </w:tbl>
          <w:p w14:paraId="3590FC50">
            <w:pPr>
              <w:keepNext w:val="0"/>
              <w:keepLines w:val="0"/>
              <w:suppressLineNumbers w:val="0"/>
              <w:spacing w:before="0" w:beforeAutospacing="0" w:after="0" w:afterAutospacing="0" w:line="360" w:lineRule="exact"/>
              <w:ind w:left="0" w:right="0"/>
              <w:jc w:val="center"/>
              <w:rPr>
                <w:rFonts w:hint="eastAsia"/>
                <w:color w:val="auto"/>
                <w:sz w:val="24"/>
                <w:highlight w:val="none"/>
              </w:rPr>
            </w:pPr>
            <w:r>
              <w:rPr>
                <w:rFonts w:hint="eastAsia"/>
                <w:color w:val="auto"/>
                <w:sz w:val="24"/>
                <w:highlight w:val="none"/>
              </w:rPr>
              <w:t>表4-</w:t>
            </w:r>
            <w:r>
              <w:rPr>
                <w:rFonts w:hint="eastAsia"/>
                <w:color w:val="auto"/>
                <w:sz w:val="24"/>
                <w:highlight w:val="none"/>
                <w:lang w:val="en-US" w:eastAsia="zh-CN"/>
              </w:rPr>
              <w:t>22</w:t>
            </w:r>
            <w:r>
              <w:rPr>
                <w:rFonts w:hint="eastAsia"/>
                <w:color w:val="auto"/>
                <w:sz w:val="24"/>
                <w:highlight w:val="none"/>
              </w:rPr>
              <w:t xml:space="preserve">  评价工作等级划分</w:t>
            </w:r>
          </w:p>
          <w:tbl>
            <w:tblPr>
              <w:tblStyle w:val="2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72"/>
              <w:gridCol w:w="1572"/>
              <w:gridCol w:w="1572"/>
              <w:gridCol w:w="1572"/>
              <w:gridCol w:w="1580"/>
            </w:tblGrid>
            <w:tr w14:paraId="2E3384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2" w:type="dxa"/>
                  <w:vAlign w:val="center"/>
                </w:tcPr>
                <w:p w14:paraId="70628690">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环境风险潜势</w:t>
                  </w:r>
                </w:p>
              </w:tc>
              <w:tc>
                <w:tcPr>
                  <w:tcW w:w="1572" w:type="dxa"/>
                  <w:vAlign w:val="center"/>
                </w:tcPr>
                <w:p w14:paraId="5B96802B">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IV、IV+</w:t>
                  </w:r>
                </w:p>
              </w:tc>
              <w:tc>
                <w:tcPr>
                  <w:tcW w:w="1572" w:type="dxa"/>
                  <w:vAlign w:val="center"/>
                </w:tcPr>
                <w:p w14:paraId="324C0778">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III</w:t>
                  </w:r>
                </w:p>
              </w:tc>
              <w:tc>
                <w:tcPr>
                  <w:tcW w:w="1572" w:type="dxa"/>
                  <w:vAlign w:val="center"/>
                </w:tcPr>
                <w:p w14:paraId="0DD8F0DF">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II</w:t>
                  </w:r>
                </w:p>
              </w:tc>
              <w:tc>
                <w:tcPr>
                  <w:tcW w:w="1580" w:type="dxa"/>
                  <w:vAlign w:val="center"/>
                </w:tcPr>
                <w:p w14:paraId="07AEB814">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I</w:t>
                  </w:r>
                </w:p>
              </w:tc>
            </w:tr>
            <w:tr w14:paraId="31B06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572" w:type="dxa"/>
                  <w:vAlign w:val="center"/>
                </w:tcPr>
                <w:p w14:paraId="64B00A69">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评价工作等级</w:t>
                  </w:r>
                </w:p>
              </w:tc>
              <w:tc>
                <w:tcPr>
                  <w:tcW w:w="1572" w:type="dxa"/>
                  <w:vAlign w:val="center"/>
                </w:tcPr>
                <w:p w14:paraId="1603E636">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一</w:t>
                  </w:r>
                </w:p>
              </w:tc>
              <w:tc>
                <w:tcPr>
                  <w:tcW w:w="1572" w:type="dxa"/>
                  <w:vAlign w:val="center"/>
                </w:tcPr>
                <w:p w14:paraId="10670193">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二</w:t>
                  </w:r>
                </w:p>
              </w:tc>
              <w:tc>
                <w:tcPr>
                  <w:tcW w:w="1572" w:type="dxa"/>
                  <w:vAlign w:val="center"/>
                </w:tcPr>
                <w:p w14:paraId="26A3A959">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三</w:t>
                  </w:r>
                </w:p>
              </w:tc>
              <w:tc>
                <w:tcPr>
                  <w:tcW w:w="1580" w:type="dxa"/>
                  <w:vAlign w:val="center"/>
                </w:tcPr>
                <w:p w14:paraId="25D20578">
                  <w:pPr>
                    <w:keepNext w:val="0"/>
                    <w:keepLines w:val="0"/>
                    <w:suppressLineNumbers w:val="0"/>
                    <w:adjustRightInd w:val="0"/>
                    <w:snapToGrid w:val="0"/>
                    <w:spacing w:before="0" w:beforeAutospacing="0" w:after="0" w:afterAutospacing="0"/>
                    <w:ind w:left="0" w:right="0"/>
                    <w:jc w:val="center"/>
                    <w:rPr>
                      <w:bCs/>
                      <w:color w:val="auto"/>
                      <w:kern w:val="0"/>
                      <w:szCs w:val="21"/>
                      <w:highlight w:val="none"/>
                    </w:rPr>
                  </w:pPr>
                  <w:r>
                    <w:rPr>
                      <w:bCs/>
                      <w:color w:val="auto"/>
                      <w:kern w:val="0"/>
                      <w:szCs w:val="21"/>
                      <w:highlight w:val="none"/>
                    </w:rPr>
                    <w:t>简单分析a</w:t>
                  </w:r>
                </w:p>
              </w:tc>
            </w:tr>
            <w:tr w14:paraId="0A6DE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7868" w:type="dxa"/>
                  <w:gridSpan w:val="5"/>
                  <w:vAlign w:val="center"/>
                </w:tcPr>
                <w:p w14:paraId="601E5482">
                  <w:pPr>
                    <w:keepNext w:val="0"/>
                    <w:keepLines w:val="0"/>
                    <w:suppressLineNumbers w:val="0"/>
                    <w:adjustRightInd w:val="0"/>
                    <w:snapToGrid w:val="0"/>
                    <w:spacing w:before="0" w:beforeAutospacing="0" w:after="0" w:afterAutospacing="0"/>
                    <w:ind w:left="0" w:right="0"/>
                    <w:jc w:val="left"/>
                    <w:rPr>
                      <w:bCs/>
                      <w:color w:val="auto"/>
                      <w:kern w:val="0"/>
                      <w:szCs w:val="21"/>
                      <w:highlight w:val="none"/>
                    </w:rPr>
                  </w:pPr>
                  <w:r>
                    <w:rPr>
                      <w:bCs/>
                      <w:color w:val="auto"/>
                      <w:kern w:val="0"/>
                      <w:szCs w:val="21"/>
                      <w:highlight w:val="none"/>
                    </w:rPr>
                    <w:t>a 是相对于详细评价工作内容而言，在描述危险物质、环境影响途径、环境危害后果、风险防范措施等方面给出定性的说明。</w:t>
                  </w:r>
                </w:p>
              </w:tc>
            </w:tr>
          </w:tbl>
          <w:p w14:paraId="36243351">
            <w:pPr>
              <w:keepNext w:val="0"/>
              <w:keepLines w:val="0"/>
              <w:suppressLineNumbers w:val="0"/>
              <w:spacing w:before="0" w:beforeAutospacing="0" w:after="0" w:afterAutospacing="0" w:line="360" w:lineRule="auto"/>
              <w:ind w:left="0" w:right="0" w:firstLine="480" w:firstLineChars="200"/>
              <w:rPr>
                <w:color w:val="auto"/>
                <w:kern w:val="0"/>
                <w:sz w:val="24"/>
                <w:highlight w:val="none"/>
              </w:rPr>
            </w:pPr>
            <w:r>
              <w:rPr>
                <w:color w:val="auto"/>
                <w:kern w:val="0"/>
                <w:sz w:val="24"/>
                <w:highlight w:val="none"/>
              </w:rPr>
              <w:t>根据《建设项目环境风险评价技术导则》（HJ169-2018）的环境风险评价等级确定方法，本项目</w:t>
            </w:r>
            <w:r>
              <w:rPr>
                <w:rFonts w:hint="eastAsia"/>
                <w:color w:val="auto"/>
                <w:kern w:val="0"/>
                <w:sz w:val="24"/>
                <w:highlight w:val="none"/>
              </w:rPr>
              <w:t>Q&lt;1，可直接判定风险潜势为</w:t>
            </w:r>
            <w:r>
              <w:rPr>
                <w:color w:val="auto"/>
                <w:kern w:val="0"/>
                <w:sz w:val="24"/>
                <w:highlight w:val="none"/>
              </w:rPr>
              <w:fldChar w:fldCharType="begin"/>
            </w:r>
            <w:r>
              <w:rPr>
                <w:color w:val="auto"/>
                <w:kern w:val="0"/>
                <w:sz w:val="24"/>
                <w:highlight w:val="none"/>
              </w:rPr>
              <w:instrText xml:space="preserve"> = 1 \* ROMAN \* MERGEFORMAT </w:instrText>
            </w:r>
            <w:r>
              <w:rPr>
                <w:color w:val="auto"/>
                <w:kern w:val="0"/>
                <w:sz w:val="24"/>
                <w:highlight w:val="none"/>
              </w:rPr>
              <w:fldChar w:fldCharType="separate"/>
            </w:r>
            <w:r>
              <w:rPr>
                <w:color w:val="auto"/>
                <w:sz w:val="24"/>
                <w:highlight w:val="none"/>
              </w:rPr>
              <w:t>I</w:t>
            </w:r>
            <w:r>
              <w:rPr>
                <w:color w:val="auto"/>
                <w:kern w:val="0"/>
                <w:sz w:val="24"/>
                <w:highlight w:val="none"/>
              </w:rPr>
              <w:fldChar w:fldCharType="end"/>
            </w:r>
            <w:r>
              <w:rPr>
                <w:rFonts w:hint="eastAsia"/>
                <w:color w:val="auto"/>
                <w:kern w:val="0"/>
                <w:sz w:val="24"/>
                <w:highlight w:val="none"/>
              </w:rPr>
              <w:t>，</w:t>
            </w:r>
            <w:r>
              <w:rPr>
                <w:color w:val="auto"/>
                <w:kern w:val="0"/>
                <w:sz w:val="24"/>
                <w:highlight w:val="none"/>
              </w:rPr>
              <w:t>综合危险物质及工艺系统危险性与环境敏感程度，最终确定环境风险评价等级为</w:t>
            </w:r>
            <w:r>
              <w:rPr>
                <w:rFonts w:hint="eastAsia"/>
                <w:color w:val="auto"/>
                <w:kern w:val="0"/>
                <w:sz w:val="24"/>
                <w:highlight w:val="none"/>
              </w:rPr>
              <w:t>简单分析</w:t>
            </w:r>
            <w:r>
              <w:rPr>
                <w:color w:val="auto"/>
                <w:kern w:val="0"/>
                <w:sz w:val="24"/>
                <w:highlight w:val="none"/>
              </w:rPr>
              <w:t>。</w:t>
            </w:r>
          </w:p>
          <w:p w14:paraId="302F8492">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rFonts w:hint="eastAsia"/>
                <w:color w:val="auto"/>
                <w:sz w:val="24"/>
                <w:highlight w:val="none"/>
              </w:rPr>
              <w:t>（2）环境敏感目标概况</w:t>
            </w:r>
          </w:p>
          <w:p w14:paraId="15DFBD22">
            <w:pPr>
              <w:keepNext w:val="0"/>
              <w:keepLines w:val="0"/>
              <w:suppressLineNumbers w:val="0"/>
              <w:spacing w:before="0" w:beforeAutospacing="0" w:after="0" w:afterAutospacing="0" w:line="360" w:lineRule="auto"/>
              <w:ind w:left="0" w:right="0" w:firstLine="480" w:firstLineChars="200"/>
              <w:rPr>
                <w:color w:val="auto"/>
                <w:kern w:val="0"/>
                <w:sz w:val="24"/>
                <w:highlight w:val="none"/>
              </w:rPr>
            </w:pPr>
            <w:r>
              <w:rPr>
                <w:rFonts w:hint="eastAsia"/>
                <w:color w:val="auto"/>
                <w:kern w:val="0"/>
                <w:sz w:val="24"/>
                <w:highlight w:val="none"/>
              </w:rPr>
              <w:t>本项目评价等级为简单分析，不设评价范围。所在区域周围无自然保护区、风景名胜区、无地下水集中式饮用水水源和热水、矿泉水、温泉等特殊地下水资源。</w:t>
            </w:r>
          </w:p>
          <w:p w14:paraId="121CF71A">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rFonts w:hint="eastAsia"/>
                <w:color w:val="auto"/>
                <w:sz w:val="24"/>
                <w:highlight w:val="none"/>
              </w:rPr>
              <w:t>（3）环境风险识别</w:t>
            </w:r>
          </w:p>
          <w:p w14:paraId="36702FFA">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color w:val="auto"/>
                <w:sz w:val="24"/>
                <w:highlight w:val="none"/>
              </w:rPr>
              <w:t>①物质危险性识别</w:t>
            </w:r>
          </w:p>
          <w:p w14:paraId="75E3D569">
            <w:pPr>
              <w:keepNext w:val="0"/>
              <w:keepLines w:val="0"/>
              <w:suppressLineNumbers w:val="0"/>
              <w:spacing w:before="0" w:beforeAutospacing="0" w:after="0" w:afterAutospacing="0" w:line="360" w:lineRule="auto"/>
              <w:ind w:left="0" w:right="0" w:firstLine="480" w:firstLineChars="200"/>
              <w:jc w:val="left"/>
              <w:rPr>
                <w:color w:val="auto"/>
                <w:sz w:val="24"/>
                <w:highlight w:val="none"/>
              </w:rPr>
            </w:pPr>
            <w:r>
              <w:rPr>
                <w:color w:val="auto"/>
                <w:sz w:val="24"/>
                <w:highlight w:val="none"/>
              </w:rPr>
              <w:t>根据《建设项目环境风险评价技术导则》（HJ169-2018）中附录B.1风险物质及临界量，本项目危险物质为</w:t>
            </w:r>
            <w:r>
              <w:rPr>
                <w:rFonts w:hint="eastAsia"/>
                <w:color w:val="auto"/>
                <w:sz w:val="24"/>
                <w:highlight w:val="none"/>
                <w:lang w:val="en-US" w:eastAsia="zh-CN"/>
              </w:rPr>
              <w:t>危险废物</w:t>
            </w:r>
            <w:r>
              <w:rPr>
                <w:color w:val="auto"/>
                <w:sz w:val="24"/>
                <w:highlight w:val="none"/>
              </w:rPr>
              <w:t>，危险性为有毒有害和易燃易爆。</w:t>
            </w:r>
          </w:p>
          <w:p w14:paraId="40F89C41">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②风险源分布情况</w:t>
            </w:r>
          </w:p>
          <w:p w14:paraId="418D4533">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本项目危险物质为</w:t>
            </w:r>
            <w:r>
              <w:rPr>
                <w:rFonts w:hint="eastAsia"/>
                <w:color w:val="auto"/>
                <w:sz w:val="24"/>
                <w:highlight w:val="none"/>
                <w:lang w:val="en-US" w:eastAsia="zh-CN"/>
              </w:rPr>
              <w:t>危险废物，</w:t>
            </w:r>
            <w:r>
              <w:rPr>
                <w:rFonts w:hint="eastAsia"/>
                <w:color w:val="auto"/>
                <w:sz w:val="24"/>
                <w:highlight w:val="none"/>
              </w:rPr>
              <w:t>贮存于危废贮存点。</w:t>
            </w:r>
          </w:p>
          <w:p w14:paraId="58A48383">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③源项分析</w:t>
            </w:r>
          </w:p>
          <w:p w14:paraId="2BA56702">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最大可信事故源项是对所识别选出的危险物质，在最大可信事故情况下的释放率和释放时间的设定。综合考虑本项目的风险防控措施及风险管理水平，本次评价确定的最大可信事故的源项如下：</w:t>
            </w:r>
          </w:p>
          <w:p w14:paraId="1BA34BB9">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建设项目物料泄漏主要考虑</w:t>
            </w:r>
            <w:r>
              <w:rPr>
                <w:rFonts w:hint="eastAsia"/>
                <w:color w:val="auto"/>
                <w:sz w:val="24"/>
                <w:highlight w:val="none"/>
                <w:lang w:val="en-US" w:eastAsia="zh-CN"/>
              </w:rPr>
              <w:t>微晶蜡、</w:t>
            </w:r>
            <w:r>
              <w:rPr>
                <w:rFonts w:hint="eastAsia"/>
                <w:color w:val="auto"/>
                <w:sz w:val="24"/>
                <w:highlight w:val="none"/>
              </w:rPr>
              <w:t>危险废物发生泄漏事故，会快速泄漏，对涉及的人群产生严重影响，另外，遇到明火还会引发火灾、爆炸事故，从而引发的伴生/次生污染物排放，包括CO、NO</w:t>
            </w:r>
            <w:r>
              <w:rPr>
                <w:rFonts w:hint="eastAsia"/>
                <w:color w:val="auto"/>
                <w:sz w:val="24"/>
                <w:highlight w:val="none"/>
                <w:vertAlign w:val="subscript"/>
              </w:rPr>
              <w:t>x</w:t>
            </w:r>
            <w:r>
              <w:rPr>
                <w:rFonts w:hint="eastAsia"/>
                <w:color w:val="auto"/>
                <w:sz w:val="24"/>
                <w:highlight w:val="none"/>
              </w:rPr>
              <w:t>、消防废水等。因此本项目需采取有效的措施，避免或减少此类事故的发生。</w:t>
            </w:r>
          </w:p>
          <w:p w14:paraId="043C797A">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一氧化碳产生量相对较大，危害也大，一氧化碳的浓度过高或持续时间过长都会使人窒息或死亡。一般情况下，火场附近的一氧化碳的浓度较高（浓度可达 0.02%），而距火场30m处，一氧化碳的浓度逐渐降低（0.001%）。因此，近距离靠近火场会造成一氧化碳中毒的危险。空气中含有大量的氮气，无论对植物还是人类均没有危害作用。但是，当空气中的氮转化成氮氧化物如二氧化氮、一氧化氮等时，其危害作用显著增加。二氧化氮具有强烈的刺激性，能引起哮喘、支气管、肺水肿等多种疾病。当空气中二氧化氮浓度达到0.05%时，就会使人致死。在火场之外的开阔的空间内，由于烟雾扩散，二氧化氮的浓度被迅速稀释，不会对人体健康造成危害。火灾发生时虽不可避免的对厂区内人员安全与生产设施产生较大的不利影响，但火灾发生时有害气体对周围敏感点环境空气质量只产生暂时性影响，短时内会造成周围敏感点环境空气质量的恶化，但不会对人体健康造成损害。</w:t>
            </w:r>
          </w:p>
          <w:p w14:paraId="29804C55">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（4）环境风险防范措施</w:t>
            </w:r>
          </w:p>
          <w:p w14:paraId="6DEBF48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olor w:val="auto"/>
                <w:sz w:val="24"/>
                <w:highlight w:val="none"/>
                <w:lang w:eastAsia="zh-CN"/>
              </w:rPr>
            </w:pPr>
            <w:r>
              <w:rPr>
                <w:rFonts w:hint="eastAsia"/>
                <w:color w:val="auto"/>
                <w:sz w:val="24"/>
                <w:highlight w:val="none"/>
              </w:rPr>
              <w:t>①危险废物等泄漏风险事故风险防范措施：项目运营过程中</w:t>
            </w:r>
            <w:r>
              <w:rPr>
                <w:rFonts w:hint="eastAsia"/>
                <w:color w:val="auto"/>
                <w:sz w:val="24"/>
                <w:highlight w:val="none"/>
                <w:lang w:val="en-US" w:eastAsia="zh-CN"/>
              </w:rPr>
              <w:t>原辅料</w:t>
            </w:r>
            <w:r>
              <w:rPr>
                <w:rFonts w:hint="eastAsia"/>
                <w:color w:val="auto"/>
                <w:sz w:val="24"/>
                <w:highlight w:val="none"/>
              </w:rPr>
              <w:t>的使用过程存在泄漏风险，但本项目生产工序设置在生产车间内，生产车间地面设置防渗</w:t>
            </w:r>
            <w:r>
              <w:rPr>
                <w:rFonts w:hint="eastAsia"/>
                <w:color w:val="auto"/>
                <w:sz w:val="24"/>
                <w:highlight w:val="none"/>
                <w:lang w:eastAsia="zh-CN"/>
              </w:rPr>
              <w:t>，</w:t>
            </w:r>
            <w:r>
              <w:rPr>
                <w:rFonts w:hint="eastAsia"/>
                <w:color w:val="auto"/>
                <w:sz w:val="24"/>
                <w:highlight w:val="none"/>
                <w:lang w:val="en-US" w:eastAsia="zh-CN"/>
              </w:rPr>
              <w:t>企业目前已设三级防控措施</w:t>
            </w:r>
            <w:r>
              <w:rPr>
                <w:rFonts w:hint="eastAsia"/>
                <w:color w:val="auto"/>
                <w:sz w:val="24"/>
                <w:highlight w:val="none"/>
                <w:lang w:eastAsia="zh-CN"/>
              </w:rPr>
              <w:t>，即：一级防控措施将污染物控制在装置区；二级防控设置切换阀门，防止污染物流入外环境；三级防控设置</w:t>
            </w:r>
            <w:r>
              <w:rPr>
                <w:rFonts w:hint="eastAsia"/>
                <w:color w:val="auto"/>
                <w:sz w:val="24"/>
                <w:highlight w:val="none"/>
                <w:lang w:val="en-US" w:eastAsia="zh-CN"/>
              </w:rPr>
              <w:t>1</w:t>
            </w:r>
            <w:r>
              <w:rPr>
                <w:rFonts w:hint="eastAsia"/>
                <w:color w:val="auto"/>
                <w:sz w:val="24"/>
                <w:highlight w:val="none"/>
                <w:lang w:eastAsia="zh-CN"/>
              </w:rPr>
              <w:t>座事故池（</w:t>
            </w:r>
            <w:r>
              <w:rPr>
                <w:rFonts w:hint="eastAsia"/>
                <w:color w:val="auto"/>
                <w:sz w:val="24"/>
                <w:highlight w:val="none"/>
                <w:lang w:val="en-US" w:eastAsia="zh-CN"/>
              </w:rPr>
              <w:t>1000</w:t>
            </w:r>
            <w:r>
              <w:rPr>
                <w:rFonts w:hint="eastAsia"/>
                <w:color w:val="auto"/>
                <w:sz w:val="24"/>
                <w:highlight w:val="none"/>
                <w:lang w:eastAsia="zh-CN"/>
              </w:rPr>
              <w:t>m</w:t>
            </w:r>
            <w:r>
              <w:rPr>
                <w:rFonts w:hint="eastAsia"/>
                <w:color w:val="auto"/>
                <w:sz w:val="24"/>
                <w:highlight w:val="none"/>
                <w:vertAlign w:val="superscript"/>
                <w:lang w:eastAsia="zh-CN"/>
              </w:rPr>
              <w:t>3</w:t>
            </w:r>
            <w:r>
              <w:rPr>
                <w:rFonts w:hint="eastAsia"/>
                <w:color w:val="auto"/>
                <w:sz w:val="24"/>
                <w:highlight w:val="none"/>
                <w:lang w:eastAsia="zh-CN"/>
              </w:rPr>
              <w:t>），将污染物控制在事故池，确保突发事件下不发生环境污染事件。</w:t>
            </w:r>
          </w:p>
          <w:p w14:paraId="1DA51FDB">
            <w:pPr>
              <w:keepNext w:val="0"/>
              <w:keepLines w:val="0"/>
              <w:suppressLineNumbers w:val="0"/>
              <w:adjustRightInd w:val="0"/>
              <w:snapToGrid w:val="0"/>
              <w:spacing w:before="156" w:beforeLines="50" w:beforeAutospacing="0" w:after="0" w:afterAutospacing="0" w:line="300" w:lineRule="auto"/>
              <w:ind w:left="0" w:right="0"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事故污水量核算</w:t>
            </w:r>
          </w:p>
          <w:p w14:paraId="2472F6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参考中国石油天然气集团公司企业标准《事故状态下水体污染的预防与控制技术要求》（Q/SY1190-2009），事故污水核算如下：</w:t>
            </w:r>
          </w:p>
          <w:p w14:paraId="515D91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center"/>
              <w:textAlignment w:val="auto"/>
              <w:rPr>
                <w:rFonts w:hint="default" w:ascii="Times New Roman" w:hAnsi="Times New Roman" w:cs="Times New Roman"/>
                <w:color w:val="auto"/>
                <w:sz w:val="24"/>
                <w:vertAlign w:val="subscript"/>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总</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1</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2</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3</w:t>
            </w:r>
            <w:r>
              <w:rPr>
                <w:rFonts w:hint="default" w:ascii="Times New Roman" w:hAnsi="Times New Roman" w:cs="Times New Roman"/>
                <w:color w:val="auto"/>
                <w:sz w:val="24"/>
              </w:rPr>
              <w:t>）</w:t>
            </w:r>
            <w:r>
              <w:rPr>
                <w:rFonts w:hint="default" w:ascii="Times New Roman" w:hAnsi="Times New Roman" w:cs="Times New Roman"/>
                <w:color w:val="auto"/>
                <w:sz w:val="24"/>
                <w:vertAlign w:val="subscript"/>
              </w:rPr>
              <w:t>max</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4</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5</w:t>
            </w:r>
          </w:p>
          <w:p w14:paraId="41856A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1</w:t>
            </w:r>
            <w:r>
              <w:rPr>
                <w:rFonts w:hint="default" w:ascii="Times New Roman" w:hAnsi="Times New Roman" w:cs="Times New Roman"/>
                <w:color w:val="auto"/>
                <w:sz w:val="24"/>
              </w:rPr>
              <w:t>—收集系统范围内发生事故的一个罐组或一套装置的物料量。储存相同物料的罐组按一个最大储罐计，装置物料量按存留最大物料量的一台反应器或中间储罐计；</w:t>
            </w:r>
          </w:p>
          <w:p w14:paraId="52DC20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2</w:t>
            </w:r>
            <w:r>
              <w:rPr>
                <w:rFonts w:hint="default" w:ascii="Times New Roman" w:hAnsi="Times New Roman" w:cs="Times New Roman"/>
                <w:color w:val="auto"/>
                <w:sz w:val="24"/>
              </w:rPr>
              <w:t>—发生事故的储罐或装置的消防水量，m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w:t>
            </w:r>
          </w:p>
          <w:p w14:paraId="5879AF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2</w:t>
            </w:r>
            <w:r>
              <w:rPr>
                <w:rFonts w:hint="default" w:ascii="Times New Roman" w:hAnsi="Times New Roman" w:cs="Times New Roman"/>
                <w:color w:val="auto"/>
                <w:sz w:val="24"/>
              </w:rPr>
              <w:t>=∑Q</w:t>
            </w:r>
            <w:r>
              <w:rPr>
                <w:rFonts w:hint="default" w:ascii="Times New Roman" w:hAnsi="Times New Roman" w:cs="Times New Roman"/>
                <w:color w:val="auto"/>
                <w:sz w:val="24"/>
                <w:vertAlign w:val="subscript"/>
              </w:rPr>
              <w:t>消</w:t>
            </w:r>
            <w:r>
              <w:rPr>
                <w:rFonts w:hint="default" w:ascii="Times New Roman" w:hAnsi="Times New Roman" w:cs="Times New Roman"/>
                <w:color w:val="auto"/>
                <w:sz w:val="24"/>
              </w:rPr>
              <w:t>t</w:t>
            </w:r>
            <w:r>
              <w:rPr>
                <w:rFonts w:hint="default" w:ascii="Times New Roman" w:hAnsi="Times New Roman" w:cs="Times New Roman"/>
                <w:color w:val="auto"/>
                <w:sz w:val="24"/>
                <w:vertAlign w:val="subscript"/>
              </w:rPr>
              <w:t>消</w:t>
            </w:r>
          </w:p>
          <w:p w14:paraId="6C705C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Q</w:t>
            </w:r>
            <w:r>
              <w:rPr>
                <w:rFonts w:hint="default" w:ascii="Times New Roman" w:hAnsi="Times New Roman" w:cs="Times New Roman"/>
                <w:color w:val="auto"/>
                <w:sz w:val="24"/>
                <w:vertAlign w:val="subscript"/>
              </w:rPr>
              <w:t>消</w:t>
            </w:r>
            <w:r>
              <w:rPr>
                <w:rFonts w:hint="default" w:ascii="Times New Roman" w:hAnsi="Times New Roman" w:cs="Times New Roman"/>
                <w:color w:val="auto"/>
                <w:sz w:val="24"/>
              </w:rPr>
              <w:t>—发生事故的储罐或装置的同时使用的消防设施给水流量，m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/h；</w:t>
            </w:r>
          </w:p>
          <w:p w14:paraId="426E55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t</w:t>
            </w:r>
            <w:r>
              <w:rPr>
                <w:rFonts w:hint="default" w:ascii="Times New Roman" w:hAnsi="Times New Roman" w:cs="Times New Roman"/>
                <w:color w:val="auto"/>
                <w:sz w:val="24"/>
                <w:vertAlign w:val="subscript"/>
              </w:rPr>
              <w:t>消</w:t>
            </w:r>
            <w:r>
              <w:rPr>
                <w:rFonts w:hint="default" w:ascii="Times New Roman" w:hAnsi="Times New Roman" w:cs="Times New Roman"/>
                <w:color w:val="auto"/>
                <w:sz w:val="24"/>
              </w:rPr>
              <w:t>—消防设施对应的设计消防历时，h；</w:t>
            </w:r>
          </w:p>
          <w:p w14:paraId="0C0EE3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3</w:t>
            </w:r>
            <w:r>
              <w:rPr>
                <w:rFonts w:hint="default" w:ascii="Times New Roman" w:hAnsi="Times New Roman" w:cs="Times New Roman"/>
                <w:color w:val="auto"/>
                <w:sz w:val="24"/>
              </w:rPr>
              <w:t>—发生事故时可以转输到其他储存或处理设施的物料量，m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w:t>
            </w:r>
          </w:p>
          <w:p w14:paraId="1F8E9B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1</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2</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3</w:t>
            </w:r>
            <w:r>
              <w:rPr>
                <w:rFonts w:hint="default" w:ascii="Times New Roman" w:hAnsi="Times New Roman" w:cs="Times New Roman"/>
                <w:color w:val="auto"/>
                <w:sz w:val="24"/>
              </w:rPr>
              <w:t>）</w:t>
            </w:r>
            <w:r>
              <w:rPr>
                <w:rFonts w:hint="default" w:ascii="Times New Roman" w:hAnsi="Times New Roman" w:cs="Times New Roman"/>
                <w:color w:val="auto"/>
                <w:sz w:val="24"/>
                <w:vertAlign w:val="subscript"/>
              </w:rPr>
              <w:t>max</w:t>
            </w:r>
            <w:r>
              <w:rPr>
                <w:rFonts w:hint="default" w:ascii="Times New Roman" w:hAnsi="Times New Roman" w:cs="Times New Roman"/>
                <w:color w:val="auto"/>
                <w:sz w:val="24"/>
              </w:rPr>
              <w:t>—对收集系统范围内不同罐组或装置分别计算V</w:t>
            </w:r>
            <w:r>
              <w:rPr>
                <w:rFonts w:hint="default" w:ascii="Times New Roman" w:hAnsi="Times New Roman" w:cs="Times New Roman"/>
                <w:color w:val="auto"/>
                <w:sz w:val="24"/>
                <w:vertAlign w:val="subscript"/>
              </w:rPr>
              <w:t>1</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2</w:t>
            </w: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3</w:t>
            </w:r>
            <w:r>
              <w:rPr>
                <w:rFonts w:hint="default" w:ascii="Times New Roman" w:hAnsi="Times New Roman" w:cs="Times New Roman"/>
                <w:color w:val="auto"/>
                <w:sz w:val="24"/>
              </w:rPr>
              <w:t>，取其中最大值。</w:t>
            </w:r>
          </w:p>
          <w:p w14:paraId="38E4B9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4</w:t>
            </w:r>
            <w:r>
              <w:rPr>
                <w:rFonts w:hint="default" w:ascii="Times New Roman" w:hAnsi="Times New Roman" w:cs="Times New Roman"/>
                <w:color w:val="auto"/>
                <w:sz w:val="24"/>
              </w:rPr>
              <w:t>—发生事故时仍必须进入该收集系统的生产废水量，m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w:t>
            </w:r>
          </w:p>
          <w:p w14:paraId="104106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5</w:t>
            </w:r>
            <w:r>
              <w:rPr>
                <w:rFonts w:hint="default" w:ascii="Times New Roman" w:hAnsi="Times New Roman" w:cs="Times New Roman"/>
                <w:color w:val="auto"/>
                <w:sz w:val="24"/>
              </w:rPr>
              <w:t>—发生事故时可能进入该收集系统的降雨量，m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w:t>
            </w:r>
          </w:p>
          <w:p w14:paraId="20311E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V</w:t>
            </w:r>
            <w:r>
              <w:rPr>
                <w:rFonts w:hint="default" w:ascii="Times New Roman" w:hAnsi="Times New Roman" w:cs="Times New Roman"/>
                <w:color w:val="auto"/>
                <w:sz w:val="24"/>
                <w:vertAlign w:val="subscript"/>
              </w:rPr>
              <w:t>5</w:t>
            </w:r>
            <w:r>
              <w:rPr>
                <w:rFonts w:hint="default" w:ascii="Times New Roman" w:hAnsi="Times New Roman" w:cs="Times New Roman"/>
                <w:color w:val="auto"/>
                <w:sz w:val="24"/>
              </w:rPr>
              <w:t>=10qF</w:t>
            </w:r>
          </w:p>
          <w:p w14:paraId="00BD48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q—降雨强度，mm；按平均日降雨量；</w:t>
            </w:r>
          </w:p>
          <w:p w14:paraId="54A601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F—必须进入事故废水收集系统的雨水汇水面积，ha。</w:t>
            </w:r>
          </w:p>
          <w:p w14:paraId="6BC2E20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lang w:val="en-US" w:eastAsia="zh-CN"/>
              </w:rPr>
            </w:pPr>
          </w:p>
          <w:p w14:paraId="18A6254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lang w:val="en-US" w:eastAsia="zh-CN"/>
              </w:rPr>
            </w:pPr>
          </w:p>
          <w:p w14:paraId="735DAC3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color w:val="auto"/>
                <w:sz w:val="24"/>
                <w:highlight w:val="none"/>
                <w:lang w:val="en-US" w:eastAsia="zh-CN"/>
              </w:rPr>
            </w:pPr>
            <w:r>
              <w:rPr>
                <w:rFonts w:hint="eastAsia"/>
                <w:color w:val="auto"/>
                <w:sz w:val="24"/>
                <w:highlight w:val="none"/>
                <w:lang w:val="en-US" w:eastAsia="zh-CN"/>
              </w:rPr>
              <w:t>表4-23  事故池计算参数及核算结果表</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121"/>
              <w:gridCol w:w="1121"/>
              <w:gridCol w:w="1121"/>
              <w:gridCol w:w="1121"/>
              <w:gridCol w:w="1121"/>
              <w:gridCol w:w="1121"/>
            </w:tblGrid>
            <w:tr w14:paraId="2397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dxa"/>
                  <w:vAlign w:val="center"/>
                </w:tcPr>
                <w:p w14:paraId="6EA8F8B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类别</w:t>
                  </w:r>
                </w:p>
              </w:tc>
              <w:tc>
                <w:tcPr>
                  <w:tcW w:w="1121" w:type="dxa"/>
                  <w:vAlign w:val="center"/>
                </w:tcPr>
                <w:p w14:paraId="5B1AA8D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V1</w:t>
                  </w:r>
                </w:p>
              </w:tc>
              <w:tc>
                <w:tcPr>
                  <w:tcW w:w="1121" w:type="dxa"/>
                  <w:vAlign w:val="center"/>
                </w:tcPr>
                <w:p w14:paraId="24BE15C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V2</w:t>
                  </w:r>
                </w:p>
              </w:tc>
              <w:tc>
                <w:tcPr>
                  <w:tcW w:w="1121" w:type="dxa"/>
                  <w:vAlign w:val="center"/>
                </w:tcPr>
                <w:p w14:paraId="5B36D9F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V3</w:t>
                  </w:r>
                </w:p>
              </w:tc>
              <w:tc>
                <w:tcPr>
                  <w:tcW w:w="1121" w:type="dxa"/>
                  <w:vAlign w:val="center"/>
                </w:tcPr>
                <w:p w14:paraId="0D9B3F8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V4</w:t>
                  </w:r>
                </w:p>
              </w:tc>
              <w:tc>
                <w:tcPr>
                  <w:tcW w:w="1121" w:type="dxa"/>
                  <w:vAlign w:val="center"/>
                </w:tcPr>
                <w:p w14:paraId="50DED3A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V5</w:t>
                  </w:r>
                </w:p>
              </w:tc>
              <w:tc>
                <w:tcPr>
                  <w:tcW w:w="1121" w:type="dxa"/>
                  <w:vAlign w:val="center"/>
                </w:tcPr>
                <w:p w14:paraId="06269B7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事故水量</w:t>
                  </w:r>
                </w:p>
              </w:tc>
            </w:tr>
            <w:tr w14:paraId="0A08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dxa"/>
                  <w:vAlign w:val="center"/>
                </w:tcPr>
                <w:p w14:paraId="3C42CB7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现有</w:t>
                  </w:r>
                </w:p>
              </w:tc>
              <w:tc>
                <w:tcPr>
                  <w:tcW w:w="1121" w:type="dxa"/>
                  <w:vAlign w:val="center"/>
                </w:tcPr>
                <w:p w14:paraId="4F3014E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2650</w:t>
                  </w:r>
                </w:p>
              </w:tc>
              <w:tc>
                <w:tcPr>
                  <w:tcW w:w="1121" w:type="dxa"/>
                  <w:vAlign w:val="center"/>
                </w:tcPr>
                <w:p w14:paraId="6E189FC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2370</w:t>
                  </w:r>
                </w:p>
              </w:tc>
              <w:tc>
                <w:tcPr>
                  <w:tcW w:w="1121" w:type="dxa"/>
                  <w:vAlign w:val="center"/>
                </w:tcPr>
                <w:p w14:paraId="270C9C4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4480</w:t>
                  </w:r>
                </w:p>
              </w:tc>
              <w:tc>
                <w:tcPr>
                  <w:tcW w:w="1121" w:type="dxa"/>
                  <w:vAlign w:val="center"/>
                </w:tcPr>
                <w:p w14:paraId="0479267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22</w:t>
                  </w:r>
                </w:p>
              </w:tc>
              <w:tc>
                <w:tcPr>
                  <w:tcW w:w="1121" w:type="dxa"/>
                  <w:vAlign w:val="center"/>
                </w:tcPr>
                <w:p w14:paraId="17FCB6E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239</w:t>
                  </w:r>
                </w:p>
              </w:tc>
              <w:tc>
                <w:tcPr>
                  <w:tcW w:w="1121" w:type="dxa"/>
                  <w:vAlign w:val="center"/>
                </w:tcPr>
                <w:p w14:paraId="1BC73C1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801</w:t>
                  </w:r>
                </w:p>
              </w:tc>
            </w:tr>
            <w:tr w14:paraId="2793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dxa"/>
                  <w:vAlign w:val="center"/>
                </w:tcPr>
                <w:p w14:paraId="5356ECC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本项目</w:t>
                  </w:r>
                </w:p>
              </w:tc>
              <w:tc>
                <w:tcPr>
                  <w:tcW w:w="1121" w:type="dxa"/>
                  <w:vAlign w:val="center"/>
                </w:tcPr>
                <w:p w14:paraId="52D0347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23</w:t>
                  </w:r>
                </w:p>
              </w:tc>
              <w:tc>
                <w:tcPr>
                  <w:tcW w:w="1121" w:type="dxa"/>
                  <w:vAlign w:val="center"/>
                </w:tcPr>
                <w:p w14:paraId="5C3A336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150</w:t>
                  </w:r>
                </w:p>
              </w:tc>
              <w:tc>
                <w:tcPr>
                  <w:tcW w:w="1121" w:type="dxa"/>
                  <w:vAlign w:val="center"/>
                </w:tcPr>
                <w:p w14:paraId="61D7C413">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30</w:t>
                  </w:r>
                </w:p>
              </w:tc>
              <w:tc>
                <w:tcPr>
                  <w:tcW w:w="1121" w:type="dxa"/>
                  <w:vAlign w:val="center"/>
                </w:tcPr>
                <w:p w14:paraId="7694C19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w:t>
                  </w:r>
                </w:p>
              </w:tc>
              <w:tc>
                <w:tcPr>
                  <w:tcW w:w="1121" w:type="dxa"/>
                  <w:vAlign w:val="center"/>
                </w:tcPr>
                <w:p w14:paraId="53684E9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0</w:t>
                  </w:r>
                </w:p>
              </w:tc>
              <w:tc>
                <w:tcPr>
                  <w:tcW w:w="1121" w:type="dxa"/>
                  <w:vAlign w:val="center"/>
                </w:tcPr>
                <w:p w14:paraId="3CE917E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143</w:t>
                  </w:r>
                </w:p>
              </w:tc>
            </w:tr>
          </w:tbl>
          <w:p w14:paraId="0D2A5C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本项目</w:t>
            </w:r>
            <w:r>
              <w:rPr>
                <w:rFonts w:hint="default" w:ascii="Times New Roman" w:hAnsi="Times New Roman" w:cs="Times New Roman"/>
                <w:color w:val="auto"/>
                <w:sz w:val="24"/>
                <w:lang w:val="en-US" w:eastAsia="zh-CN"/>
              </w:rPr>
              <w:t>依托现有的1</w:t>
            </w:r>
            <w:r>
              <w:rPr>
                <w:rFonts w:hint="default" w:ascii="Times New Roman" w:hAnsi="Times New Roman" w:cs="Times New Roman"/>
                <w:color w:val="auto"/>
                <w:sz w:val="24"/>
              </w:rPr>
              <w:t>座1000m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的事故水池，经以上核算，事故污水最大产生量为</w:t>
            </w:r>
            <w:r>
              <w:rPr>
                <w:rFonts w:hint="default" w:ascii="Times New Roman" w:hAnsi="Times New Roman" w:cs="Times New Roman"/>
                <w:color w:val="auto"/>
                <w:sz w:val="24"/>
                <w:lang w:val="en-US" w:eastAsia="zh-CN"/>
              </w:rPr>
              <w:t>944</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，1000m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的事故污水储存系统能够满足本项目事故污水的储存要求。</w:t>
            </w:r>
          </w:p>
          <w:p w14:paraId="41CB7DEB">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lang w:val="en-US" w:eastAsia="zh-CN"/>
              </w:rPr>
              <w:t>②</w:t>
            </w:r>
            <w:r>
              <w:rPr>
                <w:rFonts w:hint="eastAsia"/>
                <w:color w:val="auto"/>
                <w:sz w:val="24"/>
                <w:highlight w:val="none"/>
              </w:rPr>
              <w:t>火灾事故防范措施：严格按照有关建筑防火规范和爆炸危险环境电力装置设计规范进行设计：加大宣传教育力度，增强工作人员的整体消防安全意识。参加社会消防安全知识培训，增强广大职工的消防安全意识，使其掌握防火、灭火、逃生的基础知识；规范生产，把生产区、储存区、成品区分开：制定安全生产管理制度，严禁厂区使用明火。</w:t>
            </w:r>
          </w:p>
          <w:p w14:paraId="6F9A35EB">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lang w:val="en-US" w:eastAsia="zh-CN" w:bidi="ar"/>
              </w:rPr>
              <w:t>③</w:t>
            </w:r>
            <w:r>
              <w:rPr>
                <w:rFonts w:hint="eastAsia" w:cs="宋体"/>
                <w:color w:val="auto"/>
                <w:sz w:val="24"/>
                <w:highlight w:val="none"/>
                <w:lang w:bidi="ar"/>
              </w:rPr>
              <w:t>危险废物泄漏的防治措施</w:t>
            </w:r>
          </w:p>
          <w:p w14:paraId="46B32085">
            <w:pPr>
              <w:pStyle w:val="79"/>
              <w:keepNext w:val="0"/>
              <w:keepLines w:val="0"/>
              <w:widowControl/>
              <w:suppressLineNumbers w:val="0"/>
              <w:adjustRightInd w:val="0"/>
              <w:snapToGrid w:val="0"/>
              <w:spacing w:before="0" w:beforeAutospacing="0" w:after="0" w:afterAutospacing="0"/>
              <w:ind w:left="0" w:right="0" w:firstLine="480"/>
              <w:rPr>
                <w:rFonts w:hint="default" w:ascii="Times New Roman" w:hAnsi="Times New Roman"/>
                <w:color w:val="auto"/>
                <w:sz w:val="24"/>
                <w:highlight w:val="none"/>
              </w:rPr>
            </w:pPr>
            <w:r>
              <w:rPr>
                <w:rFonts w:hint="default" w:ascii="Times New Roman" w:hAnsi="Times New Roman"/>
                <w:color w:val="auto"/>
                <w:sz w:val="24"/>
                <w:highlight w:val="none"/>
              </w:rPr>
              <w:t>1</w:t>
            </w:r>
            <w:r>
              <w:rPr>
                <w:rFonts w:ascii="Times New Roman" w:hAnsi="Times New Roman"/>
                <w:color w:val="auto"/>
                <w:sz w:val="24"/>
                <w:highlight w:val="none"/>
              </w:rPr>
              <w:t>）危险废物暂存场所做好防风、防雨、防晒、防渗漏</w:t>
            </w:r>
            <w:r>
              <w:rPr>
                <w:rFonts w:hint="default" w:ascii="Times New Roman" w:hAnsi="Times New Roman"/>
                <w:color w:val="auto"/>
                <w:sz w:val="24"/>
                <w:highlight w:val="none"/>
              </w:rPr>
              <w:t>“</w:t>
            </w:r>
            <w:r>
              <w:rPr>
                <w:rFonts w:ascii="Times New Roman" w:hAnsi="Times New Roman"/>
                <w:color w:val="auto"/>
                <w:sz w:val="24"/>
                <w:highlight w:val="none"/>
              </w:rPr>
              <w:t>四防</w:t>
            </w:r>
            <w:r>
              <w:rPr>
                <w:rFonts w:hint="default" w:ascii="Times New Roman" w:hAnsi="Times New Roman"/>
                <w:color w:val="auto"/>
                <w:sz w:val="24"/>
                <w:highlight w:val="none"/>
              </w:rPr>
              <w:t>”</w:t>
            </w:r>
            <w:r>
              <w:rPr>
                <w:rFonts w:ascii="Times New Roman" w:hAnsi="Times New Roman"/>
                <w:color w:val="auto"/>
                <w:sz w:val="24"/>
                <w:highlight w:val="none"/>
              </w:rPr>
              <w:t>措施；</w:t>
            </w:r>
          </w:p>
          <w:p w14:paraId="4EF80A61">
            <w:pPr>
              <w:keepNext w:val="0"/>
              <w:keepLines w:val="0"/>
              <w:suppressLineNumbers w:val="0"/>
              <w:adjustRightInd w:val="0"/>
              <w:snapToGrid w:val="0"/>
              <w:spacing w:before="0" w:beforeAutospacing="0" w:after="0" w:afterAutospacing="0" w:line="360" w:lineRule="auto"/>
              <w:ind w:left="0" w:right="0" w:firstLine="480" w:firstLineChars="200"/>
              <w:rPr>
                <w:rFonts w:hint="eastAsia" w:cs="宋体"/>
                <w:color w:val="auto"/>
                <w:sz w:val="24"/>
                <w:highlight w:val="none"/>
                <w:lang w:bidi="ar"/>
              </w:rPr>
            </w:pPr>
            <w:r>
              <w:rPr>
                <w:color w:val="auto"/>
                <w:sz w:val="24"/>
                <w:highlight w:val="none"/>
                <w:lang w:bidi="ar"/>
              </w:rPr>
              <w:t>2</w:t>
            </w:r>
            <w:r>
              <w:rPr>
                <w:rFonts w:hint="eastAsia" w:cs="宋体"/>
                <w:color w:val="auto"/>
                <w:sz w:val="24"/>
                <w:highlight w:val="none"/>
                <w:lang w:bidi="ar"/>
              </w:rPr>
              <w:t>）在厂内存放期间，应使用完好无损容器盛装危废，存放处必须有耐腐蚀的硬化地面，且表面无裂痕，储存容器上必须粘贴本标准中规定的危险废物标签。并定期交由有危险废物处理资质的单位处理；</w:t>
            </w:r>
          </w:p>
          <w:p w14:paraId="799D4F06">
            <w:pPr>
              <w:keepNext w:val="0"/>
              <w:keepLines w:val="0"/>
              <w:suppressLineNumbers w:val="0"/>
              <w:adjustRightInd w:val="0"/>
              <w:snapToGrid w:val="0"/>
              <w:spacing w:before="0" w:beforeAutospacing="0" w:after="0" w:afterAutospacing="0" w:line="360" w:lineRule="auto"/>
              <w:ind w:left="0" w:right="0" w:firstLine="480" w:firstLineChars="200"/>
              <w:rPr>
                <w:color w:val="auto"/>
                <w:sz w:val="24"/>
                <w:highlight w:val="none"/>
              </w:rPr>
            </w:pPr>
            <w:r>
              <w:rPr>
                <w:color w:val="auto"/>
                <w:sz w:val="24"/>
                <w:highlight w:val="none"/>
                <w:lang w:bidi="ar"/>
              </w:rPr>
              <w:t>3</w:t>
            </w:r>
            <w:r>
              <w:rPr>
                <w:rFonts w:hint="eastAsia"/>
                <w:color w:val="auto"/>
                <w:sz w:val="24"/>
                <w:highlight w:val="none"/>
                <w:lang w:bidi="ar"/>
              </w:rPr>
              <w:t>）危废间安排专人管理。</w:t>
            </w:r>
          </w:p>
          <w:p w14:paraId="295A7252">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lang w:val="en-US" w:eastAsia="zh-CN"/>
              </w:rPr>
              <w:t>④</w:t>
            </w:r>
            <w:r>
              <w:rPr>
                <w:rFonts w:hint="eastAsia"/>
                <w:color w:val="auto"/>
                <w:sz w:val="24"/>
                <w:highlight w:val="none"/>
              </w:rPr>
              <w:t>管理对策措施：加强员工管理；建立环境管理机构；加强安全管理；加强环保措施日常管理。</w:t>
            </w:r>
          </w:p>
          <w:p w14:paraId="77B9D251">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（5）其他</w:t>
            </w:r>
          </w:p>
          <w:p w14:paraId="7D13252F">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根据国家有关法规，为了认真贯彻“安全第一，预防为主”的方针，使项目投产后能达到劳动安全卫生的要求，保障职工在生产过程中的安全与健康，从而更好地发挥其社会效益和经济效益，企业应落实好相应劳动安全卫生应急措施。</w:t>
            </w:r>
          </w:p>
          <w:p w14:paraId="624EB111">
            <w:pPr>
              <w:keepNext w:val="0"/>
              <w:keepLines w:val="0"/>
              <w:suppressLineNumbers w:val="0"/>
              <w:spacing w:before="0" w:beforeAutospacing="0" w:after="0" w:afterAutospacing="0" w:line="360" w:lineRule="auto"/>
              <w:ind w:left="0" w:right="0" w:firstLine="480" w:firstLineChars="200"/>
              <w:rPr>
                <w:rFonts w:hint="eastAsia"/>
                <w:color w:val="auto"/>
                <w:sz w:val="24"/>
                <w:highlight w:val="none"/>
              </w:rPr>
            </w:pPr>
            <w:r>
              <w:rPr>
                <w:rFonts w:hint="eastAsia"/>
                <w:color w:val="auto"/>
                <w:sz w:val="24"/>
                <w:highlight w:val="none"/>
              </w:rPr>
              <w:t>综上，本项目风险物质不构成重大危险源，因此，在采取防止风险事故的措施、配备必要风险防范设备和器材，同时应加强管理建立相应管理制度以及火灾等突发事故的应急救援预案等方式，并在营运过程中加以完善，在采取上述有效防范措施后，项目环境风险水平可接受。</w:t>
            </w:r>
          </w:p>
          <w:p w14:paraId="0B782631">
            <w:pPr>
              <w:keepNext w:val="0"/>
              <w:keepLines w:val="0"/>
              <w:pageBreakBefore w:val="0"/>
              <w:widowControl w:val="0"/>
              <w:suppressLineNumbers w:val="0"/>
              <w:tabs>
                <w:tab w:val="left" w:pos="78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Cs/>
                <w:color w:val="auto"/>
                <w:sz w:val="24"/>
                <w:highlight w:val="none"/>
              </w:rPr>
            </w:pPr>
          </w:p>
          <w:p w14:paraId="77ECCAC3">
            <w:pPr>
              <w:keepNext w:val="0"/>
              <w:keepLines w:val="0"/>
              <w:pageBreakBefore w:val="0"/>
              <w:widowControl w:val="0"/>
              <w:suppressLineNumbers w:val="0"/>
              <w:tabs>
                <w:tab w:val="left" w:pos="78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bCs/>
                <w:color w:val="auto"/>
                <w:sz w:val="24"/>
                <w:highlight w:val="none"/>
              </w:rPr>
            </w:pPr>
            <w:r>
              <w:rPr>
                <w:rFonts w:hint="eastAsia"/>
                <w:bCs/>
                <w:color w:val="auto"/>
                <w:sz w:val="24"/>
                <w:highlight w:val="none"/>
              </w:rPr>
              <w:t>表4-</w:t>
            </w:r>
            <w:r>
              <w:rPr>
                <w:rFonts w:hint="eastAsia"/>
                <w:bCs/>
                <w:color w:val="auto"/>
                <w:sz w:val="24"/>
                <w:highlight w:val="none"/>
                <w:lang w:val="en-US" w:eastAsia="zh-CN"/>
              </w:rPr>
              <w:t>24</w:t>
            </w:r>
            <w:r>
              <w:rPr>
                <w:rFonts w:hint="eastAsia"/>
                <w:bCs/>
                <w:color w:val="auto"/>
                <w:sz w:val="24"/>
                <w:highlight w:val="none"/>
              </w:rPr>
              <w:t xml:space="preserve">  </w:t>
            </w:r>
            <w:r>
              <w:rPr>
                <w:bCs/>
                <w:color w:val="auto"/>
                <w:sz w:val="24"/>
                <w:highlight w:val="none"/>
              </w:rPr>
              <w:t>建设项目</w:t>
            </w:r>
            <w:r>
              <w:rPr>
                <w:rFonts w:hint="eastAsia"/>
                <w:bCs/>
                <w:color w:val="auto"/>
                <w:sz w:val="24"/>
                <w:highlight w:val="none"/>
              </w:rPr>
              <w:t>环境风险简单分析内容</w:t>
            </w:r>
            <w:r>
              <w:rPr>
                <w:bCs/>
                <w:color w:val="auto"/>
                <w:sz w:val="24"/>
                <w:highlight w:val="none"/>
              </w:rPr>
              <w:t>表</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627"/>
              <w:gridCol w:w="5249"/>
            </w:tblGrid>
            <w:tr w14:paraId="08D8CE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27" w:type="dxa"/>
                  <w:vAlign w:val="center"/>
                </w:tcPr>
                <w:p w14:paraId="3B9E3AD5">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建设项目名称</w:t>
                  </w:r>
                </w:p>
              </w:tc>
              <w:tc>
                <w:tcPr>
                  <w:tcW w:w="5249" w:type="dxa"/>
                  <w:vAlign w:val="center"/>
                </w:tcPr>
                <w:p w14:paraId="56A818EB">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原材料储存雨棚项目及原材料预处理项目</w:t>
                  </w:r>
                </w:p>
              </w:tc>
            </w:tr>
            <w:tr w14:paraId="68C90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27" w:type="dxa"/>
                  <w:vAlign w:val="center"/>
                </w:tcPr>
                <w:p w14:paraId="0980BE4B">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建设地点</w:t>
                  </w:r>
                </w:p>
              </w:tc>
              <w:tc>
                <w:tcPr>
                  <w:tcW w:w="5249" w:type="dxa"/>
                  <w:vAlign w:val="center"/>
                </w:tcPr>
                <w:p w14:paraId="5B99C84E">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辽宁省抚顺市东洲区龙祥路3号</w:t>
                  </w:r>
                </w:p>
              </w:tc>
            </w:tr>
            <w:tr w14:paraId="4AF194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27" w:type="dxa"/>
                  <w:vAlign w:val="center"/>
                </w:tcPr>
                <w:p w14:paraId="51BDB111">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地理坐标</w:t>
                  </w:r>
                </w:p>
              </w:tc>
              <w:tc>
                <w:tcPr>
                  <w:tcW w:w="5249" w:type="dxa"/>
                  <w:vAlign w:val="center"/>
                </w:tcPr>
                <w:p w14:paraId="5B975815">
                  <w:pPr>
                    <w:keepNext w:val="0"/>
                    <w:keepLines w:val="0"/>
                    <w:suppressLineNumbers w:val="0"/>
                    <w:adjustRightInd w:val="0"/>
                    <w:spacing w:before="0" w:beforeAutospacing="0" w:after="0" w:afterAutospacing="0"/>
                    <w:ind w:left="0" w:right="0"/>
                    <w:jc w:val="center"/>
                    <w:rPr>
                      <w:color w:val="auto"/>
                      <w:szCs w:val="21"/>
                      <w:highlight w:val="none"/>
                    </w:rPr>
                  </w:pPr>
                  <w:r>
                    <w:rPr>
                      <w:color w:val="auto"/>
                      <w:szCs w:val="21"/>
                      <w:highlight w:val="none"/>
                    </w:rPr>
                    <w:t>12</w:t>
                  </w:r>
                  <w:r>
                    <w:rPr>
                      <w:rFonts w:hint="eastAsia"/>
                      <w:color w:val="auto"/>
                      <w:szCs w:val="21"/>
                      <w:highlight w:val="none"/>
                      <w:lang w:val="en-US" w:eastAsia="zh-CN"/>
                    </w:rPr>
                    <w:t>4</w:t>
                  </w:r>
                  <w:r>
                    <w:rPr>
                      <w:color w:val="auto"/>
                      <w:szCs w:val="21"/>
                      <w:highlight w:val="none"/>
                    </w:rPr>
                    <w:t>度</w:t>
                  </w:r>
                  <w:r>
                    <w:rPr>
                      <w:rFonts w:hint="eastAsia"/>
                      <w:color w:val="auto"/>
                      <w:szCs w:val="21"/>
                      <w:highlight w:val="none"/>
                    </w:rPr>
                    <w:t>2</w:t>
                  </w:r>
                  <w:r>
                    <w:rPr>
                      <w:color w:val="auto"/>
                      <w:szCs w:val="21"/>
                      <w:highlight w:val="none"/>
                    </w:rPr>
                    <w:t>分</w:t>
                  </w:r>
                  <w:r>
                    <w:rPr>
                      <w:rFonts w:hint="eastAsia"/>
                      <w:color w:val="auto"/>
                      <w:szCs w:val="21"/>
                      <w:highlight w:val="none"/>
                      <w:lang w:val="en-US" w:eastAsia="zh-CN"/>
                    </w:rPr>
                    <w:t>45.567</w:t>
                  </w:r>
                  <w:r>
                    <w:rPr>
                      <w:color w:val="auto"/>
                      <w:szCs w:val="21"/>
                      <w:highlight w:val="none"/>
                    </w:rPr>
                    <w:t>秒，41度</w:t>
                  </w:r>
                  <w:r>
                    <w:rPr>
                      <w:rFonts w:hint="eastAsia"/>
                      <w:color w:val="auto"/>
                      <w:szCs w:val="21"/>
                      <w:highlight w:val="none"/>
                      <w:lang w:val="en-US" w:eastAsia="zh-CN"/>
                    </w:rPr>
                    <w:t>48</w:t>
                  </w:r>
                  <w:r>
                    <w:rPr>
                      <w:color w:val="auto"/>
                      <w:szCs w:val="21"/>
                      <w:highlight w:val="none"/>
                    </w:rPr>
                    <w:t>分</w:t>
                  </w:r>
                  <w:r>
                    <w:rPr>
                      <w:rFonts w:hint="eastAsia"/>
                      <w:color w:val="auto"/>
                      <w:szCs w:val="21"/>
                      <w:highlight w:val="none"/>
                      <w:lang w:val="en-US" w:eastAsia="zh-CN"/>
                    </w:rPr>
                    <w:t>55.326</w:t>
                  </w:r>
                  <w:r>
                    <w:rPr>
                      <w:color w:val="auto"/>
                      <w:szCs w:val="21"/>
                      <w:highlight w:val="none"/>
                    </w:rPr>
                    <w:t>秒</w:t>
                  </w:r>
                </w:p>
              </w:tc>
            </w:tr>
            <w:tr w14:paraId="19ED3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27" w:type="dxa"/>
                  <w:vAlign w:val="center"/>
                </w:tcPr>
                <w:p w14:paraId="6FA1E8EE">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主要危险物质及分布</w:t>
                  </w:r>
                </w:p>
              </w:tc>
              <w:tc>
                <w:tcPr>
                  <w:tcW w:w="5249" w:type="dxa"/>
                  <w:vAlign w:val="center"/>
                </w:tcPr>
                <w:p w14:paraId="06C955E5">
                  <w:pPr>
                    <w:keepNext w:val="0"/>
                    <w:keepLines w:val="0"/>
                    <w:suppressLineNumbers w:val="0"/>
                    <w:adjustRightIn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rPr>
                    <w:t>主要危险物质：</w:t>
                  </w:r>
                  <w:r>
                    <w:rPr>
                      <w:rFonts w:hint="eastAsia"/>
                      <w:color w:val="auto"/>
                      <w:szCs w:val="21"/>
                      <w:highlight w:val="none"/>
                      <w:lang w:val="en-US" w:eastAsia="zh-CN"/>
                    </w:rPr>
                    <w:t>微晶蜡、危险废物</w:t>
                  </w:r>
                </w:p>
              </w:tc>
            </w:tr>
            <w:tr w14:paraId="52949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27" w:type="dxa"/>
                  <w:vAlign w:val="center"/>
                </w:tcPr>
                <w:p w14:paraId="00C6980B">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环境影响途径及危害后果（大气、地表水、地下水等）</w:t>
                  </w:r>
                </w:p>
              </w:tc>
              <w:tc>
                <w:tcPr>
                  <w:tcW w:w="5249" w:type="dxa"/>
                  <w:vAlign w:val="center"/>
                </w:tcPr>
                <w:p w14:paraId="494D463D">
                  <w:pPr>
                    <w:keepNext w:val="0"/>
                    <w:keepLines w:val="0"/>
                    <w:suppressLineNumbers w:val="0"/>
                    <w:tabs>
                      <w:tab w:val="left" w:pos="780"/>
                    </w:tabs>
                    <w:spacing w:before="0" w:beforeAutospacing="0" w:after="0" w:afterAutospacing="0"/>
                    <w:ind w:left="0" w:right="0"/>
                    <w:jc w:val="left"/>
                    <w:rPr>
                      <w:color w:val="auto"/>
                      <w:szCs w:val="21"/>
                      <w:highlight w:val="none"/>
                    </w:rPr>
                  </w:pPr>
                  <w:r>
                    <w:rPr>
                      <w:rFonts w:hint="eastAsia"/>
                      <w:color w:val="auto"/>
                      <w:szCs w:val="21"/>
                      <w:highlight w:val="none"/>
                    </w:rPr>
                    <w:t>因</w:t>
                  </w:r>
                  <w:r>
                    <w:rPr>
                      <w:rFonts w:hint="eastAsia"/>
                      <w:color w:val="auto"/>
                      <w:szCs w:val="21"/>
                      <w:highlight w:val="none"/>
                      <w:lang w:val="en-US" w:eastAsia="zh-CN"/>
                    </w:rPr>
                    <w:t>微晶蜡、</w:t>
                  </w:r>
                  <w:r>
                    <w:rPr>
                      <w:rFonts w:hint="eastAsia"/>
                      <w:color w:val="auto"/>
                      <w:szCs w:val="21"/>
                      <w:highlight w:val="none"/>
                    </w:rPr>
                    <w:t>危废贮存点的液态危险废物渗漏或漫流出生产车间外并经雨水携带进入外环境会造成土壤、地下水污染。油类物质等遇到明火还会引发火灾、爆炸事故引发伴生、次生污染物排放，从而对人体、环境造成严重危害。</w:t>
                  </w:r>
                </w:p>
              </w:tc>
            </w:tr>
            <w:tr w14:paraId="561319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627" w:type="dxa"/>
                  <w:vAlign w:val="center"/>
                </w:tcPr>
                <w:p w14:paraId="09E5F5E2">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风险防范措施要求</w:t>
                  </w:r>
                </w:p>
              </w:tc>
              <w:tc>
                <w:tcPr>
                  <w:tcW w:w="5249" w:type="dxa"/>
                  <w:vAlign w:val="center"/>
                </w:tcPr>
                <w:p w14:paraId="6E8833C2">
                  <w:pPr>
                    <w:keepNext w:val="0"/>
                    <w:keepLines w:val="0"/>
                    <w:suppressLineNumbers w:val="0"/>
                    <w:adjustRightInd w:val="0"/>
                    <w:spacing w:before="0" w:beforeAutospacing="0" w:after="0" w:afterAutospacing="0"/>
                    <w:ind w:left="0" w:right="0"/>
                    <w:jc w:val="center"/>
                    <w:rPr>
                      <w:color w:val="auto"/>
                      <w:szCs w:val="21"/>
                      <w:highlight w:val="none"/>
                    </w:rPr>
                  </w:pPr>
                  <w:r>
                    <w:rPr>
                      <w:rFonts w:hint="eastAsia"/>
                      <w:color w:val="auto"/>
                      <w:szCs w:val="21"/>
                      <w:highlight w:val="none"/>
                    </w:rPr>
                    <w:t>生产车间</w:t>
                  </w:r>
                  <w:r>
                    <w:rPr>
                      <w:rFonts w:hint="eastAsia"/>
                      <w:color w:val="auto"/>
                      <w:szCs w:val="21"/>
                      <w:highlight w:val="none"/>
                      <w:lang w:eastAsia="zh-CN"/>
                    </w:rPr>
                    <w:t>、</w:t>
                  </w:r>
                  <w:r>
                    <w:rPr>
                      <w:rFonts w:hint="eastAsia"/>
                      <w:color w:val="auto"/>
                      <w:szCs w:val="21"/>
                      <w:highlight w:val="none"/>
                      <w:lang w:val="en-US" w:eastAsia="zh-CN"/>
                    </w:rPr>
                    <w:t>罐区C（11座23m</w:t>
                  </w:r>
                  <w:r>
                    <w:rPr>
                      <w:rFonts w:hint="eastAsia"/>
                      <w:color w:val="auto"/>
                      <w:szCs w:val="21"/>
                      <w:highlight w:val="none"/>
                      <w:vertAlign w:val="superscript"/>
                      <w:lang w:val="en-US" w:eastAsia="zh-CN"/>
                    </w:rPr>
                    <w:t>3</w:t>
                  </w:r>
                  <w:r>
                    <w:rPr>
                      <w:rFonts w:hint="eastAsia"/>
                      <w:color w:val="auto"/>
                      <w:szCs w:val="21"/>
                      <w:highlight w:val="none"/>
                      <w:lang w:val="en-US" w:eastAsia="zh-CN"/>
                    </w:rPr>
                    <w:t>微晶蜡储罐）、</w:t>
                  </w:r>
                  <w:r>
                    <w:rPr>
                      <w:rFonts w:hint="eastAsia"/>
                      <w:color w:val="auto"/>
                      <w:szCs w:val="21"/>
                      <w:highlight w:val="none"/>
                    </w:rPr>
                    <w:t>危废贮存点进行分区防渗，加强岗位培训，定期进行安全检查和维护，落实安全生产责任制等，成立应急救援指挥部及应急救援小组，加强厂内安全消防工作。</w:t>
                  </w:r>
                </w:p>
              </w:tc>
            </w:tr>
            <w:tr w14:paraId="768721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876" w:type="dxa"/>
                  <w:gridSpan w:val="2"/>
                  <w:vAlign w:val="center"/>
                </w:tcPr>
                <w:p w14:paraId="24E32FA9">
                  <w:pPr>
                    <w:keepNext w:val="0"/>
                    <w:keepLines w:val="0"/>
                    <w:suppressLineNumbers w:val="0"/>
                    <w:adjustRightInd w:val="0"/>
                    <w:spacing w:before="0" w:beforeAutospacing="0" w:after="0" w:afterAutospacing="0"/>
                    <w:ind w:left="0" w:right="0"/>
                    <w:rPr>
                      <w:color w:val="auto"/>
                      <w:szCs w:val="21"/>
                      <w:highlight w:val="none"/>
                    </w:rPr>
                  </w:pPr>
                  <w:r>
                    <w:rPr>
                      <w:rFonts w:hint="eastAsia"/>
                      <w:color w:val="auto"/>
                      <w:szCs w:val="21"/>
                      <w:highlight w:val="none"/>
                    </w:rPr>
                    <w:t>填表说明（列出项目相关信息及评价说明）：无</w:t>
                  </w:r>
                </w:p>
              </w:tc>
            </w:tr>
          </w:tbl>
          <w:p w14:paraId="29D4BDFD">
            <w:pPr>
              <w:keepNext w:val="0"/>
              <w:keepLines w:val="0"/>
              <w:suppressLineNumbers w:val="0"/>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8、电磁辐射</w:t>
            </w:r>
          </w:p>
          <w:p w14:paraId="1FF477EC">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本项目不涉及广播电台、差转台、电视塔台、卫星地球上行站、雷达等电磁辐射类项目，如存在电磁辐射影响，另行评价。</w:t>
            </w:r>
          </w:p>
          <w:p w14:paraId="15591192">
            <w:pPr>
              <w:keepNext w:val="0"/>
              <w:keepLines w:val="0"/>
              <w:suppressLineNumbers w:val="0"/>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9、其他环境管理要求</w:t>
            </w:r>
          </w:p>
          <w:p w14:paraId="03612068">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（1）排污口规范化设置</w:t>
            </w:r>
          </w:p>
          <w:p w14:paraId="7E21A962">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企业污染物排放口标志，应按照《环境保护图形标志排放口》（15562.1-1995）及《危险废物识别标志设置技术规范》（HJ1276-2022）的规定，设置统一制作的环境保护图形标志牌。污染物排放口的环保图形标志牌，应当设置在靠近采样点的醒目处。</w:t>
            </w:r>
          </w:p>
          <w:p w14:paraId="55442E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r>
              <w:rPr>
                <w:bCs/>
                <w:color w:val="auto"/>
                <w:sz w:val="24"/>
                <w:highlight w:val="none"/>
              </w:rPr>
              <w:t>表</w:t>
            </w:r>
            <w:r>
              <w:rPr>
                <w:rFonts w:hint="eastAsia"/>
                <w:bCs/>
                <w:color w:val="auto"/>
                <w:sz w:val="24"/>
                <w:highlight w:val="none"/>
              </w:rPr>
              <w:t>4-</w:t>
            </w:r>
            <w:r>
              <w:rPr>
                <w:rFonts w:hint="eastAsia"/>
                <w:bCs/>
                <w:color w:val="auto"/>
                <w:sz w:val="24"/>
                <w:highlight w:val="none"/>
                <w:lang w:val="en-US" w:eastAsia="zh-CN"/>
              </w:rPr>
              <w:t>25</w:t>
            </w:r>
            <w:r>
              <w:rPr>
                <w:bCs/>
                <w:color w:val="auto"/>
                <w:sz w:val="24"/>
                <w:highlight w:val="none"/>
              </w:rPr>
              <w:t xml:space="preserve">  环境保护图形标志的形状及颜色表</w:t>
            </w:r>
          </w:p>
          <w:tbl>
            <w:tblPr>
              <w:tblStyle w:val="2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71"/>
              <w:gridCol w:w="1872"/>
              <w:gridCol w:w="1872"/>
              <w:gridCol w:w="2216"/>
            </w:tblGrid>
            <w:tr w14:paraId="229F62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95" w:type="pct"/>
                  <w:vAlign w:val="center"/>
                </w:tcPr>
                <w:p w14:paraId="01AEE08C">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项目</w:t>
                  </w:r>
                </w:p>
              </w:tc>
              <w:tc>
                <w:tcPr>
                  <w:tcW w:w="1195" w:type="pct"/>
                  <w:vAlign w:val="center"/>
                </w:tcPr>
                <w:p w14:paraId="6265EE28">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形状</w:t>
                  </w:r>
                </w:p>
              </w:tc>
              <w:tc>
                <w:tcPr>
                  <w:tcW w:w="1195" w:type="pct"/>
                  <w:vAlign w:val="center"/>
                </w:tcPr>
                <w:p w14:paraId="19A587B1">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背景颜色</w:t>
                  </w:r>
                </w:p>
              </w:tc>
              <w:tc>
                <w:tcPr>
                  <w:tcW w:w="1416" w:type="pct"/>
                  <w:vAlign w:val="center"/>
                </w:tcPr>
                <w:p w14:paraId="7EEBF95B">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图形颜色</w:t>
                  </w:r>
                </w:p>
              </w:tc>
            </w:tr>
            <w:tr w14:paraId="07329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95" w:type="pct"/>
                  <w:vAlign w:val="center"/>
                </w:tcPr>
                <w:p w14:paraId="5F912B5E">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警告标志</w:t>
                  </w:r>
                </w:p>
              </w:tc>
              <w:tc>
                <w:tcPr>
                  <w:tcW w:w="1195" w:type="pct"/>
                  <w:vAlign w:val="center"/>
                </w:tcPr>
                <w:p w14:paraId="1F99B623">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三角形边框</w:t>
                  </w:r>
                </w:p>
              </w:tc>
              <w:tc>
                <w:tcPr>
                  <w:tcW w:w="1195" w:type="pct"/>
                  <w:vAlign w:val="center"/>
                </w:tcPr>
                <w:p w14:paraId="4607D2E1">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黄色</w:t>
                  </w:r>
                </w:p>
              </w:tc>
              <w:tc>
                <w:tcPr>
                  <w:tcW w:w="1416" w:type="pct"/>
                  <w:vAlign w:val="center"/>
                </w:tcPr>
                <w:p w14:paraId="2A79A1C8">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黑色</w:t>
                  </w:r>
                </w:p>
              </w:tc>
            </w:tr>
            <w:tr w14:paraId="61794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95" w:type="pct"/>
                  <w:vAlign w:val="center"/>
                </w:tcPr>
                <w:p w14:paraId="521F60A3">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提示标志</w:t>
                  </w:r>
                </w:p>
              </w:tc>
              <w:tc>
                <w:tcPr>
                  <w:tcW w:w="1195" w:type="pct"/>
                  <w:vAlign w:val="center"/>
                </w:tcPr>
                <w:p w14:paraId="7ACA2427">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正方形边框</w:t>
                  </w:r>
                </w:p>
              </w:tc>
              <w:tc>
                <w:tcPr>
                  <w:tcW w:w="1195" w:type="pct"/>
                  <w:vAlign w:val="center"/>
                </w:tcPr>
                <w:p w14:paraId="704836AB">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绿色</w:t>
                  </w:r>
                </w:p>
              </w:tc>
              <w:tc>
                <w:tcPr>
                  <w:tcW w:w="1416" w:type="pct"/>
                  <w:vAlign w:val="center"/>
                </w:tcPr>
                <w:p w14:paraId="20DAFC7D">
                  <w:pPr>
                    <w:keepNext w:val="0"/>
                    <w:keepLines w:val="0"/>
                    <w:suppressLineNumbers w:val="0"/>
                    <w:autoSpaceDE w:val="0"/>
                    <w:autoSpaceDN w:val="0"/>
                    <w:adjustRightInd w:val="0"/>
                    <w:spacing w:before="0" w:beforeAutospacing="0" w:after="0" w:afterAutospacing="0"/>
                    <w:ind w:left="0" w:right="0"/>
                    <w:jc w:val="center"/>
                    <w:textAlignment w:val="baseline"/>
                    <w:rPr>
                      <w:color w:val="auto"/>
                      <w:kern w:val="0"/>
                      <w:highlight w:val="none"/>
                    </w:rPr>
                  </w:pPr>
                  <w:r>
                    <w:rPr>
                      <w:color w:val="auto"/>
                      <w:kern w:val="0"/>
                      <w:highlight w:val="none"/>
                    </w:rPr>
                    <w:t>白色</w:t>
                  </w:r>
                </w:p>
              </w:tc>
            </w:tr>
          </w:tbl>
          <w:p w14:paraId="574809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36EB6D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1ECBDD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4CC32B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328CCC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73BF5E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0DBA06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4E0BEB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522BE3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6EB1F6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p>
          <w:p w14:paraId="448DC7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bCs/>
                <w:color w:val="auto"/>
                <w:sz w:val="24"/>
                <w:highlight w:val="none"/>
              </w:rPr>
            </w:pPr>
            <w:r>
              <w:rPr>
                <w:bCs/>
                <w:color w:val="auto"/>
                <w:sz w:val="24"/>
                <w:highlight w:val="none"/>
              </w:rPr>
              <w:t>表</w:t>
            </w:r>
            <w:r>
              <w:rPr>
                <w:rFonts w:hint="eastAsia"/>
                <w:bCs/>
                <w:color w:val="auto"/>
                <w:sz w:val="24"/>
                <w:highlight w:val="none"/>
              </w:rPr>
              <w:t>4-</w:t>
            </w:r>
            <w:r>
              <w:rPr>
                <w:rFonts w:hint="eastAsia"/>
                <w:bCs/>
                <w:color w:val="auto"/>
                <w:sz w:val="24"/>
                <w:highlight w:val="none"/>
                <w:lang w:val="en-US" w:eastAsia="zh-CN"/>
              </w:rPr>
              <w:t>26</w:t>
            </w:r>
            <w:r>
              <w:rPr>
                <w:bCs/>
                <w:color w:val="auto"/>
                <w:sz w:val="24"/>
                <w:highlight w:val="none"/>
              </w:rPr>
              <w:t xml:space="preserve">  环境保护的图形符号一览表</w:t>
            </w:r>
          </w:p>
          <w:tbl>
            <w:tblPr>
              <w:tblStyle w:val="2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2"/>
              <w:gridCol w:w="1553"/>
              <w:gridCol w:w="1866"/>
              <w:gridCol w:w="1678"/>
              <w:gridCol w:w="1802"/>
            </w:tblGrid>
            <w:tr w14:paraId="69C1CE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95" w:type="pct"/>
                  <w:vAlign w:val="center"/>
                </w:tcPr>
                <w:p w14:paraId="0199AD71">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序号</w:t>
                  </w:r>
                </w:p>
              </w:tc>
              <w:tc>
                <w:tcPr>
                  <w:tcW w:w="991" w:type="pct"/>
                  <w:vAlign w:val="center"/>
                </w:tcPr>
                <w:p w14:paraId="600E043F">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提示图形符号</w:t>
                  </w:r>
                </w:p>
              </w:tc>
              <w:tc>
                <w:tcPr>
                  <w:tcW w:w="1191" w:type="pct"/>
                  <w:vAlign w:val="center"/>
                </w:tcPr>
                <w:p w14:paraId="42B24A0E">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警告图形符号</w:t>
                  </w:r>
                </w:p>
              </w:tc>
              <w:tc>
                <w:tcPr>
                  <w:tcW w:w="1071" w:type="pct"/>
                  <w:vAlign w:val="center"/>
                </w:tcPr>
                <w:p w14:paraId="62999EC3">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名称</w:t>
                  </w:r>
                </w:p>
              </w:tc>
              <w:tc>
                <w:tcPr>
                  <w:tcW w:w="1150" w:type="pct"/>
                  <w:vAlign w:val="center"/>
                </w:tcPr>
                <w:p w14:paraId="25976A05">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功能</w:t>
                  </w:r>
                </w:p>
              </w:tc>
            </w:tr>
            <w:tr w14:paraId="12C6C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95" w:type="pct"/>
                  <w:vAlign w:val="center"/>
                </w:tcPr>
                <w:p w14:paraId="0C514102">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1</w:t>
                  </w:r>
                </w:p>
              </w:tc>
              <w:tc>
                <w:tcPr>
                  <w:tcW w:w="991" w:type="pct"/>
                  <w:shd w:val="clear" w:color="auto" w:fill="auto"/>
                  <w:vAlign w:val="center"/>
                </w:tcPr>
                <w:p w14:paraId="50FA7F34">
                  <w:pPr>
                    <w:keepNext w:val="0"/>
                    <w:keepLines w:val="0"/>
                    <w:widowControl/>
                    <w:suppressLineNumbers w:val="0"/>
                    <w:spacing w:before="93" w:beforeAutospacing="0" w:after="93" w:afterAutospacing="0"/>
                    <w:ind w:left="0" w:right="0"/>
                    <w:jc w:val="center"/>
                    <w:rPr>
                      <w:rFonts w:ascii="Times New Roman" w:hAnsi="Times New Roman" w:eastAsia="宋体" w:cs="Times New Roman"/>
                      <w:color w:val="auto"/>
                      <w:kern w:val="2"/>
                      <w:sz w:val="21"/>
                      <w:szCs w:val="24"/>
                      <w:highlight w:val="none"/>
                      <w:lang w:val="en-US" w:eastAsia="zh-CN" w:bidi="ar-SA"/>
                    </w:rPr>
                  </w:pPr>
                  <w:r>
                    <w:rPr>
                      <w:color w:val="auto"/>
                      <w:highlight w:val="none"/>
                    </w:rPr>
                    <w:drawing>
                      <wp:inline distT="0" distB="0" distL="0" distR="0">
                        <wp:extent cx="687070" cy="681990"/>
                        <wp:effectExtent l="0" t="0" r="17780" b="381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687070" cy="681990"/>
                                </a:xfrm>
                                <a:prstGeom prst="rect">
                                  <a:avLst/>
                                </a:prstGeom>
                                <a:noFill/>
                                <a:ln>
                                  <a:noFill/>
                                </a:ln>
                              </pic:spPr>
                            </pic:pic>
                          </a:graphicData>
                        </a:graphic>
                      </wp:inline>
                    </w:drawing>
                  </w:r>
                </w:p>
              </w:tc>
              <w:tc>
                <w:tcPr>
                  <w:tcW w:w="1191" w:type="pct"/>
                  <w:shd w:val="clear" w:color="auto" w:fill="auto"/>
                  <w:vAlign w:val="center"/>
                </w:tcPr>
                <w:p w14:paraId="2644BD24">
                  <w:pPr>
                    <w:keepNext w:val="0"/>
                    <w:keepLines w:val="0"/>
                    <w:widowControl/>
                    <w:suppressLineNumbers w:val="0"/>
                    <w:spacing w:before="93" w:beforeAutospacing="0" w:after="93" w:afterAutospacing="0"/>
                    <w:ind w:left="0" w:right="0"/>
                    <w:jc w:val="center"/>
                    <w:rPr>
                      <w:rFonts w:ascii="Times New Roman" w:hAnsi="Times New Roman" w:eastAsia="宋体" w:cs="Times New Roman"/>
                      <w:color w:val="auto"/>
                      <w:kern w:val="2"/>
                      <w:sz w:val="21"/>
                      <w:szCs w:val="24"/>
                      <w:highlight w:val="none"/>
                      <w:lang w:val="en-US" w:eastAsia="zh-CN" w:bidi="ar-SA"/>
                    </w:rPr>
                  </w:pPr>
                  <w:r>
                    <w:rPr>
                      <w:color w:val="auto"/>
                      <w:highlight w:val="none"/>
                    </w:rPr>
                    <w:drawing>
                      <wp:inline distT="0" distB="0" distL="0" distR="0">
                        <wp:extent cx="734695" cy="681990"/>
                        <wp:effectExtent l="0" t="0" r="8255" b="381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734695" cy="681990"/>
                                </a:xfrm>
                                <a:prstGeom prst="rect">
                                  <a:avLst/>
                                </a:prstGeom>
                                <a:noFill/>
                                <a:ln>
                                  <a:noFill/>
                                </a:ln>
                              </pic:spPr>
                            </pic:pic>
                          </a:graphicData>
                        </a:graphic>
                      </wp:inline>
                    </w:drawing>
                  </w:r>
                </w:p>
              </w:tc>
              <w:tc>
                <w:tcPr>
                  <w:tcW w:w="1071" w:type="pct"/>
                  <w:shd w:val="clear" w:color="auto" w:fill="auto"/>
                  <w:vAlign w:val="center"/>
                </w:tcPr>
                <w:p w14:paraId="67C915CF">
                  <w:pPr>
                    <w:keepNext w:val="0"/>
                    <w:keepLines w:val="0"/>
                    <w:widowControl/>
                    <w:suppressLineNumbers w:val="0"/>
                    <w:spacing w:before="93" w:beforeAutospacing="0" w:after="93" w:afterAutospacing="0"/>
                    <w:ind w:left="0" w:right="0"/>
                    <w:jc w:val="center"/>
                    <w:rPr>
                      <w:rFonts w:ascii="Times New Roman" w:hAnsi="Times New Roman" w:eastAsia="宋体" w:cs="Times New Roman"/>
                      <w:color w:val="auto"/>
                      <w:kern w:val="2"/>
                      <w:sz w:val="21"/>
                      <w:szCs w:val="24"/>
                      <w:highlight w:val="none"/>
                      <w:lang w:val="en-US" w:eastAsia="zh-CN" w:bidi="ar-SA"/>
                    </w:rPr>
                  </w:pPr>
                  <w:r>
                    <w:rPr>
                      <w:color w:val="auto"/>
                      <w:highlight w:val="none"/>
                    </w:rPr>
                    <w:t>废气排放口</w:t>
                  </w:r>
                </w:p>
              </w:tc>
              <w:tc>
                <w:tcPr>
                  <w:tcW w:w="1150" w:type="pct"/>
                  <w:shd w:val="clear" w:color="auto" w:fill="auto"/>
                  <w:vAlign w:val="center"/>
                </w:tcPr>
                <w:p w14:paraId="6C1D7472">
                  <w:pPr>
                    <w:keepNext w:val="0"/>
                    <w:keepLines w:val="0"/>
                    <w:widowControl/>
                    <w:suppressLineNumbers w:val="0"/>
                    <w:spacing w:before="93" w:beforeAutospacing="0" w:after="93" w:afterAutospacing="0"/>
                    <w:ind w:left="0" w:right="0"/>
                    <w:jc w:val="center"/>
                    <w:rPr>
                      <w:rFonts w:ascii="Times New Roman" w:hAnsi="Times New Roman" w:eastAsia="宋体" w:cs="Times New Roman"/>
                      <w:color w:val="auto"/>
                      <w:kern w:val="2"/>
                      <w:sz w:val="21"/>
                      <w:szCs w:val="24"/>
                      <w:highlight w:val="none"/>
                      <w:lang w:val="en-US" w:eastAsia="zh-CN" w:bidi="ar-SA"/>
                    </w:rPr>
                  </w:pPr>
                  <w:r>
                    <w:rPr>
                      <w:color w:val="auto"/>
                      <w:highlight w:val="none"/>
                    </w:rPr>
                    <w:t>表示废气向大气环境排放</w:t>
                  </w:r>
                </w:p>
              </w:tc>
            </w:tr>
            <w:tr w14:paraId="360B8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95" w:type="pct"/>
                  <w:vAlign w:val="center"/>
                </w:tcPr>
                <w:p w14:paraId="0BD2998F">
                  <w:pPr>
                    <w:keepNext w:val="0"/>
                    <w:keepLines w:val="0"/>
                    <w:widowControl/>
                    <w:suppressLineNumbers w:val="0"/>
                    <w:spacing w:before="93" w:beforeAutospacing="0" w:after="93" w:afterAutospacing="0"/>
                    <w:ind w:left="0" w:right="0"/>
                    <w:jc w:val="center"/>
                    <w:rPr>
                      <w:rFonts w:hint="eastAsia" w:eastAsia="宋体"/>
                      <w:color w:val="auto"/>
                      <w:highlight w:val="none"/>
                      <w:lang w:val="en-US" w:eastAsia="zh-CN"/>
                    </w:rPr>
                  </w:pPr>
                  <w:r>
                    <w:rPr>
                      <w:rFonts w:hint="eastAsia"/>
                      <w:color w:val="auto"/>
                      <w:highlight w:val="none"/>
                      <w:lang w:val="en-US" w:eastAsia="zh-CN"/>
                    </w:rPr>
                    <w:t>2</w:t>
                  </w:r>
                </w:p>
              </w:tc>
              <w:tc>
                <w:tcPr>
                  <w:tcW w:w="991" w:type="pct"/>
                  <w:shd w:val="clear" w:color="auto" w:fill="auto"/>
                  <w:vAlign w:val="center"/>
                </w:tcPr>
                <w:p w14:paraId="53615BD9">
                  <w:pPr>
                    <w:keepNext w:val="0"/>
                    <w:keepLines w:val="0"/>
                    <w:widowControl/>
                    <w:suppressLineNumbers w:val="0"/>
                    <w:spacing w:before="93" w:beforeAutospacing="0" w:after="93" w:afterAutospacing="0"/>
                    <w:ind w:left="0" w:right="0"/>
                    <w:jc w:val="center"/>
                    <w:rPr>
                      <w:rFonts w:ascii="Times New Roman" w:hAnsi="Times New Roman" w:eastAsia="宋体" w:cs="Times New Roman"/>
                      <w:color w:val="auto"/>
                      <w:kern w:val="2"/>
                      <w:sz w:val="21"/>
                      <w:szCs w:val="24"/>
                      <w:highlight w:val="none"/>
                      <w:lang w:val="en-US" w:eastAsia="zh-CN" w:bidi="ar-SA"/>
                    </w:rPr>
                  </w:pPr>
                  <w:r>
                    <w:rPr>
                      <w:color w:val="auto"/>
                      <w:highlight w:val="none"/>
                    </w:rPr>
                    <w:drawing>
                      <wp:inline distT="0" distB="0" distL="0" distR="0">
                        <wp:extent cx="671195" cy="681990"/>
                        <wp:effectExtent l="0" t="0" r="14605" b="381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671195" cy="681990"/>
                                </a:xfrm>
                                <a:prstGeom prst="rect">
                                  <a:avLst/>
                                </a:prstGeom>
                                <a:noFill/>
                                <a:ln>
                                  <a:noFill/>
                                </a:ln>
                              </pic:spPr>
                            </pic:pic>
                          </a:graphicData>
                        </a:graphic>
                      </wp:inline>
                    </w:drawing>
                  </w:r>
                </w:p>
              </w:tc>
              <w:tc>
                <w:tcPr>
                  <w:tcW w:w="1191" w:type="pct"/>
                  <w:shd w:val="clear" w:color="auto" w:fill="auto"/>
                  <w:vAlign w:val="center"/>
                </w:tcPr>
                <w:p w14:paraId="0B33FD7B">
                  <w:pPr>
                    <w:keepNext w:val="0"/>
                    <w:keepLines w:val="0"/>
                    <w:widowControl/>
                    <w:suppressLineNumbers w:val="0"/>
                    <w:spacing w:before="93" w:beforeAutospacing="0" w:after="93" w:afterAutospacing="0"/>
                    <w:ind w:left="0" w:right="0"/>
                    <w:jc w:val="center"/>
                    <w:rPr>
                      <w:rFonts w:ascii="Times New Roman" w:hAnsi="Times New Roman" w:eastAsia="宋体" w:cs="Times New Roman"/>
                      <w:color w:val="auto"/>
                      <w:kern w:val="2"/>
                      <w:sz w:val="21"/>
                      <w:szCs w:val="24"/>
                      <w:highlight w:val="none"/>
                      <w:lang w:val="en-US" w:eastAsia="zh-CN" w:bidi="ar-SA"/>
                    </w:rPr>
                  </w:pPr>
                  <w:r>
                    <w:rPr>
                      <w:color w:val="auto"/>
                      <w:highlight w:val="none"/>
                    </w:rPr>
                    <w:drawing>
                      <wp:inline distT="0" distB="0" distL="0" distR="0">
                        <wp:extent cx="766445" cy="681990"/>
                        <wp:effectExtent l="0" t="0" r="14605" b="381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766445" cy="681990"/>
                                </a:xfrm>
                                <a:prstGeom prst="rect">
                                  <a:avLst/>
                                </a:prstGeom>
                                <a:noFill/>
                                <a:ln>
                                  <a:noFill/>
                                </a:ln>
                              </pic:spPr>
                            </pic:pic>
                          </a:graphicData>
                        </a:graphic>
                      </wp:inline>
                    </w:drawing>
                  </w:r>
                </w:p>
              </w:tc>
              <w:tc>
                <w:tcPr>
                  <w:tcW w:w="1071" w:type="pct"/>
                  <w:shd w:val="clear" w:color="auto" w:fill="auto"/>
                  <w:vAlign w:val="center"/>
                </w:tcPr>
                <w:p w14:paraId="664FC1BC">
                  <w:pPr>
                    <w:keepNext w:val="0"/>
                    <w:keepLines w:val="0"/>
                    <w:widowControl/>
                    <w:suppressLineNumbers w:val="0"/>
                    <w:spacing w:before="93" w:beforeAutospacing="0" w:after="93" w:afterAutospacing="0"/>
                    <w:ind w:left="0" w:right="0"/>
                    <w:jc w:val="center"/>
                    <w:rPr>
                      <w:rFonts w:ascii="Times New Roman" w:hAnsi="Times New Roman" w:eastAsia="宋体" w:cs="Times New Roman"/>
                      <w:color w:val="auto"/>
                      <w:kern w:val="2"/>
                      <w:sz w:val="21"/>
                      <w:szCs w:val="24"/>
                      <w:highlight w:val="none"/>
                      <w:lang w:val="en-US" w:eastAsia="zh-CN" w:bidi="ar-SA"/>
                    </w:rPr>
                  </w:pPr>
                  <w:r>
                    <w:rPr>
                      <w:color w:val="auto"/>
                      <w:highlight w:val="none"/>
                    </w:rPr>
                    <w:t>噪声排放源</w:t>
                  </w:r>
                </w:p>
              </w:tc>
              <w:tc>
                <w:tcPr>
                  <w:tcW w:w="1150" w:type="pct"/>
                  <w:shd w:val="clear" w:color="auto" w:fill="auto"/>
                  <w:vAlign w:val="center"/>
                </w:tcPr>
                <w:p w14:paraId="5B04FB5B">
                  <w:pPr>
                    <w:keepNext w:val="0"/>
                    <w:keepLines w:val="0"/>
                    <w:widowControl/>
                    <w:suppressLineNumbers w:val="0"/>
                    <w:spacing w:before="93" w:beforeAutospacing="0" w:after="93" w:afterAutospacing="0"/>
                    <w:ind w:left="0" w:right="0"/>
                    <w:jc w:val="center"/>
                    <w:rPr>
                      <w:rFonts w:ascii="Times New Roman" w:hAnsi="Times New Roman" w:eastAsia="宋体" w:cs="Times New Roman"/>
                      <w:color w:val="auto"/>
                      <w:kern w:val="2"/>
                      <w:sz w:val="21"/>
                      <w:szCs w:val="24"/>
                      <w:highlight w:val="none"/>
                      <w:lang w:val="en-US" w:eastAsia="zh-CN" w:bidi="ar-SA"/>
                    </w:rPr>
                  </w:pPr>
                  <w:r>
                    <w:rPr>
                      <w:color w:val="auto"/>
                      <w:highlight w:val="none"/>
                    </w:rPr>
                    <w:t>表示噪声向外环境排放</w:t>
                  </w:r>
                </w:p>
              </w:tc>
            </w:tr>
            <w:tr w14:paraId="2869DC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95" w:type="pct"/>
                  <w:vAlign w:val="center"/>
                </w:tcPr>
                <w:p w14:paraId="13C353F6">
                  <w:pPr>
                    <w:keepNext w:val="0"/>
                    <w:keepLines w:val="0"/>
                    <w:widowControl/>
                    <w:suppressLineNumbers w:val="0"/>
                    <w:spacing w:before="93" w:beforeAutospacing="0" w:after="93" w:afterAutospacing="0"/>
                    <w:ind w:left="0" w:right="0"/>
                    <w:jc w:val="center"/>
                    <w:rPr>
                      <w:rFonts w:hint="eastAsia" w:eastAsia="宋体"/>
                      <w:color w:val="auto"/>
                      <w:highlight w:val="none"/>
                      <w:lang w:eastAsia="zh-CN"/>
                    </w:rPr>
                  </w:pPr>
                  <w:r>
                    <w:rPr>
                      <w:rFonts w:hint="eastAsia"/>
                      <w:color w:val="auto"/>
                      <w:highlight w:val="none"/>
                      <w:lang w:val="en-US" w:eastAsia="zh-CN"/>
                    </w:rPr>
                    <w:t>3</w:t>
                  </w:r>
                </w:p>
              </w:tc>
              <w:tc>
                <w:tcPr>
                  <w:tcW w:w="991" w:type="pct"/>
                  <w:vAlign w:val="center"/>
                </w:tcPr>
                <w:p w14:paraId="5C127833">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drawing>
                      <wp:inline distT="0" distB="0" distL="0" distR="0">
                        <wp:extent cx="660400" cy="655320"/>
                        <wp:effectExtent l="0" t="0" r="635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660400" cy="655320"/>
                                </a:xfrm>
                                <a:prstGeom prst="rect">
                                  <a:avLst/>
                                </a:prstGeom>
                                <a:noFill/>
                                <a:ln>
                                  <a:noFill/>
                                </a:ln>
                              </pic:spPr>
                            </pic:pic>
                          </a:graphicData>
                        </a:graphic>
                      </wp:inline>
                    </w:drawing>
                  </w:r>
                </w:p>
              </w:tc>
              <w:tc>
                <w:tcPr>
                  <w:tcW w:w="1191" w:type="pct"/>
                  <w:vAlign w:val="center"/>
                </w:tcPr>
                <w:p w14:paraId="0958EFD3">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drawing>
                      <wp:inline distT="0" distB="0" distL="0" distR="0">
                        <wp:extent cx="766445" cy="681990"/>
                        <wp:effectExtent l="0" t="0" r="0" b="381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766445" cy="681990"/>
                                </a:xfrm>
                                <a:prstGeom prst="rect">
                                  <a:avLst/>
                                </a:prstGeom>
                                <a:noFill/>
                                <a:ln>
                                  <a:noFill/>
                                </a:ln>
                              </pic:spPr>
                            </pic:pic>
                          </a:graphicData>
                        </a:graphic>
                      </wp:inline>
                    </w:drawing>
                  </w:r>
                </w:p>
              </w:tc>
              <w:tc>
                <w:tcPr>
                  <w:tcW w:w="1071" w:type="pct"/>
                  <w:vAlign w:val="center"/>
                </w:tcPr>
                <w:p w14:paraId="2026C36C">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一般固体废物</w:t>
                  </w:r>
                </w:p>
              </w:tc>
              <w:tc>
                <w:tcPr>
                  <w:tcW w:w="1150" w:type="pct"/>
                  <w:vAlign w:val="center"/>
                </w:tcPr>
                <w:p w14:paraId="22271A3E">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表示一般固体废弃物贮存、处置场</w:t>
                  </w:r>
                </w:p>
              </w:tc>
            </w:tr>
            <w:tr w14:paraId="0B19E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595" w:type="pct"/>
                  <w:vAlign w:val="center"/>
                </w:tcPr>
                <w:p w14:paraId="645320EA">
                  <w:pPr>
                    <w:keepNext w:val="0"/>
                    <w:keepLines w:val="0"/>
                    <w:widowControl/>
                    <w:suppressLineNumbers w:val="0"/>
                    <w:spacing w:before="93" w:beforeAutospacing="0" w:after="93" w:afterAutospacing="0"/>
                    <w:ind w:left="0" w:right="0"/>
                    <w:jc w:val="center"/>
                    <w:rPr>
                      <w:rFonts w:hint="eastAsia" w:eastAsia="宋体"/>
                      <w:color w:val="auto"/>
                      <w:highlight w:val="none"/>
                      <w:lang w:eastAsia="zh-CN"/>
                    </w:rPr>
                  </w:pPr>
                  <w:r>
                    <w:rPr>
                      <w:rFonts w:hint="eastAsia"/>
                      <w:color w:val="auto"/>
                      <w:highlight w:val="none"/>
                      <w:lang w:val="en-US" w:eastAsia="zh-CN"/>
                    </w:rPr>
                    <w:t>4</w:t>
                  </w:r>
                </w:p>
              </w:tc>
              <w:tc>
                <w:tcPr>
                  <w:tcW w:w="991" w:type="pct"/>
                  <w:vAlign w:val="center"/>
                </w:tcPr>
                <w:p w14:paraId="1B8F0296">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w:t>
                  </w:r>
                </w:p>
              </w:tc>
              <w:tc>
                <w:tcPr>
                  <w:tcW w:w="1191" w:type="pct"/>
                  <w:vAlign w:val="center"/>
                </w:tcPr>
                <w:p w14:paraId="0122CDBE">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drawing>
                      <wp:inline distT="0" distB="0" distL="0" distR="0">
                        <wp:extent cx="1047750" cy="657225"/>
                        <wp:effectExtent l="0" t="0" r="0" b="9525"/>
                        <wp:docPr id="2078" name="图片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 name="图片 2078"/>
                                <pic:cNvPicPr>
                                  <a:picLocks noChangeAspect="1"/>
                                </pic:cNvPicPr>
                              </pic:nvPicPr>
                              <pic:blipFill>
                                <a:blip r:embed="rId32" cstate="print"/>
                                <a:stretch>
                                  <a:fillRect/>
                                </a:stretch>
                              </pic:blipFill>
                              <pic:spPr>
                                <a:xfrm>
                                  <a:off x="0" y="0"/>
                                  <a:ext cx="1047750" cy="657225"/>
                                </a:xfrm>
                                <a:prstGeom prst="rect">
                                  <a:avLst/>
                                </a:prstGeom>
                              </pic:spPr>
                            </pic:pic>
                          </a:graphicData>
                        </a:graphic>
                      </wp:inline>
                    </w:drawing>
                  </w:r>
                </w:p>
              </w:tc>
              <w:tc>
                <w:tcPr>
                  <w:tcW w:w="1071" w:type="pct"/>
                  <w:vAlign w:val="center"/>
                </w:tcPr>
                <w:p w14:paraId="4B36F499">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危险废物</w:t>
                  </w:r>
                </w:p>
              </w:tc>
              <w:tc>
                <w:tcPr>
                  <w:tcW w:w="1150" w:type="pct"/>
                  <w:vAlign w:val="center"/>
                </w:tcPr>
                <w:p w14:paraId="0F32A00D">
                  <w:pPr>
                    <w:keepNext w:val="0"/>
                    <w:keepLines w:val="0"/>
                    <w:widowControl/>
                    <w:suppressLineNumbers w:val="0"/>
                    <w:spacing w:before="93" w:beforeAutospacing="0" w:after="93" w:afterAutospacing="0"/>
                    <w:ind w:left="0" w:right="0"/>
                    <w:jc w:val="center"/>
                    <w:rPr>
                      <w:color w:val="auto"/>
                      <w:highlight w:val="none"/>
                    </w:rPr>
                  </w:pPr>
                  <w:r>
                    <w:rPr>
                      <w:color w:val="auto"/>
                      <w:highlight w:val="none"/>
                    </w:rPr>
                    <w:t>表示危险废物贮存、处置场</w:t>
                  </w:r>
                </w:p>
              </w:tc>
            </w:tr>
          </w:tbl>
          <w:p w14:paraId="7A89FD48">
            <w:pPr>
              <w:keepNext w:val="0"/>
              <w:keepLines w:val="0"/>
              <w:suppressLineNumbers w:val="0"/>
              <w:spacing w:before="0" w:beforeAutospacing="0" w:after="0" w:afterAutospacing="0" w:line="360" w:lineRule="auto"/>
              <w:ind w:left="0" w:right="0" w:firstLine="480" w:firstLineChars="200"/>
              <w:rPr>
                <w:color w:val="FF0000"/>
                <w:sz w:val="24"/>
                <w:highlight w:val="none"/>
              </w:rPr>
            </w:pPr>
            <w:r>
              <w:rPr>
                <w:rFonts w:hint="eastAsia"/>
                <w:color w:val="FF0000"/>
                <w:sz w:val="24"/>
                <w:highlight w:val="none"/>
              </w:rPr>
              <w:t>（2）排污许可证制度</w:t>
            </w:r>
          </w:p>
          <w:p w14:paraId="2BB62181">
            <w:pPr>
              <w:keepNext w:val="0"/>
              <w:keepLines w:val="0"/>
              <w:suppressLineNumbers w:val="0"/>
              <w:spacing w:before="0" w:beforeAutospacing="0" w:after="0" w:afterAutospacing="0" w:line="360" w:lineRule="auto"/>
              <w:ind w:left="0" w:right="0" w:firstLine="480" w:firstLineChars="200"/>
              <w:rPr>
                <w:color w:val="FF0000"/>
                <w:sz w:val="24"/>
                <w:highlight w:val="none"/>
              </w:rPr>
            </w:pPr>
            <w:r>
              <w:rPr>
                <w:rFonts w:hint="eastAsia"/>
                <w:color w:val="FF0000"/>
                <w:sz w:val="24"/>
                <w:highlight w:val="none"/>
              </w:rPr>
              <w:t>根据《关于做好环境影响评价制度与排污许可制衔接相关工作的通知》（环办环评〔2017〕84 号）</w:t>
            </w:r>
            <w:r>
              <w:rPr>
                <w:rFonts w:hint="eastAsia"/>
                <w:color w:val="FF0000"/>
                <w:sz w:val="24"/>
                <w:highlight w:val="none"/>
                <w:lang w:val="en-US" w:eastAsia="zh-CN"/>
              </w:rPr>
              <w:t>等文件</w:t>
            </w:r>
            <w:r>
              <w:rPr>
                <w:rFonts w:hint="eastAsia"/>
                <w:color w:val="FF0000"/>
                <w:sz w:val="24"/>
                <w:highlight w:val="none"/>
              </w:rPr>
              <w:t>对本项目提出相关排污许可要求。本项目建成后应及时申请排污许可。</w:t>
            </w:r>
          </w:p>
          <w:p w14:paraId="38B9168D">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（3）环境管理制度</w:t>
            </w:r>
          </w:p>
          <w:p w14:paraId="0DDEDD53">
            <w:pPr>
              <w:keepNext w:val="0"/>
              <w:keepLines w:val="0"/>
              <w:suppressLineNumbers w:val="0"/>
              <w:spacing w:before="0" w:beforeAutospacing="0" w:after="0" w:afterAutospacing="0" w:line="360" w:lineRule="auto"/>
              <w:ind w:left="0" w:right="0" w:firstLine="480" w:firstLineChars="200"/>
              <w:rPr>
                <w:rFonts w:hint="eastAsia"/>
                <w:b/>
                <w:color w:val="auto"/>
                <w:sz w:val="24"/>
                <w:highlight w:val="none"/>
              </w:rPr>
            </w:pPr>
            <w:r>
              <w:rPr>
                <w:rFonts w:hint="eastAsia"/>
                <w:color w:val="auto"/>
                <w:sz w:val="24"/>
                <w:highlight w:val="none"/>
              </w:rPr>
              <w:t>项目建成后，应建立健全环境信息公开制度，及时、完整、准确地按照《企业事业单位环境信息公开办法》（环保部第 31 号令）等法律法规及技术规范要求，向社会及时公开污染防治设施的建设、运行情况，排放污染物名称、排放方式、排放浓度和总量、超标排放情况和整改情况等信息。</w:t>
            </w:r>
          </w:p>
          <w:p w14:paraId="144E776D">
            <w:pPr>
              <w:keepNext w:val="0"/>
              <w:keepLines w:val="0"/>
              <w:suppressLineNumbers w:val="0"/>
              <w:spacing w:before="0" w:beforeAutospacing="0" w:after="0" w:afterAutospacing="0" w:line="360" w:lineRule="auto"/>
              <w:ind w:left="0" w:right="0" w:firstLine="482" w:firstLineChars="200"/>
              <w:rPr>
                <w:b/>
                <w:color w:val="auto"/>
                <w:sz w:val="24"/>
                <w:highlight w:val="none"/>
              </w:rPr>
            </w:pPr>
            <w:r>
              <w:rPr>
                <w:rFonts w:hint="eastAsia"/>
                <w:b/>
                <w:color w:val="auto"/>
                <w:sz w:val="24"/>
                <w:highlight w:val="none"/>
              </w:rPr>
              <w:t>1</w:t>
            </w:r>
            <w:r>
              <w:rPr>
                <w:rFonts w:hint="eastAsia"/>
                <w:b/>
                <w:color w:val="auto"/>
                <w:sz w:val="24"/>
                <w:highlight w:val="none"/>
                <w:lang w:val="en-US" w:eastAsia="zh-CN"/>
              </w:rPr>
              <w:t>0</w:t>
            </w:r>
            <w:r>
              <w:rPr>
                <w:rFonts w:hint="eastAsia"/>
                <w:b/>
                <w:color w:val="auto"/>
                <w:sz w:val="24"/>
                <w:highlight w:val="none"/>
              </w:rPr>
              <w:t>、环保投资</w:t>
            </w:r>
          </w:p>
          <w:p w14:paraId="1DB59FBE">
            <w:pPr>
              <w:keepNext w:val="0"/>
              <w:keepLines w:val="0"/>
              <w:suppressLineNumbers w:val="0"/>
              <w:spacing w:before="0" w:beforeAutospacing="0" w:after="0" w:afterAutospacing="0" w:line="360" w:lineRule="auto"/>
              <w:ind w:left="0" w:right="0" w:firstLine="480" w:firstLineChars="200"/>
              <w:rPr>
                <w:color w:val="auto"/>
                <w:sz w:val="24"/>
                <w:highlight w:val="none"/>
              </w:rPr>
            </w:pPr>
            <w:r>
              <w:rPr>
                <w:rFonts w:hint="eastAsia"/>
                <w:color w:val="auto"/>
                <w:sz w:val="24"/>
                <w:highlight w:val="none"/>
              </w:rPr>
              <w:t>建设项目各项环保投资见下表。建设项目环保投资</w:t>
            </w:r>
            <w:r>
              <w:rPr>
                <w:rFonts w:hint="eastAsia"/>
                <w:color w:val="auto"/>
                <w:sz w:val="24"/>
                <w:highlight w:val="none"/>
                <w:lang w:val="en-US" w:eastAsia="zh-CN"/>
              </w:rPr>
              <w:t>52.5</w:t>
            </w:r>
            <w:r>
              <w:rPr>
                <w:rFonts w:hint="eastAsia"/>
                <w:color w:val="auto"/>
                <w:sz w:val="24"/>
                <w:highlight w:val="none"/>
              </w:rPr>
              <w:t>万元，占项目总投资</w:t>
            </w:r>
            <w:r>
              <w:rPr>
                <w:rFonts w:hint="eastAsia"/>
                <w:color w:val="auto"/>
                <w:sz w:val="24"/>
                <w:highlight w:val="none"/>
                <w:lang w:val="en-US" w:eastAsia="zh-CN"/>
              </w:rPr>
              <w:t>12</w:t>
            </w:r>
            <w:r>
              <w:rPr>
                <w:rFonts w:hint="eastAsia"/>
                <w:color w:val="auto"/>
                <w:sz w:val="24"/>
                <w:highlight w:val="none"/>
              </w:rPr>
              <w:t>00万元的</w:t>
            </w:r>
            <w:r>
              <w:rPr>
                <w:rFonts w:hint="eastAsia"/>
                <w:color w:val="auto"/>
                <w:sz w:val="24"/>
                <w:highlight w:val="none"/>
                <w:lang w:val="en-US" w:eastAsia="zh-CN"/>
              </w:rPr>
              <w:t>4.3</w:t>
            </w:r>
            <w:r>
              <w:rPr>
                <w:rFonts w:hint="eastAsia"/>
                <w:color w:val="auto"/>
                <w:sz w:val="24"/>
                <w:highlight w:val="none"/>
              </w:rPr>
              <w:t>%。</w:t>
            </w:r>
          </w:p>
          <w:p w14:paraId="098FDF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color w:val="auto"/>
                <w:sz w:val="24"/>
                <w:highlight w:val="none"/>
              </w:rPr>
            </w:pPr>
          </w:p>
          <w:p w14:paraId="6B4DF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color w:val="auto"/>
                <w:sz w:val="24"/>
                <w:highlight w:val="none"/>
              </w:rPr>
            </w:pPr>
          </w:p>
          <w:p w14:paraId="5E5327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color w:val="auto"/>
                <w:sz w:val="24"/>
                <w:highlight w:val="none"/>
              </w:rPr>
            </w:pPr>
          </w:p>
          <w:p w14:paraId="4011E8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color w:val="auto"/>
                <w:sz w:val="24"/>
                <w:highlight w:val="none"/>
              </w:rPr>
            </w:pPr>
          </w:p>
          <w:p w14:paraId="658637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color w:val="auto"/>
                <w:sz w:val="24"/>
                <w:highlight w:val="none"/>
              </w:rPr>
            </w:pPr>
          </w:p>
          <w:p w14:paraId="710942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color w:val="auto"/>
                <w:sz w:val="24"/>
                <w:highlight w:val="none"/>
              </w:rPr>
            </w:pPr>
          </w:p>
          <w:p w14:paraId="48500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color w:val="auto"/>
                <w:sz w:val="24"/>
                <w:highlight w:val="none"/>
              </w:rPr>
            </w:pPr>
            <w:r>
              <w:rPr>
                <w:rFonts w:hint="eastAsia"/>
                <w:color w:val="auto"/>
                <w:sz w:val="24"/>
                <w:highlight w:val="none"/>
              </w:rPr>
              <w:t>表4-</w:t>
            </w:r>
            <w:r>
              <w:rPr>
                <w:rFonts w:hint="eastAsia"/>
                <w:color w:val="auto"/>
                <w:sz w:val="24"/>
                <w:highlight w:val="none"/>
                <w:lang w:val="en-US" w:eastAsia="zh-CN"/>
              </w:rPr>
              <w:t>27</w:t>
            </w:r>
            <w:r>
              <w:rPr>
                <w:rFonts w:hint="eastAsia"/>
                <w:color w:val="auto"/>
                <w:sz w:val="24"/>
                <w:highlight w:val="none"/>
              </w:rPr>
              <w:t xml:space="preserve">  本项目环保投资一览表</w:t>
            </w:r>
          </w:p>
          <w:tbl>
            <w:tblPr>
              <w:tblStyle w:val="27"/>
              <w:tblW w:w="498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5"/>
              <w:gridCol w:w="1087"/>
              <w:gridCol w:w="5102"/>
              <w:gridCol w:w="1115"/>
            </w:tblGrid>
            <w:tr w14:paraId="72A8E3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8" w:hRule="exact"/>
              </w:trPr>
              <w:tc>
                <w:tcPr>
                  <w:tcW w:w="317" w:type="pct"/>
                  <w:vAlign w:val="center"/>
                </w:tcPr>
                <w:p w14:paraId="5ACB578F">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时段</w:t>
                  </w:r>
                </w:p>
              </w:tc>
              <w:tc>
                <w:tcPr>
                  <w:tcW w:w="696" w:type="pct"/>
                  <w:vAlign w:val="center"/>
                </w:tcPr>
                <w:p w14:paraId="2C8DED31">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项目</w:t>
                  </w:r>
                </w:p>
              </w:tc>
              <w:tc>
                <w:tcPr>
                  <w:tcW w:w="3271" w:type="pct"/>
                  <w:vAlign w:val="center"/>
                </w:tcPr>
                <w:p w14:paraId="2FDC3DA2">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主要内容</w:t>
                  </w:r>
                </w:p>
              </w:tc>
              <w:tc>
                <w:tcPr>
                  <w:tcW w:w="714" w:type="pct"/>
                  <w:vAlign w:val="center"/>
                </w:tcPr>
                <w:p w14:paraId="0B9358EB">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投资</w:t>
                  </w:r>
                </w:p>
                <w:p w14:paraId="2FFDEDBA">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（万元）</w:t>
                  </w:r>
                </w:p>
              </w:tc>
            </w:tr>
            <w:tr w14:paraId="251B8C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317" w:type="pct"/>
                  <w:vAlign w:val="center"/>
                </w:tcPr>
                <w:p w14:paraId="4E6DFDDD">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施工期</w:t>
                  </w:r>
                </w:p>
              </w:tc>
              <w:tc>
                <w:tcPr>
                  <w:tcW w:w="696" w:type="pct"/>
                  <w:vAlign w:val="center"/>
                </w:tcPr>
                <w:p w14:paraId="19652B33">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施工扬尘</w:t>
                  </w:r>
                </w:p>
              </w:tc>
              <w:tc>
                <w:tcPr>
                  <w:tcW w:w="3271" w:type="pct"/>
                  <w:shd w:val="clear" w:color="auto" w:fill="auto"/>
                  <w:vAlign w:val="center"/>
                </w:tcPr>
                <w:p w14:paraId="4717AAFD">
                  <w:pPr>
                    <w:keepNext w:val="0"/>
                    <w:keepLines w:val="0"/>
                    <w:suppressLineNumbers w:val="0"/>
                    <w:adjustRightInd w:val="0"/>
                    <w:snapToGrid w:val="0"/>
                    <w:spacing w:before="0" w:beforeAutospacing="0" w:after="0" w:afterAutospacing="0"/>
                    <w:ind w:left="0" w:right="0"/>
                    <w:rPr>
                      <w:rFonts w:hint="eastAsia"/>
                      <w:color w:val="auto"/>
                      <w:szCs w:val="21"/>
                      <w:highlight w:val="none"/>
                    </w:rPr>
                  </w:pPr>
                  <w:r>
                    <w:rPr>
                      <w:rFonts w:hint="eastAsia"/>
                      <w:color w:val="auto"/>
                      <w:szCs w:val="21"/>
                      <w:highlight w:val="none"/>
                    </w:rPr>
                    <w:t>施工场地围护、洒水抑尘、绿网覆盖</w:t>
                  </w:r>
                </w:p>
              </w:tc>
              <w:tc>
                <w:tcPr>
                  <w:tcW w:w="714" w:type="pct"/>
                  <w:vAlign w:val="center"/>
                </w:tcPr>
                <w:p w14:paraId="7E863F7A">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15</w:t>
                  </w:r>
                </w:p>
              </w:tc>
            </w:tr>
            <w:tr w14:paraId="0F284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317" w:type="pct"/>
                  <w:vMerge w:val="restart"/>
                  <w:vAlign w:val="center"/>
                </w:tcPr>
                <w:p w14:paraId="25783853">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营</w:t>
                  </w:r>
                </w:p>
                <w:p w14:paraId="685B4D46">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运</w:t>
                  </w:r>
                </w:p>
                <w:p w14:paraId="05EC8D47">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期</w:t>
                  </w:r>
                </w:p>
              </w:tc>
              <w:tc>
                <w:tcPr>
                  <w:tcW w:w="696" w:type="pct"/>
                  <w:vAlign w:val="center"/>
                </w:tcPr>
                <w:p w14:paraId="29868BF5">
                  <w:pPr>
                    <w:keepNext w:val="0"/>
                    <w:keepLines w:val="0"/>
                    <w:suppressLineNumbers w:val="0"/>
                    <w:spacing w:before="0" w:beforeAutospacing="0" w:after="0" w:afterAutospacing="0"/>
                    <w:ind w:left="0" w:right="0"/>
                    <w:jc w:val="center"/>
                    <w:rPr>
                      <w:color w:val="auto"/>
                      <w:szCs w:val="21"/>
                      <w:highlight w:val="none"/>
                    </w:rPr>
                  </w:pPr>
                  <w:r>
                    <w:rPr>
                      <w:color w:val="auto"/>
                      <w:szCs w:val="21"/>
                      <w:highlight w:val="none"/>
                    </w:rPr>
                    <w:t>废气</w:t>
                  </w:r>
                </w:p>
              </w:tc>
              <w:tc>
                <w:tcPr>
                  <w:tcW w:w="3271" w:type="pct"/>
                  <w:shd w:val="clear" w:color="auto" w:fill="auto"/>
                  <w:vAlign w:val="center"/>
                </w:tcPr>
                <w:p w14:paraId="3323C495">
                  <w:pPr>
                    <w:keepNext w:val="0"/>
                    <w:keepLines w:val="0"/>
                    <w:suppressLineNumbers w:val="0"/>
                    <w:adjustRightInd w:val="0"/>
                    <w:snapToGrid w:val="0"/>
                    <w:spacing w:before="0" w:beforeAutospacing="0" w:after="0" w:afterAutospacing="0"/>
                    <w:ind w:left="0" w:right="0"/>
                    <w:rPr>
                      <w:rFonts w:hint="default" w:eastAsia="宋体"/>
                      <w:color w:val="auto"/>
                      <w:szCs w:val="21"/>
                      <w:highlight w:val="none"/>
                      <w:lang w:val="en-US" w:eastAsia="zh-CN"/>
                    </w:rPr>
                  </w:pPr>
                  <w:r>
                    <w:rPr>
                      <w:rFonts w:hint="default" w:eastAsia="宋体"/>
                      <w:color w:val="auto"/>
                      <w:szCs w:val="21"/>
                      <w:highlight w:val="none"/>
                      <w:lang w:val="en-US" w:eastAsia="zh-CN"/>
                    </w:rPr>
                    <w:t>涉VOCs物料源头管控</w:t>
                  </w:r>
                  <w:r>
                    <w:rPr>
                      <w:rFonts w:hint="eastAsia"/>
                      <w:color w:val="auto"/>
                      <w:szCs w:val="21"/>
                      <w:highlight w:val="none"/>
                      <w:lang w:val="en-US" w:eastAsia="zh-CN"/>
                    </w:rPr>
                    <w:t>、</w:t>
                  </w:r>
                  <w:r>
                    <w:rPr>
                      <w:rFonts w:hint="default" w:eastAsia="宋体"/>
                      <w:color w:val="auto"/>
                      <w:szCs w:val="21"/>
                      <w:highlight w:val="none"/>
                      <w:lang w:val="en-US" w:eastAsia="zh-CN"/>
                    </w:rPr>
                    <w:t>生产工序位于密闭车间</w:t>
                  </w:r>
                  <w:r>
                    <w:rPr>
                      <w:rFonts w:hint="eastAsia"/>
                      <w:color w:val="auto"/>
                      <w:szCs w:val="21"/>
                      <w:highlight w:val="none"/>
                      <w:lang w:val="en-US" w:eastAsia="zh-CN"/>
                    </w:rPr>
                    <w:t>、</w:t>
                  </w:r>
                  <w:r>
                    <w:rPr>
                      <w:rFonts w:hint="default" w:eastAsia="宋体"/>
                      <w:color w:val="auto"/>
                      <w:szCs w:val="21"/>
                      <w:highlight w:val="none"/>
                      <w:lang w:val="en-US" w:eastAsia="zh-CN"/>
                    </w:rPr>
                    <w:t>及时开展泄漏检测</w:t>
                  </w:r>
                </w:p>
              </w:tc>
              <w:tc>
                <w:tcPr>
                  <w:tcW w:w="714" w:type="pct"/>
                  <w:vAlign w:val="center"/>
                </w:tcPr>
                <w:p w14:paraId="24311C63">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5</w:t>
                  </w:r>
                </w:p>
              </w:tc>
            </w:tr>
            <w:tr w14:paraId="74C976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317" w:type="pct"/>
                  <w:vMerge w:val="continue"/>
                  <w:vAlign w:val="center"/>
                </w:tcPr>
                <w:p w14:paraId="3D050C80">
                  <w:pPr>
                    <w:keepNext w:val="0"/>
                    <w:keepLines w:val="0"/>
                    <w:suppressLineNumbers w:val="0"/>
                    <w:spacing w:before="0" w:beforeAutospacing="0" w:after="0" w:afterAutospacing="0"/>
                    <w:ind w:left="0" w:right="0"/>
                    <w:jc w:val="center"/>
                    <w:rPr>
                      <w:color w:val="auto"/>
                      <w:szCs w:val="21"/>
                      <w:highlight w:val="none"/>
                    </w:rPr>
                  </w:pPr>
                </w:p>
              </w:tc>
              <w:tc>
                <w:tcPr>
                  <w:tcW w:w="696" w:type="pct"/>
                  <w:vAlign w:val="center"/>
                </w:tcPr>
                <w:p w14:paraId="5C50B71F">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废水</w:t>
                  </w:r>
                </w:p>
              </w:tc>
              <w:tc>
                <w:tcPr>
                  <w:tcW w:w="3271" w:type="pct"/>
                  <w:shd w:val="clear" w:color="auto" w:fill="auto"/>
                  <w:vAlign w:val="center"/>
                </w:tcPr>
                <w:p w14:paraId="2C9FE2AE">
                  <w:pPr>
                    <w:keepNext w:val="0"/>
                    <w:keepLines w:val="0"/>
                    <w:suppressLineNumbers w:val="0"/>
                    <w:adjustRightInd w:val="0"/>
                    <w:snapToGrid w:val="0"/>
                    <w:spacing w:before="0" w:beforeAutospacing="0" w:after="0" w:afterAutospacing="0"/>
                    <w:ind w:left="0" w:right="0"/>
                    <w:rPr>
                      <w:rFonts w:hint="default" w:eastAsia="宋体"/>
                      <w:color w:val="auto"/>
                      <w:szCs w:val="21"/>
                      <w:highlight w:val="none"/>
                      <w:lang w:val="en-US" w:eastAsia="zh-CN"/>
                    </w:rPr>
                  </w:pPr>
                  <w:r>
                    <w:rPr>
                      <w:rFonts w:hint="eastAsia"/>
                      <w:color w:val="auto"/>
                      <w:szCs w:val="21"/>
                      <w:highlight w:val="none"/>
                      <w:lang w:val="en-US" w:eastAsia="zh-CN"/>
                    </w:rPr>
                    <w:t>污水总排口排入东泽污水处理厂</w:t>
                  </w:r>
                </w:p>
              </w:tc>
              <w:tc>
                <w:tcPr>
                  <w:tcW w:w="714" w:type="pct"/>
                  <w:vAlign w:val="center"/>
                </w:tcPr>
                <w:p w14:paraId="6DABF804">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0，依托</w:t>
                  </w:r>
                </w:p>
              </w:tc>
            </w:tr>
            <w:tr w14:paraId="270B6E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6" w:hRule="atLeast"/>
              </w:trPr>
              <w:tc>
                <w:tcPr>
                  <w:tcW w:w="317" w:type="pct"/>
                  <w:vMerge w:val="continue"/>
                  <w:vAlign w:val="center"/>
                </w:tcPr>
                <w:p w14:paraId="0AF1AA95">
                  <w:pPr>
                    <w:keepNext w:val="0"/>
                    <w:keepLines w:val="0"/>
                    <w:suppressLineNumbers w:val="0"/>
                    <w:spacing w:before="0" w:beforeAutospacing="0" w:after="0" w:afterAutospacing="0"/>
                    <w:ind w:left="0" w:right="0"/>
                    <w:jc w:val="center"/>
                    <w:rPr>
                      <w:color w:val="auto"/>
                      <w:szCs w:val="21"/>
                      <w:highlight w:val="none"/>
                    </w:rPr>
                  </w:pPr>
                </w:p>
              </w:tc>
              <w:tc>
                <w:tcPr>
                  <w:tcW w:w="696" w:type="pct"/>
                  <w:vMerge w:val="restart"/>
                  <w:vAlign w:val="center"/>
                </w:tcPr>
                <w:p w14:paraId="1B6010E8">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固废</w:t>
                  </w:r>
                </w:p>
              </w:tc>
              <w:tc>
                <w:tcPr>
                  <w:tcW w:w="3271" w:type="pct"/>
                  <w:vAlign w:val="center"/>
                </w:tcPr>
                <w:p w14:paraId="0071DF85">
                  <w:pPr>
                    <w:keepNext w:val="0"/>
                    <w:keepLines w:val="0"/>
                    <w:suppressLineNumbers w:val="0"/>
                    <w:spacing w:before="0" w:beforeAutospacing="0" w:after="0" w:afterAutospacing="0"/>
                    <w:ind w:left="0" w:right="0"/>
                    <w:jc w:val="left"/>
                    <w:rPr>
                      <w:rFonts w:hint="default" w:eastAsia="宋体"/>
                      <w:color w:val="auto"/>
                      <w:szCs w:val="21"/>
                      <w:highlight w:val="none"/>
                      <w:lang w:val="en-US" w:eastAsia="zh-CN"/>
                    </w:rPr>
                  </w:pPr>
                  <w:r>
                    <w:rPr>
                      <w:rFonts w:hint="eastAsia"/>
                      <w:color w:val="auto"/>
                      <w:szCs w:val="21"/>
                      <w:highlight w:val="none"/>
                      <w:lang w:val="en-US" w:eastAsia="zh-CN"/>
                    </w:rPr>
                    <w:t>一般固体废物暂存点</w:t>
                  </w:r>
                  <w:r>
                    <w:rPr>
                      <w:rFonts w:hint="eastAsia"/>
                      <w:color w:val="auto"/>
                      <w:szCs w:val="21"/>
                      <w:highlight w:val="none"/>
                    </w:rPr>
                    <w:t>（</w:t>
                  </w:r>
                  <w:r>
                    <w:rPr>
                      <w:rFonts w:hint="eastAsia"/>
                      <w:color w:val="auto"/>
                      <w:szCs w:val="21"/>
                      <w:highlight w:val="none"/>
                      <w:lang w:val="en-US" w:eastAsia="zh-CN"/>
                    </w:rPr>
                    <w:t>10</w:t>
                  </w:r>
                  <w:r>
                    <w:rPr>
                      <w:rFonts w:hint="eastAsia"/>
                      <w:color w:val="auto"/>
                      <w:szCs w:val="21"/>
                      <w:highlight w:val="none"/>
                    </w:rPr>
                    <w:t>m</w:t>
                  </w:r>
                  <w:r>
                    <w:rPr>
                      <w:rFonts w:hint="eastAsia"/>
                      <w:color w:val="auto"/>
                      <w:szCs w:val="21"/>
                      <w:highlight w:val="none"/>
                      <w:vertAlign w:val="superscript"/>
                    </w:rPr>
                    <w:t>2</w: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lang w:val="en-US" w:eastAsia="zh-CN"/>
                    </w:rPr>
                    <w:t>依托现有</w:t>
                  </w:r>
                  <w:r>
                    <w:rPr>
                      <w:rFonts w:hint="eastAsia"/>
                      <w:color w:val="auto"/>
                      <w:szCs w:val="21"/>
                      <w:highlight w:val="none"/>
                      <w:lang w:eastAsia="zh-CN"/>
                    </w:rPr>
                    <w:t>）</w:t>
                  </w:r>
                </w:p>
              </w:tc>
              <w:tc>
                <w:tcPr>
                  <w:tcW w:w="714" w:type="pct"/>
                  <w:vAlign w:val="center"/>
                </w:tcPr>
                <w:p w14:paraId="73504518">
                  <w:pPr>
                    <w:keepNext w:val="0"/>
                    <w:keepLines w:val="0"/>
                    <w:suppressLineNumbers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0，依托</w:t>
                  </w:r>
                </w:p>
              </w:tc>
            </w:tr>
            <w:tr w14:paraId="4F53D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6" w:hRule="atLeast"/>
              </w:trPr>
              <w:tc>
                <w:tcPr>
                  <w:tcW w:w="317" w:type="pct"/>
                  <w:vMerge w:val="continue"/>
                  <w:vAlign w:val="center"/>
                </w:tcPr>
                <w:p w14:paraId="42AE7581">
                  <w:pPr>
                    <w:keepNext w:val="0"/>
                    <w:keepLines w:val="0"/>
                    <w:suppressLineNumbers w:val="0"/>
                    <w:spacing w:before="0" w:beforeAutospacing="0" w:after="0" w:afterAutospacing="0"/>
                    <w:ind w:left="0" w:right="0"/>
                    <w:jc w:val="center"/>
                    <w:rPr>
                      <w:color w:val="auto"/>
                      <w:szCs w:val="21"/>
                      <w:highlight w:val="none"/>
                    </w:rPr>
                  </w:pPr>
                </w:p>
              </w:tc>
              <w:tc>
                <w:tcPr>
                  <w:tcW w:w="696" w:type="pct"/>
                  <w:vMerge w:val="continue"/>
                  <w:vAlign w:val="center"/>
                </w:tcPr>
                <w:p w14:paraId="30FCE848">
                  <w:pPr>
                    <w:keepNext w:val="0"/>
                    <w:keepLines w:val="0"/>
                    <w:suppressLineNumbers w:val="0"/>
                    <w:spacing w:before="0" w:beforeAutospacing="0" w:after="0" w:afterAutospacing="0"/>
                    <w:ind w:left="0" w:right="0"/>
                    <w:jc w:val="center"/>
                    <w:rPr>
                      <w:color w:val="auto"/>
                      <w:szCs w:val="21"/>
                      <w:highlight w:val="none"/>
                    </w:rPr>
                  </w:pPr>
                </w:p>
              </w:tc>
              <w:tc>
                <w:tcPr>
                  <w:tcW w:w="3271" w:type="pct"/>
                  <w:vAlign w:val="center"/>
                </w:tcPr>
                <w:p w14:paraId="73097DCA">
                  <w:pPr>
                    <w:keepNext w:val="0"/>
                    <w:keepLines w:val="0"/>
                    <w:suppressLineNumbers w:val="0"/>
                    <w:spacing w:before="0" w:beforeAutospacing="0" w:after="0" w:afterAutospacing="0"/>
                    <w:ind w:left="0" w:right="0"/>
                    <w:jc w:val="left"/>
                    <w:rPr>
                      <w:rFonts w:hint="eastAsia" w:eastAsia="宋体"/>
                      <w:color w:val="auto"/>
                      <w:szCs w:val="21"/>
                      <w:highlight w:val="none"/>
                      <w:lang w:eastAsia="zh-CN"/>
                    </w:rPr>
                  </w:pPr>
                  <w:r>
                    <w:rPr>
                      <w:rFonts w:hint="eastAsia"/>
                      <w:color w:val="auto"/>
                      <w:szCs w:val="21"/>
                      <w:highlight w:val="none"/>
                    </w:rPr>
                    <w:t>危废贮存点（</w:t>
                  </w:r>
                  <w:r>
                    <w:rPr>
                      <w:rFonts w:hint="eastAsia"/>
                      <w:color w:val="auto"/>
                      <w:szCs w:val="21"/>
                      <w:highlight w:val="none"/>
                      <w:lang w:val="en-US" w:eastAsia="zh-CN"/>
                    </w:rPr>
                    <w:t>2</w:t>
                  </w:r>
                  <w:r>
                    <w:rPr>
                      <w:rFonts w:hint="eastAsia"/>
                      <w:color w:val="auto"/>
                      <w:szCs w:val="21"/>
                      <w:highlight w:val="none"/>
                    </w:rPr>
                    <w:t>m</w:t>
                  </w:r>
                  <w:r>
                    <w:rPr>
                      <w:rFonts w:hint="eastAsia"/>
                      <w:color w:val="auto"/>
                      <w:szCs w:val="21"/>
                      <w:highlight w:val="none"/>
                      <w:vertAlign w:val="superscript"/>
                    </w:rPr>
                    <w:t>2</w:t>
                  </w:r>
                  <w:r>
                    <w:rPr>
                      <w:rFonts w:hint="eastAsia"/>
                      <w:color w:val="auto"/>
                      <w:szCs w:val="21"/>
                      <w:highlight w:val="none"/>
                    </w:rPr>
                    <w:t>）</w:t>
                  </w:r>
                  <w:r>
                    <w:rPr>
                      <w:rFonts w:hint="eastAsia"/>
                      <w:color w:val="auto"/>
                      <w:szCs w:val="21"/>
                      <w:highlight w:val="none"/>
                      <w:lang w:eastAsia="zh-CN"/>
                    </w:rPr>
                    <w:t>（</w:t>
                  </w:r>
                  <w:r>
                    <w:rPr>
                      <w:rFonts w:hint="eastAsia"/>
                      <w:color w:val="auto"/>
                      <w:szCs w:val="21"/>
                      <w:highlight w:val="none"/>
                      <w:lang w:val="en-US" w:eastAsia="zh-CN"/>
                    </w:rPr>
                    <w:t>依托现有</w:t>
                  </w:r>
                  <w:r>
                    <w:rPr>
                      <w:rFonts w:hint="eastAsia"/>
                      <w:color w:val="auto"/>
                      <w:szCs w:val="21"/>
                      <w:highlight w:val="none"/>
                      <w:lang w:eastAsia="zh-CN"/>
                    </w:rPr>
                    <w:t>）</w:t>
                  </w:r>
                </w:p>
              </w:tc>
              <w:tc>
                <w:tcPr>
                  <w:tcW w:w="714" w:type="pct"/>
                  <w:vAlign w:val="center"/>
                </w:tcPr>
                <w:p w14:paraId="6867401D">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lang w:val="en-US" w:eastAsia="zh-CN"/>
                    </w:rPr>
                    <w:t>0，依托</w:t>
                  </w:r>
                </w:p>
              </w:tc>
            </w:tr>
            <w:tr w14:paraId="299D6E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6" w:hRule="atLeast"/>
              </w:trPr>
              <w:tc>
                <w:tcPr>
                  <w:tcW w:w="317" w:type="pct"/>
                  <w:vMerge w:val="continue"/>
                  <w:vAlign w:val="center"/>
                </w:tcPr>
                <w:p w14:paraId="405CA1BE">
                  <w:pPr>
                    <w:keepNext w:val="0"/>
                    <w:keepLines w:val="0"/>
                    <w:suppressLineNumbers w:val="0"/>
                    <w:spacing w:before="0" w:beforeAutospacing="0" w:after="0" w:afterAutospacing="0"/>
                    <w:ind w:left="0" w:right="0"/>
                    <w:jc w:val="center"/>
                    <w:rPr>
                      <w:color w:val="auto"/>
                      <w:szCs w:val="21"/>
                      <w:highlight w:val="none"/>
                    </w:rPr>
                  </w:pPr>
                </w:p>
              </w:tc>
              <w:tc>
                <w:tcPr>
                  <w:tcW w:w="696" w:type="pct"/>
                  <w:vAlign w:val="center"/>
                </w:tcPr>
                <w:p w14:paraId="7EC432CD">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噪声</w:t>
                  </w:r>
                </w:p>
              </w:tc>
              <w:tc>
                <w:tcPr>
                  <w:tcW w:w="3271" w:type="pct"/>
                  <w:vAlign w:val="center"/>
                </w:tcPr>
                <w:p w14:paraId="37CE2061">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选用低噪声设备、减振、隔声</w:t>
                  </w:r>
                </w:p>
              </w:tc>
              <w:tc>
                <w:tcPr>
                  <w:tcW w:w="714" w:type="pct"/>
                  <w:vAlign w:val="center"/>
                </w:tcPr>
                <w:p w14:paraId="0CCCBBBD">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2</w:t>
                  </w:r>
                </w:p>
              </w:tc>
            </w:tr>
            <w:tr w14:paraId="3975F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0" w:hRule="atLeast"/>
              </w:trPr>
              <w:tc>
                <w:tcPr>
                  <w:tcW w:w="317" w:type="pct"/>
                  <w:vMerge w:val="continue"/>
                  <w:vAlign w:val="center"/>
                </w:tcPr>
                <w:p w14:paraId="30D0C212">
                  <w:pPr>
                    <w:keepNext w:val="0"/>
                    <w:keepLines w:val="0"/>
                    <w:suppressLineNumbers w:val="0"/>
                    <w:spacing w:before="0" w:beforeAutospacing="0" w:after="0" w:afterAutospacing="0"/>
                    <w:ind w:left="0" w:right="0"/>
                    <w:jc w:val="center"/>
                    <w:rPr>
                      <w:color w:val="auto"/>
                      <w:szCs w:val="21"/>
                      <w:highlight w:val="none"/>
                    </w:rPr>
                  </w:pPr>
                </w:p>
              </w:tc>
              <w:tc>
                <w:tcPr>
                  <w:tcW w:w="696" w:type="pct"/>
                  <w:vAlign w:val="center"/>
                </w:tcPr>
                <w:p w14:paraId="3D550E18">
                  <w:pPr>
                    <w:pStyle w:val="66"/>
                    <w:keepNext w:val="0"/>
                    <w:keepLines w:val="0"/>
                    <w:suppressLineNumbers w:val="0"/>
                    <w:spacing w:before="0" w:beforeAutospacing="0" w:after="0" w:afterAutospacing="0"/>
                    <w:ind w:left="0" w:right="0"/>
                    <w:jc w:val="center"/>
                    <w:rPr>
                      <w:rFonts w:hint="eastAsia"/>
                      <w:color w:val="auto"/>
                      <w:szCs w:val="21"/>
                      <w:highlight w:val="none"/>
                    </w:rPr>
                  </w:pPr>
                  <w:r>
                    <w:rPr>
                      <w:rFonts w:hint="eastAsia"/>
                      <w:color w:val="auto"/>
                      <w:szCs w:val="21"/>
                      <w:highlight w:val="none"/>
                    </w:rPr>
                    <w:t>地下水</w:t>
                  </w:r>
                </w:p>
                <w:p w14:paraId="1B1A9C4E">
                  <w:pPr>
                    <w:pStyle w:val="66"/>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土壤</w:t>
                  </w:r>
                </w:p>
              </w:tc>
              <w:tc>
                <w:tcPr>
                  <w:tcW w:w="3271" w:type="pct"/>
                  <w:vAlign w:val="center"/>
                </w:tcPr>
                <w:p w14:paraId="75950101">
                  <w:pPr>
                    <w:keepNext w:val="0"/>
                    <w:keepLines w:val="0"/>
                    <w:suppressLineNumbers w:val="0"/>
                    <w:spacing w:before="0" w:beforeAutospacing="0" w:after="0" w:afterAutospacing="0"/>
                    <w:ind w:left="0" w:right="0"/>
                    <w:jc w:val="left"/>
                    <w:rPr>
                      <w:rFonts w:hint="default" w:eastAsia="宋体"/>
                      <w:color w:val="auto"/>
                      <w:szCs w:val="21"/>
                      <w:highlight w:val="none"/>
                      <w:lang w:val="en-US" w:eastAsia="zh-CN"/>
                    </w:rPr>
                  </w:pPr>
                  <w:r>
                    <w:rPr>
                      <w:rFonts w:hint="eastAsia"/>
                      <w:color w:val="auto"/>
                      <w:szCs w:val="21"/>
                      <w:highlight w:val="none"/>
                    </w:rPr>
                    <w:t>分区防渗</w:t>
                  </w:r>
                </w:p>
              </w:tc>
              <w:tc>
                <w:tcPr>
                  <w:tcW w:w="714" w:type="pct"/>
                  <w:vAlign w:val="center"/>
                </w:tcPr>
                <w:p w14:paraId="0B02C4E7">
                  <w:pPr>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lang w:val="en-US" w:eastAsia="zh-CN"/>
                    </w:rPr>
                    <w:t>3</w:t>
                  </w:r>
                  <w:r>
                    <w:rPr>
                      <w:rFonts w:hint="eastAsia"/>
                      <w:color w:val="auto"/>
                      <w:szCs w:val="21"/>
                      <w:highlight w:val="none"/>
                    </w:rPr>
                    <w:t>0</w:t>
                  </w:r>
                </w:p>
              </w:tc>
            </w:tr>
            <w:tr w14:paraId="22CE36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317" w:type="pct"/>
                  <w:vMerge w:val="continue"/>
                  <w:vAlign w:val="center"/>
                </w:tcPr>
                <w:p w14:paraId="5CA75A72">
                  <w:pPr>
                    <w:keepNext w:val="0"/>
                    <w:keepLines w:val="0"/>
                    <w:suppressLineNumbers w:val="0"/>
                    <w:spacing w:before="0" w:beforeAutospacing="0" w:after="0" w:afterAutospacing="0"/>
                    <w:ind w:left="0" w:right="0"/>
                    <w:jc w:val="center"/>
                    <w:rPr>
                      <w:color w:val="auto"/>
                      <w:szCs w:val="21"/>
                      <w:highlight w:val="none"/>
                    </w:rPr>
                  </w:pPr>
                </w:p>
              </w:tc>
              <w:tc>
                <w:tcPr>
                  <w:tcW w:w="696" w:type="pct"/>
                  <w:vAlign w:val="center"/>
                </w:tcPr>
                <w:p w14:paraId="1CC0E983">
                  <w:pPr>
                    <w:pStyle w:val="66"/>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环境风险</w:t>
                  </w:r>
                </w:p>
              </w:tc>
              <w:tc>
                <w:tcPr>
                  <w:tcW w:w="3271" w:type="pct"/>
                  <w:vAlign w:val="center"/>
                </w:tcPr>
                <w:p w14:paraId="463FC18E">
                  <w:pPr>
                    <w:keepNext w:val="0"/>
                    <w:keepLines w:val="0"/>
                    <w:suppressLineNumbers w:val="0"/>
                    <w:spacing w:before="0" w:beforeAutospacing="0" w:after="0" w:afterAutospacing="0"/>
                    <w:ind w:left="0" w:right="0"/>
                    <w:jc w:val="left"/>
                    <w:rPr>
                      <w:rFonts w:hint="eastAsia" w:eastAsia="宋体"/>
                      <w:color w:val="auto"/>
                      <w:szCs w:val="21"/>
                      <w:highlight w:val="none"/>
                      <w:lang w:eastAsia="zh-CN"/>
                    </w:rPr>
                  </w:pPr>
                  <w:r>
                    <w:rPr>
                      <w:rFonts w:hint="eastAsia"/>
                      <w:color w:val="auto"/>
                      <w:szCs w:val="21"/>
                      <w:highlight w:val="none"/>
                    </w:rPr>
                    <w:t>风险防范物资，防渗、围堰</w:t>
                  </w:r>
                  <w:r>
                    <w:rPr>
                      <w:rFonts w:hint="eastAsia"/>
                      <w:color w:val="auto"/>
                      <w:szCs w:val="21"/>
                      <w:highlight w:val="none"/>
                      <w:lang w:eastAsia="zh-CN"/>
                    </w:rPr>
                    <w:t>、</w:t>
                  </w:r>
                  <w:r>
                    <w:rPr>
                      <w:rFonts w:hint="eastAsia"/>
                      <w:color w:val="auto"/>
                      <w:szCs w:val="21"/>
                      <w:highlight w:val="none"/>
                      <w:lang w:val="en-US" w:eastAsia="zh-CN"/>
                    </w:rPr>
                    <w:t>消防</w:t>
                  </w:r>
                  <w:r>
                    <w:rPr>
                      <w:rFonts w:hint="eastAsia"/>
                      <w:color w:val="auto"/>
                      <w:szCs w:val="21"/>
                      <w:highlight w:val="none"/>
                    </w:rPr>
                    <w:t>及1座有效容积约</w:t>
                  </w:r>
                  <w:r>
                    <w:rPr>
                      <w:rFonts w:hint="eastAsia"/>
                      <w:color w:val="auto"/>
                      <w:szCs w:val="21"/>
                      <w:highlight w:val="none"/>
                      <w:lang w:val="en-US" w:eastAsia="zh-CN"/>
                    </w:rPr>
                    <w:t>1000</w:t>
                  </w:r>
                  <w:r>
                    <w:rPr>
                      <w:rFonts w:hint="eastAsia"/>
                      <w:color w:val="auto"/>
                      <w:szCs w:val="21"/>
                      <w:highlight w:val="none"/>
                    </w:rPr>
                    <w:t>m</w:t>
                  </w:r>
                  <w:r>
                    <w:rPr>
                      <w:rFonts w:hint="eastAsia"/>
                      <w:color w:val="auto"/>
                      <w:szCs w:val="21"/>
                      <w:highlight w:val="none"/>
                      <w:vertAlign w:val="superscript"/>
                    </w:rPr>
                    <w:t>3</w:t>
                  </w:r>
                  <w:r>
                    <w:rPr>
                      <w:rFonts w:hint="eastAsia"/>
                      <w:color w:val="auto"/>
                      <w:szCs w:val="21"/>
                      <w:highlight w:val="none"/>
                    </w:rPr>
                    <w:t>事故池</w:t>
                  </w:r>
                  <w:r>
                    <w:rPr>
                      <w:rFonts w:hint="eastAsia"/>
                      <w:color w:val="auto"/>
                      <w:szCs w:val="21"/>
                      <w:highlight w:val="none"/>
                      <w:lang w:eastAsia="zh-CN"/>
                    </w:rPr>
                    <w:t>（</w:t>
                  </w:r>
                  <w:r>
                    <w:rPr>
                      <w:rFonts w:hint="eastAsia"/>
                      <w:color w:val="auto"/>
                      <w:szCs w:val="21"/>
                      <w:highlight w:val="none"/>
                      <w:lang w:val="en-US" w:eastAsia="zh-CN"/>
                    </w:rPr>
                    <w:t>事故池依托现有</w:t>
                  </w:r>
                  <w:r>
                    <w:rPr>
                      <w:rFonts w:hint="eastAsia"/>
                      <w:color w:val="auto"/>
                      <w:szCs w:val="21"/>
                      <w:highlight w:val="none"/>
                      <w:lang w:eastAsia="zh-CN"/>
                    </w:rPr>
                    <w:t>）</w:t>
                  </w:r>
                </w:p>
              </w:tc>
              <w:tc>
                <w:tcPr>
                  <w:tcW w:w="714" w:type="pct"/>
                  <w:vAlign w:val="center"/>
                </w:tcPr>
                <w:p w14:paraId="0DB34BF2">
                  <w:pPr>
                    <w:keepNext w:val="0"/>
                    <w:keepLines w:val="0"/>
                    <w:suppressLineNumbers w:val="0"/>
                    <w:spacing w:before="0" w:beforeAutospacing="0" w:after="0" w:afterAutospacing="0"/>
                    <w:ind w:left="0" w:right="0"/>
                    <w:jc w:val="center"/>
                    <w:rPr>
                      <w:rFonts w:hint="eastAsia" w:eastAsia="宋体"/>
                      <w:color w:val="auto"/>
                      <w:szCs w:val="21"/>
                      <w:highlight w:val="none"/>
                      <w:lang w:eastAsia="zh-CN"/>
                    </w:rPr>
                  </w:pPr>
                  <w:r>
                    <w:rPr>
                      <w:rFonts w:hint="eastAsia"/>
                      <w:color w:val="auto"/>
                      <w:szCs w:val="21"/>
                      <w:highlight w:val="none"/>
                      <w:lang w:val="en-US" w:eastAsia="zh-CN"/>
                    </w:rPr>
                    <w:t>0</w:t>
                  </w:r>
                </w:p>
              </w:tc>
            </w:tr>
            <w:tr w14:paraId="35E7FA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317" w:type="pct"/>
                  <w:vMerge w:val="continue"/>
                  <w:vAlign w:val="center"/>
                </w:tcPr>
                <w:p w14:paraId="0962C807">
                  <w:pPr>
                    <w:keepNext w:val="0"/>
                    <w:keepLines w:val="0"/>
                    <w:suppressLineNumbers w:val="0"/>
                    <w:spacing w:before="0" w:beforeAutospacing="0" w:after="0" w:afterAutospacing="0"/>
                    <w:ind w:left="0" w:right="0"/>
                    <w:jc w:val="center"/>
                    <w:rPr>
                      <w:color w:val="auto"/>
                      <w:szCs w:val="21"/>
                      <w:highlight w:val="none"/>
                    </w:rPr>
                  </w:pPr>
                </w:p>
              </w:tc>
              <w:tc>
                <w:tcPr>
                  <w:tcW w:w="696" w:type="pct"/>
                  <w:vAlign w:val="center"/>
                </w:tcPr>
                <w:p w14:paraId="7976874A">
                  <w:pPr>
                    <w:pStyle w:val="66"/>
                    <w:keepNext w:val="0"/>
                    <w:keepLines w:val="0"/>
                    <w:suppressLineNumbers w:val="0"/>
                    <w:spacing w:before="0" w:beforeAutospacing="0" w:after="0" w:afterAutospacing="0"/>
                    <w:ind w:left="0" w:right="0"/>
                    <w:jc w:val="center"/>
                    <w:rPr>
                      <w:color w:val="auto"/>
                      <w:szCs w:val="21"/>
                      <w:highlight w:val="none"/>
                    </w:rPr>
                  </w:pPr>
                  <w:r>
                    <w:rPr>
                      <w:rFonts w:hint="eastAsia"/>
                      <w:color w:val="auto"/>
                      <w:szCs w:val="21"/>
                      <w:highlight w:val="none"/>
                    </w:rPr>
                    <w:t>环境管理</w:t>
                  </w:r>
                </w:p>
              </w:tc>
              <w:tc>
                <w:tcPr>
                  <w:tcW w:w="3271" w:type="pct"/>
                  <w:vAlign w:val="center"/>
                </w:tcPr>
                <w:p w14:paraId="379FB8F0">
                  <w:pPr>
                    <w:keepNext w:val="0"/>
                    <w:keepLines w:val="0"/>
                    <w:suppressLineNumbers w:val="0"/>
                    <w:spacing w:before="0" w:beforeAutospacing="0" w:after="0" w:afterAutospacing="0"/>
                    <w:ind w:left="0" w:right="0"/>
                    <w:jc w:val="left"/>
                    <w:rPr>
                      <w:color w:val="auto"/>
                      <w:szCs w:val="21"/>
                      <w:highlight w:val="none"/>
                    </w:rPr>
                  </w:pPr>
                  <w:r>
                    <w:rPr>
                      <w:rFonts w:hint="eastAsia"/>
                      <w:color w:val="auto"/>
                      <w:szCs w:val="21"/>
                      <w:highlight w:val="none"/>
                    </w:rPr>
                    <w:t>废气、废水、噪声等例行监测，排放口标识</w:t>
                  </w:r>
                </w:p>
              </w:tc>
              <w:tc>
                <w:tcPr>
                  <w:tcW w:w="714" w:type="pct"/>
                  <w:vAlign w:val="center"/>
                </w:tcPr>
                <w:p w14:paraId="65501DC3">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0.5</w:t>
                  </w:r>
                </w:p>
              </w:tc>
            </w:tr>
            <w:tr w14:paraId="6A899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4285" w:type="pct"/>
                  <w:gridSpan w:val="3"/>
                  <w:vAlign w:val="center"/>
                </w:tcPr>
                <w:p w14:paraId="78AA672B">
                  <w:pPr>
                    <w:keepNext w:val="0"/>
                    <w:keepLines w:val="0"/>
                    <w:suppressLineNumbers w:val="0"/>
                    <w:spacing w:before="0" w:beforeAutospacing="0" w:after="0" w:afterAutospacing="0"/>
                    <w:ind w:left="0" w:right="0" w:firstLine="210" w:firstLineChars="100"/>
                    <w:jc w:val="center"/>
                    <w:rPr>
                      <w:color w:val="auto"/>
                      <w:szCs w:val="21"/>
                      <w:highlight w:val="none"/>
                    </w:rPr>
                  </w:pPr>
                  <w:r>
                    <w:rPr>
                      <w:color w:val="auto"/>
                      <w:szCs w:val="21"/>
                      <w:highlight w:val="none"/>
                    </w:rPr>
                    <w:t>合计</w:t>
                  </w:r>
                </w:p>
              </w:tc>
              <w:tc>
                <w:tcPr>
                  <w:tcW w:w="714" w:type="pct"/>
                  <w:vAlign w:val="center"/>
                </w:tcPr>
                <w:p w14:paraId="0FFED97E">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52.5</w:t>
                  </w:r>
                </w:p>
              </w:tc>
            </w:tr>
          </w:tbl>
          <w:p w14:paraId="3DB66B06">
            <w:pPr>
              <w:keepNext w:val="0"/>
              <w:keepLines w:val="0"/>
              <w:suppressLineNumbers w:val="0"/>
              <w:spacing w:before="0" w:beforeAutospacing="0" w:after="0" w:afterAutospacing="0" w:line="360" w:lineRule="auto"/>
              <w:ind w:left="0" w:right="0" w:firstLine="480" w:firstLineChars="200"/>
              <w:jc w:val="center"/>
              <w:rPr>
                <w:color w:val="auto"/>
                <w:sz w:val="24"/>
                <w:highlight w:val="none"/>
              </w:rPr>
            </w:pPr>
          </w:p>
          <w:p w14:paraId="09BE0690">
            <w:pPr>
              <w:keepNext w:val="0"/>
              <w:keepLines w:val="0"/>
              <w:suppressLineNumbers w:val="0"/>
              <w:spacing w:before="0" w:beforeAutospacing="0" w:after="0" w:afterAutospacing="0" w:line="360" w:lineRule="auto"/>
              <w:ind w:left="0" w:right="0" w:firstLine="480" w:firstLineChars="200"/>
              <w:jc w:val="center"/>
              <w:rPr>
                <w:color w:val="auto"/>
                <w:sz w:val="24"/>
                <w:highlight w:val="none"/>
              </w:rPr>
            </w:pPr>
          </w:p>
          <w:p w14:paraId="2D68A484">
            <w:pPr>
              <w:pStyle w:val="18"/>
              <w:keepNext w:val="0"/>
              <w:keepLines w:val="0"/>
              <w:suppressLineNumbers w:val="0"/>
              <w:spacing w:before="0" w:beforeAutospacing="0" w:after="0" w:afterAutospacing="0"/>
              <w:ind w:left="0" w:right="0"/>
              <w:rPr>
                <w:color w:val="auto"/>
                <w:sz w:val="24"/>
                <w:highlight w:val="none"/>
              </w:rPr>
            </w:pPr>
          </w:p>
          <w:p w14:paraId="4EAE9153">
            <w:pPr>
              <w:keepNext w:val="0"/>
              <w:keepLines w:val="0"/>
              <w:suppressLineNumbers w:val="0"/>
              <w:spacing w:before="0" w:beforeAutospacing="0" w:after="0" w:afterAutospacing="0"/>
              <w:ind w:left="0" w:right="0"/>
              <w:rPr>
                <w:color w:val="auto"/>
                <w:sz w:val="24"/>
                <w:highlight w:val="none"/>
              </w:rPr>
            </w:pPr>
          </w:p>
          <w:p w14:paraId="450C63A6">
            <w:pPr>
              <w:keepNext w:val="0"/>
              <w:keepLines w:val="0"/>
              <w:suppressLineNumbers w:val="0"/>
              <w:spacing w:before="0" w:beforeAutospacing="0" w:after="0" w:afterAutospacing="0" w:line="360" w:lineRule="auto"/>
              <w:ind w:left="0" w:right="0"/>
              <w:rPr>
                <w:color w:val="auto"/>
                <w:highlight w:val="none"/>
              </w:rPr>
            </w:pPr>
          </w:p>
        </w:tc>
      </w:tr>
    </w:tbl>
    <w:p w14:paraId="5F68B25E">
      <w:pPr>
        <w:pStyle w:val="25"/>
        <w:jc w:val="center"/>
        <w:outlineLvl w:val="0"/>
        <w:rPr>
          <w:rFonts w:ascii="Times New Roman" w:hAnsi="Times New Roman" w:eastAsia="黑体"/>
          <w:snapToGrid w:val="0"/>
          <w:color w:val="auto"/>
          <w:sz w:val="30"/>
          <w:szCs w:val="30"/>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1D9B007C">
      <w:pPr>
        <w:pStyle w:val="25"/>
        <w:jc w:val="center"/>
        <w:outlineLvl w:val="0"/>
        <w:rPr>
          <w:rFonts w:ascii="Times New Roman" w:hAnsi="Times New Roman" w:eastAsia="黑体"/>
          <w:snapToGrid w:val="0"/>
          <w:color w:val="auto"/>
          <w:sz w:val="30"/>
          <w:szCs w:val="30"/>
          <w:highlight w:val="none"/>
        </w:rPr>
      </w:pPr>
      <w:r>
        <w:rPr>
          <w:rFonts w:ascii="Times New Roman" w:hAnsi="Times New Roman" w:eastAsia="黑体"/>
          <w:snapToGrid w:val="0"/>
          <w:color w:val="auto"/>
          <w:sz w:val="30"/>
          <w:szCs w:val="30"/>
          <w:highlight w:val="none"/>
        </w:rPr>
        <w:t>五、</w:t>
      </w:r>
      <w:bookmarkStart w:id="5" w:name="_Hlk54167917"/>
      <w:r>
        <w:rPr>
          <w:rFonts w:ascii="Times New Roman" w:hAnsi="Times New Roman" w:eastAsia="黑体"/>
          <w:snapToGrid w:val="0"/>
          <w:color w:val="auto"/>
          <w:sz w:val="30"/>
          <w:szCs w:val="30"/>
          <w:highlight w:val="none"/>
        </w:rPr>
        <w:t>环境保护措施监督检查清单</w:t>
      </w:r>
      <w:bookmarkEnd w:id="5"/>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528"/>
        <w:gridCol w:w="1289"/>
        <w:gridCol w:w="2393"/>
        <w:gridCol w:w="1812"/>
      </w:tblGrid>
      <w:tr w14:paraId="52B2C8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tcPr>
          <w:p w14:paraId="7711859E">
            <w:pPr>
              <w:keepNext w:val="0"/>
              <w:keepLines w:val="0"/>
              <w:suppressLineNumbers w:val="0"/>
              <w:adjustRightInd w:val="0"/>
              <w:snapToGrid w:val="0"/>
              <w:spacing w:before="0" w:beforeAutospacing="0" w:after="0" w:afterAutospacing="0"/>
              <w:ind w:left="0" w:right="0" w:firstLine="840"/>
              <w:rPr>
                <w:color w:val="auto"/>
                <w:szCs w:val="21"/>
                <w:highlight w:val="none"/>
              </w:rPr>
            </w:pPr>
            <w:r>
              <w:rPr>
                <w:color w:val="auto"/>
                <w:szCs w:val="21"/>
                <w:highlight w:val="none"/>
              </w:rPr>
              <w:t>内容</w:t>
            </w:r>
          </w:p>
          <w:p w14:paraId="6FAEBE98">
            <w:pPr>
              <w:keepNext w:val="0"/>
              <w:keepLines w:val="0"/>
              <w:suppressLineNumbers w:val="0"/>
              <w:adjustRightInd w:val="0"/>
              <w:snapToGrid w:val="0"/>
              <w:spacing w:before="0" w:beforeAutospacing="0" w:after="0" w:afterAutospacing="0"/>
              <w:ind w:left="0" w:right="0"/>
              <w:rPr>
                <w:color w:val="auto"/>
                <w:szCs w:val="21"/>
                <w:highlight w:val="none"/>
              </w:rPr>
            </w:pPr>
            <w:r>
              <w:rPr>
                <w:color w:val="auto"/>
                <w:szCs w:val="21"/>
                <w:highlight w:val="none"/>
              </w:rPr>
              <w:t>要素</w:t>
            </w:r>
          </w:p>
        </w:tc>
        <w:tc>
          <w:tcPr>
            <w:tcW w:w="1528" w:type="dxa"/>
            <w:vAlign w:val="center"/>
          </w:tcPr>
          <w:p w14:paraId="726BF0BE">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排放口(编号、</w:t>
            </w:r>
          </w:p>
          <w:p w14:paraId="04C9C4C7">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名称)/污染源</w:t>
            </w:r>
          </w:p>
        </w:tc>
        <w:tc>
          <w:tcPr>
            <w:tcW w:w="1289" w:type="dxa"/>
            <w:vAlign w:val="center"/>
          </w:tcPr>
          <w:p w14:paraId="1FAA95ED">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污染物项目</w:t>
            </w:r>
          </w:p>
        </w:tc>
        <w:tc>
          <w:tcPr>
            <w:tcW w:w="2393" w:type="dxa"/>
            <w:vAlign w:val="center"/>
          </w:tcPr>
          <w:p w14:paraId="3DD85411">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环境保护措施</w:t>
            </w:r>
          </w:p>
        </w:tc>
        <w:tc>
          <w:tcPr>
            <w:tcW w:w="1812" w:type="dxa"/>
            <w:vAlign w:val="center"/>
          </w:tcPr>
          <w:p w14:paraId="46EA3791">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执行标准</w:t>
            </w:r>
          </w:p>
        </w:tc>
      </w:tr>
      <w:tr w14:paraId="4B2D49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025CFEA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大气环境</w:t>
            </w:r>
          </w:p>
        </w:tc>
        <w:tc>
          <w:tcPr>
            <w:tcW w:w="1528" w:type="dxa"/>
            <w:shd w:val="clear" w:color="auto" w:fill="auto"/>
            <w:vAlign w:val="center"/>
          </w:tcPr>
          <w:p w14:paraId="77767ABB">
            <w:pPr>
              <w:keepNext w:val="0"/>
              <w:keepLines w:val="0"/>
              <w:suppressLineNumbers w:val="0"/>
              <w:tabs>
                <w:tab w:val="left" w:pos="3000"/>
              </w:tabs>
              <w:spacing w:before="0" w:beforeAutospacing="0" w:after="0" w:afterAutospacing="0"/>
              <w:ind w:left="0" w:leftChars="0" w:right="0" w:rightChars="0"/>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无组织</w:t>
            </w:r>
          </w:p>
        </w:tc>
        <w:tc>
          <w:tcPr>
            <w:tcW w:w="1289" w:type="dxa"/>
            <w:shd w:val="clear" w:color="auto" w:fill="auto"/>
            <w:vAlign w:val="center"/>
          </w:tcPr>
          <w:p w14:paraId="4CED0181">
            <w:pPr>
              <w:keepNext w:val="0"/>
              <w:keepLines w:val="0"/>
              <w:suppressLineNumbers w:val="0"/>
              <w:autoSpaceDE w:val="0"/>
              <w:autoSpaceDN w:val="0"/>
              <w:adjustRightIn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非甲烷总烃</w:t>
            </w:r>
          </w:p>
        </w:tc>
        <w:tc>
          <w:tcPr>
            <w:tcW w:w="2393" w:type="dxa"/>
            <w:shd w:val="clear" w:color="auto" w:fill="auto"/>
            <w:vAlign w:val="center"/>
          </w:tcPr>
          <w:p w14:paraId="6BC37575">
            <w:pPr>
              <w:keepNext w:val="0"/>
              <w:keepLines w:val="0"/>
              <w:suppressLineNumbers w:val="0"/>
              <w:autoSpaceDE w:val="0"/>
              <w:autoSpaceDN w:val="0"/>
              <w:adjustRightIn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涉VOCs物料</w:t>
            </w:r>
            <w:r>
              <w:rPr>
                <w:rFonts w:hint="eastAsia" w:ascii="Times New Roman" w:hAnsi="Times New Roman" w:eastAsia="宋体" w:cs="Times New Roman"/>
                <w:color w:val="auto"/>
                <w:kern w:val="2"/>
                <w:sz w:val="21"/>
                <w:szCs w:val="21"/>
                <w:highlight w:val="none"/>
                <w:lang w:val="en-US" w:eastAsia="zh-CN" w:bidi="ar-SA"/>
              </w:rPr>
              <w:t>源头管控</w:t>
            </w:r>
          </w:p>
          <w:p w14:paraId="2FBC885A">
            <w:pPr>
              <w:keepNext w:val="0"/>
              <w:keepLines w:val="0"/>
              <w:suppressLineNumbers w:val="0"/>
              <w:autoSpaceDE w:val="0"/>
              <w:autoSpaceDN w:val="0"/>
              <w:adjustRightInd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kern w:val="2"/>
                <w:sz w:val="21"/>
                <w:szCs w:val="21"/>
                <w:highlight w:val="none"/>
                <w:lang w:val="en-US" w:eastAsia="zh-CN" w:bidi="ar-SA"/>
              </w:rPr>
              <w:t>生产工序位于</w:t>
            </w:r>
            <w:r>
              <w:rPr>
                <w:rFonts w:hint="eastAsia" w:ascii="Times New Roman" w:hAnsi="Times New Roman" w:eastAsia="宋体" w:cs="Times New Roman"/>
                <w:color w:val="auto"/>
                <w:kern w:val="2"/>
                <w:sz w:val="21"/>
                <w:szCs w:val="21"/>
                <w:highlight w:val="none"/>
                <w:lang w:val="en-US" w:eastAsia="zh-CN" w:bidi="ar-SA"/>
              </w:rPr>
              <w:t>密闭</w:t>
            </w:r>
            <w:r>
              <w:rPr>
                <w:rFonts w:hint="eastAsia" w:eastAsia="宋体" w:cs="Times New Roman"/>
                <w:color w:val="auto"/>
                <w:kern w:val="2"/>
                <w:sz w:val="21"/>
                <w:szCs w:val="21"/>
                <w:highlight w:val="none"/>
                <w:lang w:val="en-US" w:eastAsia="zh-CN" w:bidi="ar-SA"/>
              </w:rPr>
              <w:t>车间</w:t>
            </w:r>
          </w:p>
        </w:tc>
        <w:tc>
          <w:tcPr>
            <w:tcW w:w="1812" w:type="dxa"/>
            <w:shd w:val="clear" w:color="auto" w:fill="auto"/>
            <w:vAlign w:val="center"/>
          </w:tcPr>
          <w:p w14:paraId="2F9906E6">
            <w:pPr>
              <w:pStyle w:val="57"/>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highlight w:val="none"/>
                <w:lang w:val="en-US" w:eastAsia="zh-CN"/>
              </w:rPr>
              <w:t>厂界执行</w:t>
            </w:r>
            <w:r>
              <w:rPr>
                <w:rFonts w:hint="eastAsia"/>
                <w:color w:val="auto"/>
                <w:highlight w:val="none"/>
              </w:rPr>
              <w:t>《大气污染物综合排放标准》（GB16297-1996）</w:t>
            </w:r>
            <w:r>
              <w:rPr>
                <w:rFonts w:hint="eastAsia"/>
                <w:color w:val="auto"/>
                <w:highlight w:val="none"/>
                <w:lang w:val="en-US" w:eastAsia="zh-CN"/>
              </w:rPr>
              <w:t>表2；生产车间外执行《挥发性有机物无组织排放控制标准》（GB37822-2019）表A.1 标准</w:t>
            </w:r>
          </w:p>
        </w:tc>
      </w:tr>
      <w:tr w14:paraId="285906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0D161C84">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地表水环境</w:t>
            </w:r>
          </w:p>
        </w:tc>
        <w:tc>
          <w:tcPr>
            <w:tcW w:w="1528" w:type="dxa"/>
            <w:vAlign w:val="center"/>
          </w:tcPr>
          <w:p w14:paraId="06B81C5F">
            <w:pPr>
              <w:keepNext w:val="0"/>
              <w:keepLines w:val="0"/>
              <w:suppressLineNumbers w:val="0"/>
              <w:adjustRightInd w:val="0"/>
              <w:snapToGrid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蒸汽凝结水</w:t>
            </w:r>
          </w:p>
        </w:tc>
        <w:tc>
          <w:tcPr>
            <w:tcW w:w="1289" w:type="dxa"/>
            <w:vAlign w:val="center"/>
          </w:tcPr>
          <w:p w14:paraId="40553CE8">
            <w:pPr>
              <w:keepNext w:val="0"/>
              <w:keepLines w:val="0"/>
              <w:suppressLineNumbers w:val="0"/>
              <w:adjustRightInd w:val="0"/>
              <w:snapToGrid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2393" w:type="dxa"/>
            <w:vAlign w:val="center"/>
          </w:tcPr>
          <w:p w14:paraId="6E7A7098">
            <w:pPr>
              <w:keepNext w:val="0"/>
              <w:keepLines w:val="0"/>
              <w:suppressLineNumbers w:val="0"/>
              <w:spacing w:before="0" w:beforeAutospacing="0" w:after="0" w:afterAutospacing="0"/>
              <w:ind w:left="0" w:right="0"/>
              <w:jc w:val="center"/>
              <w:rPr>
                <w:rFonts w:hint="default" w:eastAsia="宋体"/>
                <w:color w:val="auto"/>
                <w:szCs w:val="21"/>
                <w:highlight w:val="none"/>
                <w:lang w:val="en-US" w:eastAsia="zh-CN"/>
              </w:rPr>
            </w:pPr>
            <w:r>
              <w:rPr>
                <w:rFonts w:hint="eastAsia"/>
                <w:color w:val="auto"/>
                <w:szCs w:val="21"/>
                <w:highlight w:val="none"/>
                <w:lang w:val="en-US" w:eastAsia="zh-CN"/>
              </w:rPr>
              <w:t>回用于地面清洗用水，地面清洗废水经污水总排口排入东泽污水处理厂</w:t>
            </w:r>
          </w:p>
        </w:tc>
        <w:tc>
          <w:tcPr>
            <w:tcW w:w="1812" w:type="dxa"/>
            <w:vAlign w:val="center"/>
          </w:tcPr>
          <w:p w14:paraId="75736EC6">
            <w:pPr>
              <w:keepNext w:val="0"/>
              <w:keepLines w:val="0"/>
              <w:suppressLineNumbers w:val="0"/>
              <w:spacing w:before="0" w:beforeAutospacing="0" w:after="0" w:afterAutospacing="0"/>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《辽宁省污水综合排放标准》（DB21/1627-2008）及《石油化学工业污染物排放标准》（GB31571-2015）（含2024年修改单）</w:t>
            </w:r>
          </w:p>
        </w:tc>
      </w:tr>
      <w:tr w14:paraId="6B5661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2A53FE2B">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声环境</w:t>
            </w:r>
          </w:p>
        </w:tc>
        <w:tc>
          <w:tcPr>
            <w:tcW w:w="1528" w:type="dxa"/>
            <w:vAlign w:val="center"/>
          </w:tcPr>
          <w:p w14:paraId="2D6F2CE9">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生产设备</w:t>
            </w:r>
          </w:p>
        </w:tc>
        <w:tc>
          <w:tcPr>
            <w:tcW w:w="1289" w:type="dxa"/>
            <w:vAlign w:val="center"/>
          </w:tcPr>
          <w:p w14:paraId="32438B96">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等效A声级</w:t>
            </w:r>
          </w:p>
        </w:tc>
        <w:tc>
          <w:tcPr>
            <w:tcW w:w="2393" w:type="dxa"/>
            <w:vAlign w:val="center"/>
          </w:tcPr>
          <w:p w14:paraId="28DF8987">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低噪声设备、基础减振、建筑物隔声</w:t>
            </w:r>
          </w:p>
        </w:tc>
        <w:tc>
          <w:tcPr>
            <w:tcW w:w="1812" w:type="dxa"/>
            <w:vAlign w:val="center"/>
          </w:tcPr>
          <w:p w14:paraId="282E576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《工业企业厂界环境噪声排放标准》（GB12348-2008）3类标准昼间&lt;65dB（A）夜间&lt;55dB（A）</w:t>
            </w:r>
          </w:p>
        </w:tc>
      </w:tr>
      <w:tr w14:paraId="1F8B3D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3390F2D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电磁辐射</w:t>
            </w:r>
          </w:p>
        </w:tc>
        <w:tc>
          <w:tcPr>
            <w:tcW w:w="1528" w:type="dxa"/>
            <w:vAlign w:val="center"/>
          </w:tcPr>
          <w:p w14:paraId="76B4AC25">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w:t>
            </w:r>
          </w:p>
        </w:tc>
        <w:tc>
          <w:tcPr>
            <w:tcW w:w="1289" w:type="dxa"/>
            <w:vAlign w:val="center"/>
          </w:tcPr>
          <w:p w14:paraId="5DF62AE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w:t>
            </w:r>
          </w:p>
        </w:tc>
        <w:tc>
          <w:tcPr>
            <w:tcW w:w="2393" w:type="dxa"/>
            <w:vAlign w:val="center"/>
          </w:tcPr>
          <w:p w14:paraId="3959A99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w:t>
            </w:r>
          </w:p>
        </w:tc>
        <w:tc>
          <w:tcPr>
            <w:tcW w:w="1812" w:type="dxa"/>
            <w:vAlign w:val="center"/>
          </w:tcPr>
          <w:p w14:paraId="7B23F23F">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w:t>
            </w:r>
          </w:p>
        </w:tc>
      </w:tr>
      <w:tr w14:paraId="614CD6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vAlign w:val="center"/>
          </w:tcPr>
          <w:p w14:paraId="3D29BB03">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固体废物</w:t>
            </w:r>
          </w:p>
        </w:tc>
        <w:tc>
          <w:tcPr>
            <w:tcW w:w="7022" w:type="dxa"/>
            <w:gridSpan w:val="4"/>
            <w:vAlign w:val="center"/>
          </w:tcPr>
          <w:p w14:paraId="0B9F35CB">
            <w:pPr>
              <w:pStyle w:val="18"/>
              <w:keepNext w:val="0"/>
              <w:keepLines w:val="0"/>
              <w:suppressLineNumbers w:val="0"/>
              <w:spacing w:before="0" w:beforeAutospacing="0" w:after="0" w:afterAutospacing="0" w:line="240" w:lineRule="auto"/>
              <w:ind w:left="0" w:right="0" w:firstLine="420" w:firstLineChars="200"/>
              <w:jc w:val="left"/>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落地石蜡集中收集后出售、综合利用。</w:t>
            </w:r>
          </w:p>
          <w:p w14:paraId="1F4AAED8">
            <w:pPr>
              <w:pStyle w:val="18"/>
              <w:keepNext w:val="0"/>
              <w:keepLines w:val="0"/>
              <w:suppressLineNumbers w:val="0"/>
              <w:spacing w:before="0" w:beforeAutospacing="0" w:after="0" w:afterAutospacing="0" w:line="240" w:lineRule="auto"/>
              <w:ind w:left="0" w:right="0" w:firstLine="420" w:firstLineChars="200"/>
              <w:jc w:val="left"/>
              <w:rPr>
                <w:color w:val="auto"/>
                <w:szCs w:val="21"/>
                <w:highlight w:val="none"/>
              </w:rPr>
            </w:pPr>
            <w:r>
              <w:rPr>
                <w:color w:val="auto"/>
                <w:kern w:val="0"/>
                <w:sz w:val="21"/>
                <w:szCs w:val="21"/>
                <w:highlight w:val="none"/>
              </w:rPr>
              <w:t>本项目</w:t>
            </w:r>
            <w:r>
              <w:rPr>
                <w:rFonts w:hint="eastAsia"/>
                <w:color w:val="auto"/>
                <w:kern w:val="0"/>
                <w:sz w:val="21"/>
                <w:szCs w:val="21"/>
                <w:highlight w:val="none"/>
                <w:lang w:val="en-US" w:eastAsia="zh-CN"/>
              </w:rPr>
              <w:t>过滤杂质、废过滤网</w:t>
            </w:r>
            <w:r>
              <w:rPr>
                <w:rFonts w:hint="eastAsia"/>
                <w:smallCaps/>
                <w:color w:val="auto"/>
                <w:sz w:val="21"/>
                <w:szCs w:val="21"/>
                <w:highlight w:val="none"/>
              </w:rPr>
              <w:t>等危险废物</w:t>
            </w:r>
            <w:r>
              <w:rPr>
                <w:color w:val="auto"/>
                <w:kern w:val="0"/>
                <w:sz w:val="21"/>
                <w:szCs w:val="21"/>
                <w:highlight w:val="none"/>
              </w:rPr>
              <w:t>暂存于1座占地面积</w:t>
            </w:r>
            <w:r>
              <w:rPr>
                <w:rFonts w:hint="eastAsia"/>
                <w:color w:val="auto"/>
                <w:kern w:val="0"/>
                <w:sz w:val="21"/>
                <w:szCs w:val="21"/>
                <w:highlight w:val="none"/>
                <w:lang w:val="en-US" w:eastAsia="zh-CN"/>
              </w:rPr>
              <w:t>2</w:t>
            </w:r>
            <w:r>
              <w:rPr>
                <w:color w:val="auto"/>
                <w:kern w:val="0"/>
                <w:sz w:val="21"/>
                <w:szCs w:val="21"/>
                <w:highlight w:val="none"/>
              </w:rPr>
              <w:t>m</w:t>
            </w:r>
            <w:r>
              <w:rPr>
                <w:color w:val="auto"/>
                <w:kern w:val="0"/>
                <w:sz w:val="21"/>
                <w:szCs w:val="21"/>
                <w:highlight w:val="none"/>
                <w:vertAlign w:val="superscript"/>
              </w:rPr>
              <w:t>2</w:t>
            </w:r>
            <w:r>
              <w:rPr>
                <w:rFonts w:hint="eastAsia"/>
                <w:color w:val="auto"/>
                <w:kern w:val="0"/>
                <w:sz w:val="21"/>
                <w:szCs w:val="21"/>
                <w:highlight w:val="none"/>
              </w:rPr>
              <w:t>（防渗系数≤10</w:t>
            </w:r>
            <w:r>
              <w:rPr>
                <w:rFonts w:hint="eastAsia"/>
                <w:color w:val="auto"/>
                <w:kern w:val="0"/>
                <w:sz w:val="21"/>
                <w:szCs w:val="21"/>
                <w:highlight w:val="none"/>
                <w:vertAlign w:val="superscript"/>
              </w:rPr>
              <w:t>-10</w:t>
            </w:r>
            <w:r>
              <w:rPr>
                <w:rFonts w:hint="eastAsia"/>
                <w:color w:val="auto"/>
                <w:kern w:val="0"/>
                <w:sz w:val="21"/>
                <w:szCs w:val="21"/>
                <w:highlight w:val="none"/>
              </w:rPr>
              <w:t>cm/s）</w:t>
            </w:r>
            <w:r>
              <w:rPr>
                <w:rFonts w:hint="eastAsia"/>
                <w:color w:val="auto"/>
                <w:kern w:val="0"/>
                <w:sz w:val="21"/>
                <w:szCs w:val="21"/>
                <w:highlight w:val="none"/>
                <w:lang w:eastAsia="zh-CN"/>
              </w:rPr>
              <w:t>（</w:t>
            </w:r>
            <w:r>
              <w:rPr>
                <w:rFonts w:hint="eastAsia"/>
                <w:color w:val="auto"/>
                <w:kern w:val="0"/>
                <w:sz w:val="21"/>
                <w:szCs w:val="21"/>
                <w:highlight w:val="none"/>
                <w:lang w:val="en-US" w:eastAsia="zh-CN"/>
              </w:rPr>
              <w:t>位于厂区南侧，依托现有</w:t>
            </w:r>
            <w:r>
              <w:rPr>
                <w:rFonts w:hint="eastAsia"/>
                <w:color w:val="auto"/>
                <w:kern w:val="0"/>
                <w:sz w:val="21"/>
                <w:szCs w:val="21"/>
                <w:highlight w:val="none"/>
                <w:lang w:eastAsia="zh-CN"/>
              </w:rPr>
              <w:t>）</w:t>
            </w:r>
            <w:r>
              <w:rPr>
                <w:color w:val="auto"/>
                <w:kern w:val="0"/>
                <w:sz w:val="21"/>
                <w:szCs w:val="21"/>
                <w:highlight w:val="none"/>
              </w:rPr>
              <w:t>，交有资质单位处理。</w:t>
            </w:r>
          </w:p>
        </w:tc>
      </w:tr>
      <w:tr w14:paraId="34127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778" w:type="dxa"/>
            <w:vAlign w:val="center"/>
          </w:tcPr>
          <w:p w14:paraId="54B3E921">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土壤及地下水</w:t>
            </w:r>
          </w:p>
          <w:p w14:paraId="4637568B">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污染防治措施</w:t>
            </w:r>
          </w:p>
        </w:tc>
        <w:tc>
          <w:tcPr>
            <w:tcW w:w="7022" w:type="dxa"/>
            <w:gridSpan w:val="4"/>
            <w:vAlign w:val="center"/>
          </w:tcPr>
          <w:p w14:paraId="5B8A7C4F">
            <w:pPr>
              <w:keepNext w:val="0"/>
              <w:keepLines w:val="0"/>
              <w:suppressLineNumbers w:val="0"/>
              <w:autoSpaceDE w:val="0"/>
              <w:autoSpaceDN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lang w:val="en-US" w:eastAsia="zh-CN"/>
              </w:rPr>
              <w:t>生产</w:t>
            </w:r>
            <w:r>
              <w:rPr>
                <w:rFonts w:hint="eastAsia"/>
                <w:color w:val="auto"/>
                <w:szCs w:val="21"/>
                <w:highlight w:val="none"/>
              </w:rPr>
              <w:t>车间</w:t>
            </w:r>
            <w:r>
              <w:rPr>
                <w:rFonts w:hint="eastAsia"/>
                <w:color w:val="auto"/>
                <w:szCs w:val="21"/>
                <w:highlight w:val="none"/>
                <w:lang w:eastAsia="zh-CN"/>
              </w:rPr>
              <w:t>、</w:t>
            </w:r>
            <w:r>
              <w:rPr>
                <w:rFonts w:hint="eastAsia"/>
                <w:color w:val="auto"/>
                <w:szCs w:val="21"/>
                <w:highlight w:val="none"/>
                <w:lang w:val="en-US" w:eastAsia="zh-CN"/>
              </w:rPr>
              <w:t>罐区C（11座有效容积23m</w:t>
            </w:r>
            <w:r>
              <w:rPr>
                <w:rFonts w:hint="eastAsia"/>
                <w:color w:val="auto"/>
                <w:szCs w:val="21"/>
                <w:highlight w:val="none"/>
                <w:vertAlign w:val="superscript"/>
                <w:lang w:val="en-US" w:eastAsia="zh-CN"/>
              </w:rPr>
              <w:t>3</w:t>
            </w:r>
            <w:r>
              <w:rPr>
                <w:rFonts w:hint="eastAsia"/>
                <w:color w:val="auto"/>
                <w:szCs w:val="21"/>
                <w:highlight w:val="none"/>
                <w:lang w:val="en-US" w:eastAsia="zh-CN"/>
              </w:rPr>
              <w:t>的微晶蜡储罐）</w:t>
            </w:r>
            <w:r>
              <w:rPr>
                <w:rFonts w:hint="eastAsia"/>
                <w:color w:val="auto"/>
                <w:szCs w:val="21"/>
                <w:highlight w:val="none"/>
              </w:rPr>
              <w:t>危废贮存点为重点防渗区，其他区域简单防渗</w:t>
            </w:r>
          </w:p>
        </w:tc>
      </w:tr>
      <w:tr w14:paraId="3FCE48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778" w:type="dxa"/>
            <w:vAlign w:val="center"/>
          </w:tcPr>
          <w:p w14:paraId="2F78C418">
            <w:pPr>
              <w:keepNext w:val="0"/>
              <w:keepLines w:val="0"/>
              <w:suppressLineNumbers w:val="0"/>
              <w:adjustRightInd w:val="0"/>
              <w:snapToGrid w:val="0"/>
              <w:spacing w:before="0" w:beforeAutospacing="0" w:after="0" w:afterAutospacing="0"/>
              <w:ind w:left="0" w:right="0"/>
              <w:jc w:val="center"/>
              <w:rPr>
                <w:color w:val="auto"/>
                <w:szCs w:val="21"/>
                <w:highlight w:val="none"/>
              </w:rPr>
            </w:pPr>
            <w:r>
              <w:rPr>
                <w:color w:val="auto"/>
                <w:szCs w:val="21"/>
                <w:highlight w:val="none"/>
              </w:rPr>
              <w:t>生态保护措施</w:t>
            </w:r>
          </w:p>
        </w:tc>
        <w:tc>
          <w:tcPr>
            <w:tcW w:w="7022" w:type="dxa"/>
            <w:gridSpan w:val="4"/>
            <w:vAlign w:val="center"/>
          </w:tcPr>
          <w:p w14:paraId="350228AA">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本项目运营过程中强化环境绿化建设生态厂区，绿化应见缝插针，注意边角结合部的绿化，采取立体绿化，以起到调节气候、美化环境、防尘、降噪的目的。</w:t>
            </w:r>
          </w:p>
        </w:tc>
      </w:tr>
      <w:tr w14:paraId="40CBB4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778" w:type="dxa"/>
            <w:vAlign w:val="center"/>
          </w:tcPr>
          <w:p w14:paraId="23F1A448">
            <w:pPr>
              <w:keepNext w:val="0"/>
              <w:keepLines w:val="0"/>
              <w:suppressLineNumbers w:val="0"/>
              <w:adjustRightInd w:val="0"/>
              <w:snapToGrid w:val="0"/>
              <w:spacing w:before="0" w:beforeAutospacing="0" w:after="0" w:afterAutospacing="0"/>
              <w:ind w:left="0" w:right="0"/>
              <w:jc w:val="center"/>
              <w:rPr>
                <w:color w:val="auto"/>
                <w:spacing w:val="-8"/>
                <w:szCs w:val="21"/>
                <w:highlight w:val="none"/>
              </w:rPr>
            </w:pPr>
            <w:r>
              <w:rPr>
                <w:color w:val="auto"/>
                <w:spacing w:val="-8"/>
                <w:szCs w:val="21"/>
                <w:highlight w:val="none"/>
              </w:rPr>
              <w:t>环境风险</w:t>
            </w:r>
          </w:p>
          <w:p w14:paraId="60EE36EB">
            <w:pPr>
              <w:keepNext w:val="0"/>
              <w:keepLines w:val="0"/>
              <w:suppressLineNumbers w:val="0"/>
              <w:adjustRightInd w:val="0"/>
              <w:snapToGrid w:val="0"/>
              <w:spacing w:before="0" w:beforeAutospacing="0" w:after="0" w:afterAutospacing="0"/>
              <w:ind w:left="0" w:right="0"/>
              <w:jc w:val="center"/>
              <w:rPr>
                <w:color w:val="auto"/>
                <w:spacing w:val="-8"/>
                <w:szCs w:val="21"/>
                <w:highlight w:val="none"/>
              </w:rPr>
            </w:pPr>
            <w:r>
              <w:rPr>
                <w:color w:val="auto"/>
                <w:spacing w:val="-8"/>
                <w:szCs w:val="21"/>
                <w:highlight w:val="none"/>
              </w:rPr>
              <w:t>防范措施</w:t>
            </w:r>
          </w:p>
        </w:tc>
        <w:tc>
          <w:tcPr>
            <w:tcW w:w="7022" w:type="dxa"/>
            <w:gridSpan w:val="4"/>
            <w:vAlign w:val="center"/>
          </w:tcPr>
          <w:p w14:paraId="135B194C">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（1）建立健全环保管理制度，做好岗位人员的安全技术培训，建立各岗位的责任制度、设备巡回检查制度。</w:t>
            </w:r>
          </w:p>
          <w:p w14:paraId="05AFDEC2">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（2）详细记录原辅料贮存情况，装置等运行中的异常情况、事故排查、应对措施应进行详细记录。</w:t>
            </w:r>
          </w:p>
          <w:p w14:paraId="34D571F9">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（3）定期进行危险位置和设备的检查、始终保持环保装置处于良好的运行状态。</w:t>
            </w:r>
          </w:p>
          <w:p w14:paraId="622FF187">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（4）应配有相应的应急抢救器材、工具、药品等。应急器材设置在明显、取用方便又较安全的地方，做到有定点、定型号、定专人维护管理制度。</w:t>
            </w:r>
          </w:p>
          <w:p w14:paraId="4AEE4272">
            <w:pPr>
              <w:keepNext w:val="0"/>
              <w:keepLines w:val="0"/>
              <w:suppressLineNumbers w:val="0"/>
              <w:adjustRightInd w:val="0"/>
              <w:snapToGrid w:val="0"/>
              <w:spacing w:before="0" w:beforeAutospacing="0" w:after="0" w:afterAutospacing="0"/>
              <w:ind w:left="0" w:right="0" w:firstLine="200"/>
              <w:jc w:val="left"/>
              <w:rPr>
                <w:color w:val="auto"/>
                <w:highlight w:val="none"/>
              </w:rPr>
            </w:pPr>
            <w:r>
              <w:rPr>
                <w:rFonts w:hint="eastAsia"/>
                <w:color w:val="auto"/>
                <w:szCs w:val="21"/>
                <w:highlight w:val="none"/>
              </w:rPr>
              <w:t>（5）1座有效容积约</w:t>
            </w:r>
            <w:r>
              <w:rPr>
                <w:rFonts w:hint="eastAsia"/>
                <w:color w:val="auto"/>
                <w:szCs w:val="21"/>
                <w:highlight w:val="none"/>
                <w:lang w:val="en-US" w:eastAsia="zh-CN"/>
              </w:rPr>
              <w:t>1000</w:t>
            </w:r>
            <w:r>
              <w:rPr>
                <w:rFonts w:hint="eastAsia"/>
                <w:color w:val="auto"/>
                <w:szCs w:val="21"/>
                <w:highlight w:val="none"/>
              </w:rPr>
              <w:t>m</w:t>
            </w:r>
            <w:r>
              <w:rPr>
                <w:rFonts w:hint="eastAsia"/>
                <w:color w:val="auto"/>
                <w:szCs w:val="21"/>
                <w:highlight w:val="none"/>
                <w:vertAlign w:val="superscript"/>
              </w:rPr>
              <w:t>3</w:t>
            </w:r>
            <w:r>
              <w:rPr>
                <w:rFonts w:hint="eastAsia"/>
                <w:color w:val="auto"/>
                <w:szCs w:val="21"/>
                <w:highlight w:val="none"/>
              </w:rPr>
              <w:t>事故池</w:t>
            </w:r>
          </w:p>
        </w:tc>
      </w:tr>
      <w:tr w14:paraId="487CCC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778" w:type="dxa"/>
            <w:vAlign w:val="center"/>
          </w:tcPr>
          <w:p w14:paraId="30689CFB">
            <w:pPr>
              <w:keepNext w:val="0"/>
              <w:keepLines w:val="0"/>
              <w:suppressLineNumbers w:val="0"/>
              <w:adjustRightInd w:val="0"/>
              <w:snapToGrid w:val="0"/>
              <w:spacing w:before="0" w:beforeAutospacing="0" w:after="0" w:afterAutospacing="0"/>
              <w:ind w:left="0" w:right="0"/>
              <w:jc w:val="center"/>
              <w:rPr>
                <w:color w:val="auto"/>
                <w:spacing w:val="-8"/>
                <w:szCs w:val="21"/>
                <w:highlight w:val="none"/>
              </w:rPr>
            </w:pPr>
            <w:r>
              <w:rPr>
                <w:color w:val="auto"/>
                <w:spacing w:val="-8"/>
                <w:szCs w:val="21"/>
                <w:highlight w:val="none"/>
              </w:rPr>
              <w:t>其他环境</w:t>
            </w:r>
          </w:p>
          <w:p w14:paraId="3EC83A99">
            <w:pPr>
              <w:keepNext w:val="0"/>
              <w:keepLines w:val="0"/>
              <w:suppressLineNumbers w:val="0"/>
              <w:adjustRightInd w:val="0"/>
              <w:snapToGrid w:val="0"/>
              <w:spacing w:before="0" w:beforeAutospacing="0" w:after="0" w:afterAutospacing="0"/>
              <w:ind w:left="0" w:right="0"/>
              <w:jc w:val="center"/>
              <w:rPr>
                <w:color w:val="auto"/>
                <w:spacing w:val="-8"/>
                <w:szCs w:val="21"/>
                <w:highlight w:val="none"/>
              </w:rPr>
            </w:pPr>
            <w:r>
              <w:rPr>
                <w:color w:val="auto"/>
                <w:spacing w:val="-8"/>
                <w:szCs w:val="21"/>
                <w:highlight w:val="none"/>
              </w:rPr>
              <w:t>管理要求</w:t>
            </w:r>
          </w:p>
        </w:tc>
        <w:tc>
          <w:tcPr>
            <w:tcW w:w="7022" w:type="dxa"/>
            <w:gridSpan w:val="4"/>
            <w:vAlign w:val="center"/>
          </w:tcPr>
          <w:p w14:paraId="7DE596AC">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建设单位应在实际排污之前申请排污许可。</w:t>
            </w:r>
          </w:p>
          <w:p w14:paraId="284B026E">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“三同时”竣工环保验收</w:t>
            </w:r>
          </w:p>
          <w:p w14:paraId="533CE9E7">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（1）“三同时”验收管理</w:t>
            </w:r>
          </w:p>
          <w:p w14:paraId="51EAD52B">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r>
              <w:rPr>
                <w:rFonts w:hint="eastAsia"/>
                <w:color w:val="auto"/>
                <w:szCs w:val="21"/>
                <w:highlight w:val="none"/>
              </w:rPr>
              <w:t>项目竣工后，建设单位应根据《建设项目竣工环境保护验收暂行办法》（国环规环评〔2017〕4 号）中的相关规定，自主开展环境保护验收工作。如实查验、监测、记载建设项目环境保护设施的建设和调试情况，编制验收监测报告。同时公开相关信息，接受社会监督，确保建设项目需要配套建设的环境保护设施与主体工程同时投产或者使用，并对验收内容、结论和所公开信息的真实性、准确性和完整性负责。</w:t>
            </w:r>
          </w:p>
          <w:p w14:paraId="7062275B">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（2）环境保护验收条件</w:t>
            </w:r>
          </w:p>
          <w:p w14:paraId="4AD46953">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①建设前期环境保护审查、审批手续完备，技术资料与环境保护档案资料齐全；</w:t>
            </w:r>
          </w:p>
          <w:p w14:paraId="1E84DF42">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②环境保护设施及其他措施等已按批准的环境影响报告表的要求建成或者落实，环境保护设施经负荷检测合格，其防治污染能力适应主体工程的需要；</w:t>
            </w:r>
          </w:p>
          <w:p w14:paraId="770C5CE2">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③环境保护设施安装质量符合国家和有关部门颁发的专业工程验收规范、规程和检验评定标准；</w:t>
            </w:r>
          </w:p>
          <w:p w14:paraId="49681717">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④具备环境保护设施正常运转的条件，包括：经培训合格的操作人员、健全的岗位操作规程及相应的规章制度，符合交付使用的其他要求；</w:t>
            </w:r>
          </w:p>
          <w:p w14:paraId="7B858845">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r>
              <w:rPr>
                <w:rFonts w:hint="eastAsia"/>
                <w:color w:val="auto"/>
                <w:szCs w:val="21"/>
                <w:highlight w:val="none"/>
              </w:rPr>
              <w:t>⑤污染物排放符合环境影响报告表和设计文件中提出的标准及核定的污染物排放总量控制指标的要求；</w:t>
            </w:r>
          </w:p>
          <w:p w14:paraId="2F501682">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r>
              <w:rPr>
                <w:rFonts w:hint="eastAsia"/>
                <w:color w:val="auto"/>
                <w:szCs w:val="21"/>
                <w:highlight w:val="none"/>
              </w:rPr>
              <w:t>⑥环境监测项目、点位、机构设置及人员配备，符合环境影响报告表和有关规定的要求。</w:t>
            </w:r>
          </w:p>
          <w:p w14:paraId="0176A0D9">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4C1EE74F">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05D1C59A">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3077B63E">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1A14755E">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3BEB618F">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23043704">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14ED2D50">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5FCDF50A">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37DE475F">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07CDFB18">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65CAEEFB">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54489DA0">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33C4118E">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5D3E3C93">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66E7A996">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18818482">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204E2B18">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5D63DAD4">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1F1523AB">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49D26D8F">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709BFE7F">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5373F9CE">
            <w:pPr>
              <w:keepNext w:val="0"/>
              <w:keepLines w:val="0"/>
              <w:suppressLineNumbers w:val="0"/>
              <w:adjustRightInd w:val="0"/>
              <w:snapToGrid w:val="0"/>
              <w:spacing w:before="0" w:beforeAutospacing="0" w:after="0" w:afterAutospacing="0"/>
              <w:ind w:left="0" w:right="0" w:firstLine="200"/>
              <w:jc w:val="left"/>
              <w:rPr>
                <w:rFonts w:hint="eastAsia"/>
                <w:color w:val="auto"/>
                <w:szCs w:val="21"/>
                <w:highlight w:val="none"/>
              </w:rPr>
            </w:pPr>
          </w:p>
          <w:p w14:paraId="756F6A17">
            <w:pPr>
              <w:keepNext w:val="0"/>
              <w:keepLines w:val="0"/>
              <w:suppressLineNumbers w:val="0"/>
              <w:adjustRightInd w:val="0"/>
              <w:snapToGrid w:val="0"/>
              <w:spacing w:before="0" w:beforeAutospacing="0" w:after="0" w:afterAutospacing="0"/>
              <w:ind w:left="0" w:right="0" w:firstLine="200"/>
              <w:jc w:val="left"/>
              <w:rPr>
                <w:color w:val="auto"/>
                <w:szCs w:val="21"/>
                <w:highlight w:val="none"/>
              </w:rPr>
            </w:pPr>
          </w:p>
        </w:tc>
      </w:tr>
    </w:tbl>
    <w:p w14:paraId="339DED0D">
      <w:pPr>
        <w:pStyle w:val="25"/>
        <w:jc w:val="center"/>
        <w:outlineLvl w:val="0"/>
        <w:rPr>
          <w:rFonts w:ascii="Times New Roman" w:hAnsi="Times New Roman" w:eastAsia="黑体"/>
          <w:snapToGrid w:val="0"/>
          <w:color w:val="auto"/>
          <w:sz w:val="30"/>
          <w:szCs w:val="30"/>
          <w:highlight w:val="none"/>
        </w:rPr>
      </w:pPr>
      <w:r>
        <w:rPr>
          <w:rFonts w:ascii="Times New Roman" w:hAnsi="Times New Roman"/>
          <w:snapToGrid w:val="0"/>
          <w:color w:val="auto"/>
          <w:highlight w:val="none"/>
        </w:rPr>
        <w:br w:type="page"/>
      </w:r>
      <w:r>
        <w:rPr>
          <w:rFonts w:ascii="Times New Roman" w:hAnsi="Times New Roman" w:eastAsia="黑体"/>
          <w:snapToGrid w:val="0"/>
          <w:color w:val="auto"/>
          <w:sz w:val="30"/>
          <w:szCs w:val="30"/>
          <w:highlight w:val="none"/>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A6FC8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3F7875ED">
            <w:pPr>
              <w:keepNext w:val="0"/>
              <w:keepLines w:val="0"/>
              <w:suppressLineNumbers w:val="0"/>
              <w:spacing w:before="0" w:beforeAutospacing="0" w:after="0" w:afterAutospacing="0" w:line="480" w:lineRule="exact"/>
              <w:ind w:left="0" w:right="0" w:firstLine="480" w:firstLineChars="200"/>
              <w:rPr>
                <w:color w:val="auto"/>
                <w:kern w:val="0"/>
                <w:sz w:val="24"/>
                <w:highlight w:val="none"/>
              </w:rPr>
            </w:pPr>
            <w:r>
              <w:rPr>
                <w:color w:val="auto"/>
                <w:kern w:val="0"/>
                <w:sz w:val="24"/>
                <w:highlight w:val="none"/>
              </w:rPr>
              <w:t>综上所述，本项目建设符合国家相关产业政策，选址合理。项目投产后</w:t>
            </w:r>
            <w:r>
              <w:rPr>
                <w:rFonts w:hint="eastAsia"/>
                <w:color w:val="auto"/>
                <w:kern w:val="0"/>
                <w:sz w:val="24"/>
                <w:highlight w:val="none"/>
              </w:rPr>
              <w:t>废气、废水、</w:t>
            </w:r>
            <w:r>
              <w:rPr>
                <w:color w:val="auto"/>
                <w:kern w:val="0"/>
                <w:sz w:val="24"/>
                <w:highlight w:val="none"/>
              </w:rPr>
              <w:t>噪声、固废通过采取污染防治措施可得到有效处置，污染物满足达标排放要求，对周围环境影响较小，不会改变区域环境质量现状。从环保角度分析，项目建设可行。</w:t>
            </w:r>
          </w:p>
          <w:p w14:paraId="331D127B">
            <w:pPr>
              <w:keepNext w:val="0"/>
              <w:keepLines w:val="0"/>
              <w:suppressLineNumbers w:val="0"/>
              <w:spacing w:before="0" w:beforeAutospacing="0" w:after="0" w:afterAutospacing="0" w:line="360" w:lineRule="auto"/>
              <w:ind w:left="0" w:right="0"/>
              <w:rPr>
                <w:color w:val="auto"/>
                <w:sz w:val="24"/>
                <w:highlight w:val="none"/>
              </w:rPr>
            </w:pPr>
          </w:p>
        </w:tc>
      </w:tr>
    </w:tbl>
    <w:p w14:paraId="05B58B59">
      <w:pPr>
        <w:rPr>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E0A1C96">
      <w:pPr>
        <w:pStyle w:val="25"/>
        <w:adjustRightInd w:val="0"/>
        <w:snapToGrid w:val="0"/>
        <w:spacing w:before="0" w:beforeAutospacing="0" w:after="0" w:afterAutospacing="0" w:line="360" w:lineRule="exact"/>
        <w:outlineLvl w:val="0"/>
        <w:rPr>
          <w:rFonts w:ascii="Times New Roman" w:hAnsi="Times New Roman" w:eastAsia="黑体"/>
          <w:snapToGrid w:val="0"/>
          <w:color w:val="auto"/>
          <w:sz w:val="32"/>
          <w:szCs w:val="32"/>
          <w:highlight w:val="none"/>
        </w:rPr>
      </w:pPr>
      <w:r>
        <w:rPr>
          <w:rFonts w:ascii="Times New Roman" w:hAnsi="Times New Roman" w:eastAsia="黑体"/>
          <w:snapToGrid w:val="0"/>
          <w:color w:val="auto"/>
          <w:sz w:val="32"/>
          <w:szCs w:val="32"/>
          <w:highlight w:val="none"/>
        </w:rPr>
        <w:t>附表</w:t>
      </w:r>
    </w:p>
    <w:p w14:paraId="78C9977A">
      <w:pPr>
        <w:pStyle w:val="25"/>
        <w:adjustRightInd w:val="0"/>
        <w:snapToGrid w:val="0"/>
        <w:spacing w:before="0" w:beforeAutospacing="0" w:after="0" w:afterAutospacing="0" w:line="360" w:lineRule="exact"/>
        <w:jc w:val="center"/>
        <w:outlineLvl w:val="0"/>
        <w:rPr>
          <w:rFonts w:ascii="Times New Roman" w:hAnsi="Times New Roman" w:eastAsia="方正小标宋_GBK"/>
          <w:snapToGrid w:val="0"/>
          <w:color w:val="auto"/>
          <w:sz w:val="38"/>
          <w:szCs w:val="38"/>
          <w:highlight w:val="none"/>
        </w:rPr>
      </w:pPr>
      <w:r>
        <w:rPr>
          <w:rFonts w:ascii="Times New Roman" w:hAnsi="Times New Roman" w:eastAsia="方正小标宋_GBK"/>
          <w:snapToGrid w:val="0"/>
          <w:color w:val="auto"/>
          <w:sz w:val="38"/>
          <w:szCs w:val="38"/>
          <w:highlight w:val="none"/>
        </w:rPr>
        <w:t>建设项目污染物排放量汇总表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350"/>
        <w:gridCol w:w="945"/>
        <w:gridCol w:w="1435"/>
        <w:gridCol w:w="1435"/>
        <w:gridCol w:w="1437"/>
        <w:gridCol w:w="1559"/>
        <w:gridCol w:w="1761"/>
        <w:gridCol w:w="1959"/>
        <w:gridCol w:w="826"/>
      </w:tblGrid>
      <w:tr w14:paraId="4CB45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081" w:type="dxa"/>
            <w:tcBorders>
              <w:tl2br w:val="single" w:color="auto" w:sz="4" w:space="0"/>
            </w:tcBorders>
            <w:tcMar>
              <w:left w:w="28" w:type="dxa"/>
              <w:right w:w="28" w:type="dxa"/>
            </w:tcMar>
            <w:vAlign w:val="center"/>
          </w:tcPr>
          <w:p w14:paraId="7C5E5197">
            <w:pPr>
              <w:pStyle w:val="48"/>
              <w:keepNext w:val="0"/>
              <w:keepLines w:val="0"/>
              <w:suppressLineNumbers w:val="0"/>
              <w:spacing w:before="0" w:beforeLines="0" w:beforeAutospacing="0" w:after="0" w:afterLines="0" w:afterAutospacing="0" w:line="240" w:lineRule="auto"/>
              <w:ind w:right="0"/>
              <w:jc w:val="right"/>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项目</w:t>
            </w:r>
          </w:p>
          <w:p w14:paraId="0BA70FE1">
            <w:pPr>
              <w:pStyle w:val="48"/>
              <w:keepNext w:val="0"/>
              <w:keepLines w:val="0"/>
              <w:suppressLineNumbers w:val="0"/>
              <w:spacing w:before="0" w:beforeLines="0" w:beforeAutospacing="0" w:after="0" w:afterLines="0" w:afterAutospacing="0" w:line="240" w:lineRule="auto"/>
              <w:ind w:right="0"/>
              <w:jc w:val="left"/>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分类</w:t>
            </w:r>
          </w:p>
        </w:tc>
        <w:tc>
          <w:tcPr>
            <w:tcW w:w="2295" w:type="dxa"/>
            <w:gridSpan w:val="2"/>
            <w:tcMar>
              <w:left w:w="28" w:type="dxa"/>
              <w:right w:w="28" w:type="dxa"/>
            </w:tcMar>
            <w:vAlign w:val="center"/>
          </w:tcPr>
          <w:p w14:paraId="0C6CA7FE">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污染物名称</w:t>
            </w:r>
          </w:p>
        </w:tc>
        <w:tc>
          <w:tcPr>
            <w:tcW w:w="1435" w:type="dxa"/>
            <w:tcMar>
              <w:left w:w="28" w:type="dxa"/>
              <w:right w:w="28" w:type="dxa"/>
            </w:tcMar>
            <w:vAlign w:val="center"/>
          </w:tcPr>
          <w:p w14:paraId="66E8FC3A">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现有工程</w:t>
            </w:r>
          </w:p>
          <w:p w14:paraId="783C955A">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排放量（固体废物产生量）</w:t>
            </w:r>
            <w:r>
              <w:rPr>
                <w:rFonts w:ascii="Times New Roman" w:eastAsia="黑体"/>
                <w:snapToGrid w:val="0"/>
                <w:color w:val="auto"/>
                <w:spacing w:val="-6"/>
                <w:kern w:val="21"/>
                <w:szCs w:val="21"/>
                <w:highlight w:val="none"/>
              </w:rPr>
              <w:fldChar w:fldCharType="begin"/>
            </w:r>
            <w:r>
              <w:rPr>
                <w:rFonts w:ascii="Times New Roman" w:eastAsia="黑体"/>
                <w:snapToGrid w:val="0"/>
                <w:color w:val="auto"/>
                <w:spacing w:val="-6"/>
                <w:kern w:val="21"/>
                <w:szCs w:val="21"/>
                <w:highlight w:val="none"/>
              </w:rPr>
              <w:instrText xml:space="preserve"> = 1 \* GB3 \* MERGEFORMAT </w:instrText>
            </w:r>
            <w:r>
              <w:rPr>
                <w:rFonts w:ascii="Times New Roman" w:eastAsia="黑体"/>
                <w:snapToGrid w:val="0"/>
                <w:color w:val="auto"/>
                <w:spacing w:val="-6"/>
                <w:kern w:val="21"/>
                <w:szCs w:val="21"/>
                <w:highlight w:val="none"/>
              </w:rPr>
              <w:fldChar w:fldCharType="separate"/>
            </w:r>
            <w:r>
              <w:rPr>
                <w:rFonts w:ascii="Times New Roman" w:eastAsia="黑体"/>
                <w:color w:val="auto"/>
                <w:kern w:val="2"/>
                <w:szCs w:val="21"/>
                <w:highlight w:val="none"/>
              </w:rPr>
              <w:t>①</w:t>
            </w:r>
            <w:r>
              <w:rPr>
                <w:rFonts w:ascii="Times New Roman" w:eastAsia="黑体"/>
                <w:snapToGrid w:val="0"/>
                <w:color w:val="auto"/>
                <w:spacing w:val="-6"/>
                <w:kern w:val="21"/>
                <w:szCs w:val="21"/>
                <w:highlight w:val="none"/>
              </w:rPr>
              <w:fldChar w:fldCharType="end"/>
            </w:r>
          </w:p>
        </w:tc>
        <w:tc>
          <w:tcPr>
            <w:tcW w:w="1435" w:type="dxa"/>
            <w:tcMar>
              <w:left w:w="28" w:type="dxa"/>
              <w:right w:w="28" w:type="dxa"/>
            </w:tcMar>
            <w:vAlign w:val="center"/>
          </w:tcPr>
          <w:p w14:paraId="1D30424B">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现有工程</w:t>
            </w:r>
          </w:p>
          <w:p w14:paraId="2CFEE16A">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许可排放量</w:t>
            </w:r>
          </w:p>
          <w:p w14:paraId="22FE263A">
            <w:pPr>
              <w:pStyle w:val="48"/>
              <w:keepNext w:val="0"/>
              <w:keepLines w:val="0"/>
              <w:suppressLineNumbers w:val="0"/>
              <w:spacing w:before="0" w:beforeLines="0" w:beforeAutospacing="0" w:after="0" w:afterLines="0" w:afterAutospacing="0"/>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fldChar w:fldCharType="begin"/>
            </w:r>
            <w:r>
              <w:rPr>
                <w:rFonts w:ascii="Times New Roman" w:eastAsia="黑体"/>
                <w:snapToGrid w:val="0"/>
                <w:color w:val="auto"/>
                <w:spacing w:val="-6"/>
                <w:kern w:val="21"/>
                <w:szCs w:val="21"/>
                <w:highlight w:val="none"/>
              </w:rPr>
              <w:instrText xml:space="preserve"> = 2 \* GB3 \* MERGEFORMAT </w:instrText>
            </w:r>
            <w:r>
              <w:rPr>
                <w:rFonts w:ascii="Times New Roman" w:eastAsia="黑体"/>
                <w:snapToGrid w:val="0"/>
                <w:color w:val="auto"/>
                <w:spacing w:val="-6"/>
                <w:kern w:val="21"/>
                <w:szCs w:val="21"/>
                <w:highlight w:val="none"/>
              </w:rPr>
              <w:fldChar w:fldCharType="separate"/>
            </w:r>
            <w:r>
              <w:rPr>
                <w:rFonts w:ascii="Times New Roman" w:eastAsia="黑体"/>
                <w:snapToGrid w:val="0"/>
                <w:color w:val="auto"/>
                <w:spacing w:val="-6"/>
                <w:kern w:val="21"/>
                <w:szCs w:val="21"/>
                <w:highlight w:val="none"/>
              </w:rPr>
              <w:t>②</w:t>
            </w:r>
            <w:r>
              <w:rPr>
                <w:rFonts w:ascii="Times New Roman" w:eastAsia="黑体"/>
                <w:snapToGrid w:val="0"/>
                <w:color w:val="auto"/>
                <w:spacing w:val="-6"/>
                <w:kern w:val="21"/>
                <w:szCs w:val="21"/>
                <w:highlight w:val="none"/>
              </w:rPr>
              <w:fldChar w:fldCharType="end"/>
            </w:r>
          </w:p>
        </w:tc>
        <w:tc>
          <w:tcPr>
            <w:tcW w:w="1437" w:type="dxa"/>
            <w:tcMar>
              <w:left w:w="28" w:type="dxa"/>
              <w:right w:w="28" w:type="dxa"/>
            </w:tcMar>
            <w:vAlign w:val="center"/>
          </w:tcPr>
          <w:p w14:paraId="06A63FA8">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在建工程</w:t>
            </w:r>
          </w:p>
          <w:p w14:paraId="4F4B8104">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排放量（固体废物产生量）</w:t>
            </w:r>
            <w:r>
              <w:rPr>
                <w:rFonts w:ascii="Times New Roman" w:eastAsia="黑体"/>
                <w:snapToGrid w:val="0"/>
                <w:color w:val="auto"/>
                <w:spacing w:val="-6"/>
                <w:kern w:val="21"/>
                <w:szCs w:val="21"/>
                <w:highlight w:val="none"/>
              </w:rPr>
              <w:fldChar w:fldCharType="begin"/>
            </w:r>
            <w:r>
              <w:rPr>
                <w:rFonts w:ascii="Times New Roman" w:eastAsia="黑体"/>
                <w:snapToGrid w:val="0"/>
                <w:color w:val="auto"/>
                <w:spacing w:val="-6"/>
                <w:kern w:val="21"/>
                <w:szCs w:val="21"/>
                <w:highlight w:val="none"/>
              </w:rPr>
              <w:instrText xml:space="preserve"> = 3 \* GB3 \* MERGEFORMAT </w:instrText>
            </w:r>
            <w:r>
              <w:rPr>
                <w:rFonts w:ascii="Times New Roman" w:eastAsia="黑体"/>
                <w:snapToGrid w:val="0"/>
                <w:color w:val="auto"/>
                <w:spacing w:val="-6"/>
                <w:kern w:val="21"/>
                <w:szCs w:val="21"/>
                <w:highlight w:val="none"/>
              </w:rPr>
              <w:fldChar w:fldCharType="separate"/>
            </w:r>
            <w:r>
              <w:rPr>
                <w:rFonts w:ascii="Times New Roman" w:eastAsia="黑体"/>
                <w:color w:val="auto"/>
                <w:kern w:val="2"/>
                <w:szCs w:val="21"/>
                <w:highlight w:val="none"/>
              </w:rPr>
              <w:t>③</w:t>
            </w:r>
            <w:r>
              <w:rPr>
                <w:rFonts w:ascii="Times New Roman" w:eastAsia="黑体"/>
                <w:snapToGrid w:val="0"/>
                <w:color w:val="auto"/>
                <w:spacing w:val="-6"/>
                <w:kern w:val="21"/>
                <w:szCs w:val="21"/>
                <w:highlight w:val="none"/>
              </w:rPr>
              <w:fldChar w:fldCharType="end"/>
            </w:r>
          </w:p>
        </w:tc>
        <w:tc>
          <w:tcPr>
            <w:tcW w:w="1559" w:type="dxa"/>
            <w:tcMar>
              <w:left w:w="28" w:type="dxa"/>
              <w:right w:w="28" w:type="dxa"/>
            </w:tcMar>
            <w:vAlign w:val="center"/>
          </w:tcPr>
          <w:p w14:paraId="6C291E13">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本项目</w:t>
            </w:r>
          </w:p>
          <w:p w14:paraId="3FF82EBB">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排放量（固体废物产生量）</w:t>
            </w:r>
            <w:r>
              <w:rPr>
                <w:rFonts w:ascii="Times New Roman" w:eastAsia="黑体"/>
                <w:snapToGrid w:val="0"/>
                <w:color w:val="auto"/>
                <w:spacing w:val="-6"/>
                <w:kern w:val="21"/>
                <w:szCs w:val="21"/>
                <w:highlight w:val="none"/>
              </w:rPr>
              <w:fldChar w:fldCharType="begin"/>
            </w:r>
            <w:r>
              <w:rPr>
                <w:rFonts w:ascii="Times New Roman" w:eastAsia="黑体"/>
                <w:snapToGrid w:val="0"/>
                <w:color w:val="auto"/>
                <w:spacing w:val="-6"/>
                <w:kern w:val="21"/>
                <w:szCs w:val="21"/>
                <w:highlight w:val="none"/>
              </w:rPr>
              <w:instrText xml:space="preserve"> = 4 \* GB3 \* MERGEFORMAT </w:instrText>
            </w:r>
            <w:r>
              <w:rPr>
                <w:rFonts w:ascii="Times New Roman" w:eastAsia="黑体"/>
                <w:snapToGrid w:val="0"/>
                <w:color w:val="auto"/>
                <w:spacing w:val="-6"/>
                <w:kern w:val="21"/>
                <w:szCs w:val="21"/>
                <w:highlight w:val="none"/>
              </w:rPr>
              <w:fldChar w:fldCharType="separate"/>
            </w:r>
            <w:r>
              <w:rPr>
                <w:rFonts w:ascii="Times New Roman" w:eastAsia="黑体"/>
                <w:color w:val="auto"/>
                <w:kern w:val="2"/>
                <w:szCs w:val="21"/>
                <w:highlight w:val="none"/>
              </w:rPr>
              <w:t>④</w:t>
            </w:r>
            <w:r>
              <w:rPr>
                <w:rFonts w:ascii="Times New Roman" w:eastAsia="黑体"/>
                <w:snapToGrid w:val="0"/>
                <w:color w:val="auto"/>
                <w:spacing w:val="-6"/>
                <w:kern w:val="21"/>
                <w:szCs w:val="21"/>
                <w:highlight w:val="none"/>
              </w:rPr>
              <w:fldChar w:fldCharType="end"/>
            </w:r>
          </w:p>
        </w:tc>
        <w:tc>
          <w:tcPr>
            <w:tcW w:w="1761" w:type="dxa"/>
            <w:tcMar>
              <w:left w:w="28" w:type="dxa"/>
              <w:right w:w="28" w:type="dxa"/>
            </w:tcMar>
            <w:vAlign w:val="center"/>
          </w:tcPr>
          <w:p w14:paraId="46986AAB">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16"/>
                <w:kern w:val="21"/>
                <w:szCs w:val="21"/>
                <w:highlight w:val="none"/>
              </w:rPr>
            </w:pPr>
            <w:r>
              <w:rPr>
                <w:rFonts w:ascii="Times New Roman" w:eastAsia="黑体"/>
                <w:snapToGrid w:val="0"/>
                <w:color w:val="auto"/>
                <w:spacing w:val="-16"/>
                <w:kern w:val="21"/>
                <w:szCs w:val="21"/>
                <w:highlight w:val="none"/>
              </w:rPr>
              <w:t>以新带老削减量</w:t>
            </w:r>
          </w:p>
          <w:p w14:paraId="3CBB34A6">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16"/>
                <w:kern w:val="21"/>
                <w:szCs w:val="21"/>
                <w:highlight w:val="none"/>
              </w:rPr>
            </w:pPr>
            <w:r>
              <w:rPr>
                <w:rFonts w:ascii="Times New Roman" w:eastAsia="黑体"/>
                <w:snapToGrid w:val="0"/>
                <w:color w:val="auto"/>
                <w:spacing w:val="-16"/>
                <w:kern w:val="21"/>
                <w:szCs w:val="21"/>
                <w:highlight w:val="none"/>
              </w:rPr>
              <w:t>（新建项目不填）</w:t>
            </w:r>
            <w:r>
              <w:rPr>
                <w:rFonts w:ascii="Times New Roman" w:eastAsia="黑体"/>
                <w:snapToGrid w:val="0"/>
                <w:color w:val="auto"/>
                <w:spacing w:val="-16"/>
                <w:kern w:val="21"/>
                <w:szCs w:val="21"/>
                <w:highlight w:val="none"/>
              </w:rPr>
              <w:fldChar w:fldCharType="begin"/>
            </w:r>
            <w:r>
              <w:rPr>
                <w:rFonts w:ascii="Times New Roman" w:eastAsia="黑体"/>
                <w:snapToGrid w:val="0"/>
                <w:color w:val="auto"/>
                <w:spacing w:val="-16"/>
                <w:kern w:val="21"/>
                <w:szCs w:val="21"/>
                <w:highlight w:val="none"/>
              </w:rPr>
              <w:instrText xml:space="preserve"> = 5 \* GB3 \* MERGEFORMAT </w:instrText>
            </w:r>
            <w:r>
              <w:rPr>
                <w:rFonts w:ascii="Times New Roman" w:eastAsia="黑体"/>
                <w:snapToGrid w:val="0"/>
                <w:color w:val="auto"/>
                <w:spacing w:val="-16"/>
                <w:kern w:val="21"/>
                <w:szCs w:val="21"/>
                <w:highlight w:val="none"/>
              </w:rPr>
              <w:fldChar w:fldCharType="separate"/>
            </w:r>
            <w:r>
              <w:rPr>
                <w:rFonts w:ascii="Times New Roman" w:eastAsia="黑体"/>
                <w:color w:val="auto"/>
                <w:kern w:val="2"/>
                <w:szCs w:val="21"/>
                <w:highlight w:val="none"/>
              </w:rPr>
              <w:t>⑤</w:t>
            </w:r>
            <w:r>
              <w:rPr>
                <w:rFonts w:ascii="Times New Roman" w:eastAsia="黑体"/>
                <w:snapToGrid w:val="0"/>
                <w:color w:val="auto"/>
                <w:spacing w:val="-16"/>
                <w:kern w:val="21"/>
                <w:szCs w:val="21"/>
                <w:highlight w:val="none"/>
              </w:rPr>
              <w:fldChar w:fldCharType="end"/>
            </w:r>
          </w:p>
        </w:tc>
        <w:tc>
          <w:tcPr>
            <w:tcW w:w="1959" w:type="dxa"/>
            <w:tcMar>
              <w:left w:w="28" w:type="dxa"/>
              <w:right w:w="28" w:type="dxa"/>
            </w:tcMar>
            <w:vAlign w:val="center"/>
          </w:tcPr>
          <w:p w14:paraId="25D87E0C">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16"/>
                <w:kern w:val="21"/>
                <w:szCs w:val="21"/>
                <w:highlight w:val="none"/>
              </w:rPr>
            </w:pPr>
            <w:r>
              <w:rPr>
                <w:rFonts w:ascii="Times New Roman" w:eastAsia="黑体"/>
                <w:snapToGrid w:val="0"/>
                <w:color w:val="auto"/>
                <w:spacing w:val="-16"/>
                <w:kern w:val="21"/>
                <w:szCs w:val="21"/>
                <w:highlight w:val="none"/>
              </w:rPr>
              <w:t>本项目建成后</w:t>
            </w:r>
          </w:p>
          <w:p w14:paraId="08625866">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16"/>
                <w:kern w:val="21"/>
                <w:szCs w:val="21"/>
                <w:highlight w:val="none"/>
              </w:rPr>
            </w:pPr>
            <w:r>
              <w:rPr>
                <w:rFonts w:ascii="Times New Roman" w:eastAsia="黑体"/>
                <w:snapToGrid w:val="0"/>
                <w:color w:val="auto"/>
                <w:spacing w:val="-16"/>
                <w:kern w:val="21"/>
                <w:szCs w:val="21"/>
                <w:highlight w:val="none"/>
              </w:rPr>
              <w:t>全厂排放量（固体废物产生量）</w:t>
            </w:r>
            <w:r>
              <w:rPr>
                <w:rFonts w:ascii="Times New Roman" w:eastAsia="黑体"/>
                <w:snapToGrid w:val="0"/>
                <w:color w:val="auto"/>
                <w:spacing w:val="-16"/>
                <w:kern w:val="21"/>
                <w:szCs w:val="21"/>
                <w:highlight w:val="none"/>
              </w:rPr>
              <w:fldChar w:fldCharType="begin"/>
            </w:r>
            <w:r>
              <w:rPr>
                <w:rFonts w:ascii="Times New Roman" w:eastAsia="黑体"/>
                <w:snapToGrid w:val="0"/>
                <w:color w:val="auto"/>
                <w:spacing w:val="-16"/>
                <w:kern w:val="21"/>
                <w:szCs w:val="21"/>
                <w:highlight w:val="none"/>
              </w:rPr>
              <w:instrText xml:space="preserve"> = 6 \* GB3 \* MERGEFORMAT </w:instrText>
            </w:r>
            <w:r>
              <w:rPr>
                <w:rFonts w:ascii="Times New Roman" w:eastAsia="黑体"/>
                <w:snapToGrid w:val="0"/>
                <w:color w:val="auto"/>
                <w:spacing w:val="-16"/>
                <w:kern w:val="21"/>
                <w:szCs w:val="21"/>
                <w:highlight w:val="none"/>
              </w:rPr>
              <w:fldChar w:fldCharType="separate"/>
            </w:r>
            <w:r>
              <w:rPr>
                <w:rFonts w:ascii="Times New Roman" w:eastAsia="黑体"/>
                <w:color w:val="auto"/>
                <w:kern w:val="2"/>
                <w:szCs w:val="21"/>
                <w:highlight w:val="none"/>
              </w:rPr>
              <w:t>⑥</w:t>
            </w:r>
            <w:r>
              <w:rPr>
                <w:rFonts w:ascii="Times New Roman" w:eastAsia="黑体"/>
                <w:snapToGrid w:val="0"/>
                <w:color w:val="auto"/>
                <w:spacing w:val="-16"/>
                <w:kern w:val="21"/>
                <w:szCs w:val="21"/>
                <w:highlight w:val="none"/>
              </w:rPr>
              <w:fldChar w:fldCharType="end"/>
            </w:r>
          </w:p>
        </w:tc>
        <w:tc>
          <w:tcPr>
            <w:tcW w:w="826" w:type="dxa"/>
            <w:tcMar>
              <w:left w:w="28" w:type="dxa"/>
              <w:right w:w="28" w:type="dxa"/>
            </w:tcMar>
            <w:vAlign w:val="center"/>
          </w:tcPr>
          <w:p w14:paraId="3C7CA107">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t>变化量</w:t>
            </w:r>
          </w:p>
          <w:p w14:paraId="39029E37">
            <w:pPr>
              <w:pStyle w:val="48"/>
              <w:keepNext w:val="0"/>
              <w:keepLines w:val="0"/>
              <w:suppressLineNumbers w:val="0"/>
              <w:spacing w:before="0" w:beforeLines="0" w:beforeAutospacing="0" w:after="0" w:afterLines="0" w:afterAutospacing="0" w:line="240" w:lineRule="auto"/>
              <w:ind w:right="0"/>
              <w:rPr>
                <w:rFonts w:ascii="Times New Roman" w:eastAsia="黑体"/>
                <w:snapToGrid w:val="0"/>
                <w:color w:val="auto"/>
                <w:spacing w:val="-6"/>
                <w:kern w:val="21"/>
                <w:szCs w:val="21"/>
                <w:highlight w:val="none"/>
              </w:rPr>
            </w:pPr>
            <w:r>
              <w:rPr>
                <w:rFonts w:ascii="Times New Roman" w:eastAsia="黑体"/>
                <w:snapToGrid w:val="0"/>
                <w:color w:val="auto"/>
                <w:spacing w:val="-6"/>
                <w:kern w:val="21"/>
                <w:szCs w:val="21"/>
                <w:highlight w:val="none"/>
              </w:rPr>
              <w:fldChar w:fldCharType="begin"/>
            </w:r>
            <w:r>
              <w:rPr>
                <w:rFonts w:ascii="Times New Roman" w:eastAsia="黑体"/>
                <w:snapToGrid w:val="0"/>
                <w:color w:val="auto"/>
                <w:spacing w:val="-6"/>
                <w:kern w:val="21"/>
                <w:szCs w:val="21"/>
                <w:highlight w:val="none"/>
              </w:rPr>
              <w:instrText xml:space="preserve"> = 7 \* GB3 \* MERGEFORMAT </w:instrText>
            </w:r>
            <w:r>
              <w:rPr>
                <w:rFonts w:ascii="Times New Roman" w:eastAsia="黑体"/>
                <w:snapToGrid w:val="0"/>
                <w:color w:val="auto"/>
                <w:spacing w:val="-6"/>
                <w:kern w:val="21"/>
                <w:szCs w:val="21"/>
                <w:highlight w:val="none"/>
              </w:rPr>
              <w:fldChar w:fldCharType="separate"/>
            </w:r>
            <w:r>
              <w:rPr>
                <w:rFonts w:ascii="Times New Roman" w:eastAsia="黑体"/>
                <w:color w:val="auto"/>
                <w:kern w:val="2"/>
                <w:szCs w:val="21"/>
                <w:highlight w:val="none"/>
              </w:rPr>
              <w:t>⑦</w:t>
            </w:r>
            <w:r>
              <w:rPr>
                <w:rFonts w:ascii="Times New Roman" w:eastAsia="黑体"/>
                <w:snapToGrid w:val="0"/>
                <w:color w:val="auto"/>
                <w:spacing w:val="-6"/>
                <w:kern w:val="21"/>
                <w:szCs w:val="21"/>
                <w:highlight w:val="none"/>
              </w:rPr>
              <w:fldChar w:fldCharType="end"/>
            </w:r>
          </w:p>
        </w:tc>
      </w:tr>
      <w:tr w14:paraId="41DBF3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restart"/>
            <w:vAlign w:val="center"/>
          </w:tcPr>
          <w:p w14:paraId="06283E75">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ascii="Times New Roman"/>
                <w:snapToGrid w:val="0"/>
                <w:color w:val="auto"/>
                <w:kern w:val="21"/>
                <w:szCs w:val="21"/>
                <w:highlight w:val="none"/>
              </w:rPr>
              <w:t>废气</w:t>
            </w:r>
          </w:p>
        </w:tc>
        <w:tc>
          <w:tcPr>
            <w:tcW w:w="2295" w:type="dxa"/>
            <w:gridSpan w:val="2"/>
            <w:shd w:val="clear" w:color="auto" w:fill="auto"/>
            <w:vAlign w:val="center"/>
          </w:tcPr>
          <w:p w14:paraId="7FBE029D">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颗粒物</w:t>
            </w:r>
          </w:p>
        </w:tc>
        <w:tc>
          <w:tcPr>
            <w:tcW w:w="1435" w:type="dxa"/>
            <w:shd w:val="clear" w:color="auto" w:fill="auto"/>
            <w:vAlign w:val="center"/>
          </w:tcPr>
          <w:p w14:paraId="2FFE92B4">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0.06t/a</w:t>
            </w:r>
          </w:p>
        </w:tc>
        <w:tc>
          <w:tcPr>
            <w:tcW w:w="1435" w:type="dxa"/>
            <w:shd w:val="clear" w:color="auto" w:fill="auto"/>
            <w:vAlign w:val="center"/>
          </w:tcPr>
          <w:p w14:paraId="156E65BF">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437" w:type="dxa"/>
            <w:shd w:val="clear" w:color="auto" w:fill="auto"/>
            <w:vAlign w:val="center"/>
          </w:tcPr>
          <w:p w14:paraId="01326ED4">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559" w:type="dxa"/>
            <w:shd w:val="clear" w:color="auto" w:fill="auto"/>
            <w:vAlign w:val="center"/>
          </w:tcPr>
          <w:p w14:paraId="7D8B4DDA">
            <w:pPr>
              <w:keepNext w:val="0"/>
              <w:keepLines w:val="0"/>
              <w:suppressLineNumbers w:val="0"/>
              <w:spacing w:before="0" w:beforeAutospacing="0" w:after="0" w:afterAutospacing="0" w:line="400" w:lineRule="exact"/>
              <w:ind w:left="0" w:right="0"/>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761" w:type="dxa"/>
            <w:vAlign w:val="center"/>
          </w:tcPr>
          <w:p w14:paraId="10AEE572">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959" w:type="dxa"/>
            <w:shd w:val="clear" w:color="auto" w:fill="auto"/>
            <w:vAlign w:val="center"/>
          </w:tcPr>
          <w:p w14:paraId="51D00563">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0.06t/a</w:t>
            </w:r>
          </w:p>
        </w:tc>
        <w:tc>
          <w:tcPr>
            <w:tcW w:w="826" w:type="dxa"/>
            <w:vAlign w:val="center"/>
          </w:tcPr>
          <w:p w14:paraId="3A8FC534">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r>
      <w:tr w14:paraId="1FF1E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continue"/>
            <w:vAlign w:val="center"/>
          </w:tcPr>
          <w:p w14:paraId="2E9F84F8">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2295" w:type="dxa"/>
            <w:gridSpan w:val="2"/>
            <w:shd w:val="clear" w:color="auto" w:fill="auto"/>
            <w:vAlign w:val="center"/>
          </w:tcPr>
          <w:p w14:paraId="2E83DC1A">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SO</w:t>
            </w:r>
            <w:r>
              <w:rPr>
                <w:rFonts w:hint="eastAsia"/>
                <w:color w:val="auto"/>
                <w:sz w:val="21"/>
                <w:szCs w:val="21"/>
                <w:highlight w:val="none"/>
                <w:vertAlign w:val="subscript"/>
                <w:lang w:val="en-US" w:eastAsia="zh-CN"/>
              </w:rPr>
              <w:t>2</w:t>
            </w:r>
          </w:p>
        </w:tc>
        <w:tc>
          <w:tcPr>
            <w:tcW w:w="1435" w:type="dxa"/>
            <w:shd w:val="clear" w:color="auto" w:fill="auto"/>
            <w:vAlign w:val="center"/>
          </w:tcPr>
          <w:p w14:paraId="70B7BD04">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0.08t/a</w:t>
            </w:r>
          </w:p>
        </w:tc>
        <w:tc>
          <w:tcPr>
            <w:tcW w:w="1435" w:type="dxa"/>
            <w:shd w:val="clear" w:color="auto" w:fill="auto"/>
            <w:vAlign w:val="center"/>
          </w:tcPr>
          <w:p w14:paraId="4A4BA0BF">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437" w:type="dxa"/>
            <w:shd w:val="clear" w:color="auto" w:fill="auto"/>
            <w:vAlign w:val="center"/>
          </w:tcPr>
          <w:p w14:paraId="5D308CF9">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559" w:type="dxa"/>
            <w:shd w:val="clear" w:color="auto" w:fill="auto"/>
            <w:vAlign w:val="center"/>
          </w:tcPr>
          <w:p w14:paraId="4B1A445B">
            <w:pPr>
              <w:keepNext w:val="0"/>
              <w:keepLines w:val="0"/>
              <w:suppressLineNumbers w:val="0"/>
              <w:spacing w:before="0" w:beforeAutospacing="0" w:after="0" w:afterAutospacing="0" w:line="400" w:lineRule="exact"/>
              <w:ind w:left="0" w:right="0"/>
              <w:jc w:val="center"/>
              <w:rPr>
                <w:rFonts w:hint="eastAsia" w:eastAsia="宋体"/>
                <w:color w:val="auto"/>
                <w:szCs w:val="21"/>
                <w:highlight w:val="none"/>
                <w:lang w:eastAsia="zh-CN"/>
              </w:rPr>
            </w:pPr>
            <w:r>
              <w:rPr>
                <w:rFonts w:hint="eastAsia"/>
                <w:color w:val="auto"/>
                <w:szCs w:val="21"/>
                <w:highlight w:val="none"/>
                <w:lang w:val="en-US" w:eastAsia="zh-CN"/>
              </w:rPr>
              <w:t>/</w:t>
            </w:r>
          </w:p>
        </w:tc>
        <w:tc>
          <w:tcPr>
            <w:tcW w:w="1761" w:type="dxa"/>
            <w:vAlign w:val="center"/>
          </w:tcPr>
          <w:p w14:paraId="204D52A5">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959" w:type="dxa"/>
            <w:shd w:val="clear" w:color="auto" w:fill="auto"/>
            <w:vAlign w:val="center"/>
          </w:tcPr>
          <w:p w14:paraId="477C8B8C">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0.08t/a</w:t>
            </w:r>
          </w:p>
        </w:tc>
        <w:tc>
          <w:tcPr>
            <w:tcW w:w="826" w:type="dxa"/>
            <w:vAlign w:val="center"/>
          </w:tcPr>
          <w:p w14:paraId="5D150AC1">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r>
      <w:tr w14:paraId="4E6CD6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continue"/>
            <w:vAlign w:val="center"/>
          </w:tcPr>
          <w:p w14:paraId="5B920F14">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2295" w:type="dxa"/>
            <w:gridSpan w:val="2"/>
            <w:shd w:val="clear" w:color="auto" w:fill="auto"/>
            <w:vAlign w:val="center"/>
          </w:tcPr>
          <w:p w14:paraId="1E0B6AC6">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NOx</w:t>
            </w:r>
          </w:p>
        </w:tc>
        <w:tc>
          <w:tcPr>
            <w:tcW w:w="1435" w:type="dxa"/>
            <w:shd w:val="clear" w:color="auto" w:fill="auto"/>
            <w:vAlign w:val="center"/>
          </w:tcPr>
          <w:p w14:paraId="6F7B0E1B">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0.31t/a</w:t>
            </w:r>
          </w:p>
        </w:tc>
        <w:tc>
          <w:tcPr>
            <w:tcW w:w="1435" w:type="dxa"/>
            <w:shd w:val="clear" w:color="auto" w:fill="auto"/>
            <w:vAlign w:val="center"/>
          </w:tcPr>
          <w:p w14:paraId="7DF3F93D">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437" w:type="dxa"/>
            <w:shd w:val="clear" w:color="auto" w:fill="auto"/>
            <w:vAlign w:val="center"/>
          </w:tcPr>
          <w:p w14:paraId="4A06F4BE">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559" w:type="dxa"/>
            <w:shd w:val="clear" w:color="auto" w:fill="auto"/>
            <w:vAlign w:val="center"/>
          </w:tcPr>
          <w:p w14:paraId="72DB67B7">
            <w:pPr>
              <w:keepNext w:val="0"/>
              <w:keepLines w:val="0"/>
              <w:suppressLineNumbers w:val="0"/>
              <w:spacing w:before="0" w:beforeAutospacing="0" w:after="0" w:afterAutospacing="0" w:line="400" w:lineRule="exact"/>
              <w:ind w:left="0" w:right="0"/>
              <w:jc w:val="center"/>
              <w:rPr>
                <w:rFonts w:hint="eastAsia" w:eastAsia="宋体"/>
                <w:color w:val="auto"/>
                <w:szCs w:val="21"/>
                <w:highlight w:val="none"/>
                <w:lang w:eastAsia="zh-CN"/>
              </w:rPr>
            </w:pPr>
            <w:r>
              <w:rPr>
                <w:rFonts w:hint="eastAsia"/>
                <w:color w:val="auto"/>
                <w:szCs w:val="21"/>
                <w:highlight w:val="none"/>
                <w:lang w:val="en-US" w:eastAsia="zh-CN"/>
              </w:rPr>
              <w:t>/</w:t>
            </w:r>
          </w:p>
        </w:tc>
        <w:tc>
          <w:tcPr>
            <w:tcW w:w="1761" w:type="dxa"/>
            <w:vAlign w:val="center"/>
          </w:tcPr>
          <w:p w14:paraId="3A4F09C4">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c>
          <w:tcPr>
            <w:tcW w:w="1959" w:type="dxa"/>
            <w:shd w:val="clear" w:color="auto" w:fill="auto"/>
            <w:vAlign w:val="center"/>
          </w:tcPr>
          <w:p w14:paraId="56A2C7B6">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0.31t/a</w:t>
            </w:r>
          </w:p>
        </w:tc>
        <w:tc>
          <w:tcPr>
            <w:tcW w:w="826" w:type="dxa"/>
            <w:vAlign w:val="center"/>
          </w:tcPr>
          <w:p w14:paraId="3287708C">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r>
      <w:tr w14:paraId="1A7646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continue"/>
            <w:vAlign w:val="center"/>
          </w:tcPr>
          <w:p w14:paraId="7380486C">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2295" w:type="dxa"/>
            <w:gridSpan w:val="2"/>
            <w:shd w:val="clear" w:color="auto" w:fill="auto"/>
            <w:vAlign w:val="center"/>
          </w:tcPr>
          <w:p w14:paraId="60629AF0">
            <w:pPr>
              <w:pStyle w:val="18"/>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非甲烷总烃</w:t>
            </w:r>
          </w:p>
        </w:tc>
        <w:tc>
          <w:tcPr>
            <w:tcW w:w="1435" w:type="dxa"/>
            <w:shd w:val="clear" w:color="auto" w:fill="auto"/>
            <w:vAlign w:val="center"/>
          </w:tcPr>
          <w:p w14:paraId="0F0F5347">
            <w:pPr>
              <w:pStyle w:val="82"/>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lang w:val="en-US" w:eastAsia="zh-CN"/>
              </w:rPr>
              <w:t>4.8t/a</w:t>
            </w:r>
          </w:p>
        </w:tc>
        <w:tc>
          <w:tcPr>
            <w:tcW w:w="1435" w:type="dxa"/>
            <w:shd w:val="clear" w:color="auto" w:fill="auto"/>
            <w:vAlign w:val="center"/>
          </w:tcPr>
          <w:p w14:paraId="10C1ACEF">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437" w:type="dxa"/>
            <w:shd w:val="clear" w:color="auto" w:fill="auto"/>
            <w:vAlign w:val="center"/>
          </w:tcPr>
          <w:p w14:paraId="40F89352">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559" w:type="dxa"/>
            <w:vAlign w:val="center"/>
          </w:tcPr>
          <w:p w14:paraId="1CFA3184">
            <w:pPr>
              <w:keepNext w:val="0"/>
              <w:keepLines w:val="0"/>
              <w:suppressLineNumbers w:val="0"/>
              <w:spacing w:before="0" w:beforeAutospacing="0" w:after="0" w:afterAutospacing="0"/>
              <w:ind w:left="0" w:right="0"/>
              <w:jc w:val="center"/>
              <w:rPr>
                <w:rFonts w:hint="default"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+0.004t/a</w:t>
            </w:r>
          </w:p>
        </w:tc>
        <w:tc>
          <w:tcPr>
            <w:tcW w:w="1761" w:type="dxa"/>
            <w:vAlign w:val="center"/>
          </w:tcPr>
          <w:p w14:paraId="7889C169">
            <w:pPr>
              <w:keepNext w:val="0"/>
              <w:keepLines w:val="0"/>
              <w:suppressLineNumbers w:val="0"/>
              <w:spacing w:before="0" w:beforeAutospacing="0" w:after="0" w:afterAutospacing="0"/>
              <w:ind w:left="0" w:right="0"/>
              <w:jc w:val="center"/>
              <w:rPr>
                <w:rFonts w:hint="default"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c>
          <w:tcPr>
            <w:tcW w:w="1959" w:type="dxa"/>
            <w:shd w:val="clear" w:color="auto" w:fill="auto"/>
            <w:vAlign w:val="center"/>
          </w:tcPr>
          <w:p w14:paraId="1C7E2058">
            <w:pPr>
              <w:keepNext w:val="0"/>
              <w:keepLines w:val="0"/>
              <w:suppressLineNumbers w:val="0"/>
              <w:spacing w:before="0" w:beforeAutospacing="0" w:after="0" w:afterAutospacing="0"/>
              <w:ind w:left="0" w:right="0"/>
              <w:jc w:val="center"/>
              <w:rPr>
                <w:rFonts w:hint="default"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4.804t/a</w:t>
            </w:r>
          </w:p>
        </w:tc>
        <w:tc>
          <w:tcPr>
            <w:tcW w:w="826" w:type="dxa"/>
            <w:vAlign w:val="center"/>
          </w:tcPr>
          <w:p w14:paraId="2168EDDA">
            <w:pPr>
              <w:keepNext w:val="0"/>
              <w:keepLines w:val="0"/>
              <w:suppressLineNumbers w:val="0"/>
              <w:spacing w:before="0" w:beforeAutospacing="0" w:after="0" w:afterAutospacing="0"/>
              <w:ind w:left="0" w:right="0"/>
              <w:jc w:val="center"/>
              <w:rPr>
                <w:rFonts w:hint="default"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+0.004t/a</w:t>
            </w:r>
          </w:p>
        </w:tc>
      </w:tr>
      <w:tr w14:paraId="6C969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restart"/>
            <w:vAlign w:val="center"/>
          </w:tcPr>
          <w:p w14:paraId="59159936">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ascii="Times New Roman"/>
                <w:snapToGrid w:val="0"/>
                <w:color w:val="auto"/>
                <w:kern w:val="21"/>
                <w:szCs w:val="21"/>
                <w:highlight w:val="none"/>
              </w:rPr>
              <w:t>废水</w:t>
            </w:r>
          </w:p>
        </w:tc>
        <w:tc>
          <w:tcPr>
            <w:tcW w:w="1350" w:type="dxa"/>
            <w:vMerge w:val="restart"/>
            <w:vAlign w:val="center"/>
          </w:tcPr>
          <w:p w14:paraId="45234CBA">
            <w:pPr>
              <w:pStyle w:val="48"/>
              <w:keepNext w:val="0"/>
              <w:keepLines w:val="0"/>
              <w:suppressLineNumbers w:val="0"/>
              <w:spacing w:before="0" w:beforeLines="0" w:beforeAutospacing="0" w:after="0" w:afterLines="0" w:afterAutospacing="0" w:line="240" w:lineRule="auto"/>
              <w:ind w:right="0"/>
              <w:rPr>
                <w:color w:val="auto"/>
                <w:highlight w:val="none"/>
              </w:rPr>
            </w:pPr>
            <w:r>
              <w:rPr>
                <w:rFonts w:hint="eastAsia" w:ascii="Times New Roman"/>
                <w:snapToGrid w:val="0"/>
                <w:color w:val="auto"/>
                <w:kern w:val="21"/>
                <w:szCs w:val="21"/>
                <w:highlight w:val="none"/>
              </w:rPr>
              <w:t>生产废水</w:t>
            </w:r>
          </w:p>
          <w:p w14:paraId="27027F90">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hint="eastAsia" w:ascii="Times New Roman"/>
                <w:snapToGrid w:val="0"/>
                <w:color w:val="auto"/>
                <w:kern w:val="21"/>
                <w:szCs w:val="21"/>
                <w:highlight w:val="none"/>
              </w:rPr>
              <w:t>生活污水</w:t>
            </w:r>
          </w:p>
          <w:p w14:paraId="5680137B">
            <w:pPr>
              <w:pStyle w:val="48"/>
              <w:keepNext w:val="0"/>
              <w:keepLines w:val="0"/>
              <w:suppressLineNumbers w:val="0"/>
              <w:spacing w:before="0" w:beforeLines="0" w:beforeAutospacing="0" w:after="0" w:afterLines="0" w:afterAutospacing="0" w:line="240" w:lineRule="auto"/>
              <w:ind w:left="0" w:leftChars="0" w:right="0" w:firstLine="0" w:firstLineChars="0"/>
              <w:jc w:val="both"/>
              <w:rPr>
                <w:rFonts w:ascii="Times New Roman"/>
                <w:snapToGrid w:val="0"/>
                <w:color w:val="auto"/>
                <w:kern w:val="21"/>
                <w:szCs w:val="21"/>
                <w:highlight w:val="none"/>
              </w:rPr>
            </w:pPr>
          </w:p>
        </w:tc>
        <w:tc>
          <w:tcPr>
            <w:tcW w:w="945" w:type="dxa"/>
            <w:vAlign w:val="center"/>
          </w:tcPr>
          <w:p w14:paraId="77E2AABA">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hint="eastAsia" w:ascii="Times New Roman"/>
                <w:snapToGrid w:val="0"/>
                <w:color w:val="auto"/>
                <w:kern w:val="21"/>
                <w:szCs w:val="21"/>
                <w:highlight w:val="none"/>
              </w:rPr>
              <w:t>COD</w:t>
            </w:r>
            <w:r>
              <w:rPr>
                <w:rFonts w:hint="eastAsia" w:ascii="Times New Roman"/>
                <w:snapToGrid w:val="0"/>
                <w:color w:val="auto"/>
                <w:kern w:val="21"/>
                <w:szCs w:val="21"/>
                <w:highlight w:val="none"/>
                <w:vertAlign w:val="subscript"/>
              </w:rPr>
              <w:t>cr</w:t>
            </w:r>
          </w:p>
        </w:tc>
        <w:tc>
          <w:tcPr>
            <w:tcW w:w="1435" w:type="dxa"/>
            <w:shd w:val="clear" w:color="auto" w:fill="auto"/>
            <w:vAlign w:val="center"/>
          </w:tcPr>
          <w:p w14:paraId="79ADEB48">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063</w:t>
            </w:r>
            <w:r>
              <w:rPr>
                <w:rFonts w:hint="eastAsia" w:ascii="Times New Roman" w:hAnsi="Times New Roman" w:cs="Times New Roman"/>
                <w:color w:val="auto"/>
                <w:szCs w:val="21"/>
                <w:highlight w:val="none"/>
                <w:lang w:val="en-US" w:eastAsia="zh-CN"/>
              </w:rPr>
              <w:t>t/a</w:t>
            </w:r>
          </w:p>
        </w:tc>
        <w:tc>
          <w:tcPr>
            <w:tcW w:w="1435" w:type="dxa"/>
            <w:shd w:val="clear" w:color="auto" w:fill="auto"/>
            <w:vAlign w:val="center"/>
          </w:tcPr>
          <w:p w14:paraId="6982C342">
            <w:pPr>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snapToGrid w:val="0"/>
                <w:color w:val="auto"/>
                <w:kern w:val="21"/>
                <w:szCs w:val="21"/>
                <w:highlight w:val="none"/>
              </w:rPr>
              <w:t>/</w:t>
            </w:r>
          </w:p>
        </w:tc>
        <w:tc>
          <w:tcPr>
            <w:tcW w:w="1437" w:type="dxa"/>
            <w:vAlign w:val="center"/>
          </w:tcPr>
          <w:p w14:paraId="21433DCE">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559" w:type="dxa"/>
            <w:vAlign w:val="center"/>
          </w:tcPr>
          <w:p w14:paraId="057C9B7F">
            <w:pPr>
              <w:keepNext w:val="0"/>
              <w:keepLines w:val="0"/>
              <w:suppressLineNumbers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0.003</w:t>
            </w:r>
            <w:r>
              <w:rPr>
                <w:rFonts w:hint="eastAsia" w:ascii="Times New Roman" w:hAnsi="Times New Roman" w:cs="Times New Roman"/>
                <w:color w:val="auto"/>
                <w:szCs w:val="21"/>
                <w:highlight w:val="none"/>
                <w:lang w:val="en-US" w:eastAsia="zh-CN"/>
              </w:rPr>
              <w:t>t/a</w:t>
            </w:r>
          </w:p>
        </w:tc>
        <w:tc>
          <w:tcPr>
            <w:tcW w:w="1761" w:type="dxa"/>
            <w:vAlign w:val="center"/>
          </w:tcPr>
          <w:p w14:paraId="07F60AA4">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959" w:type="dxa"/>
            <w:shd w:val="clear" w:color="auto" w:fill="auto"/>
            <w:vAlign w:val="center"/>
          </w:tcPr>
          <w:p w14:paraId="7571A757">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szCs w:val="21"/>
                <w:highlight w:val="none"/>
                <w:lang w:val="en-US" w:eastAsia="zh-CN"/>
              </w:rPr>
              <w:t>0.633t/a</w:t>
            </w:r>
          </w:p>
        </w:tc>
        <w:tc>
          <w:tcPr>
            <w:tcW w:w="826" w:type="dxa"/>
            <w:vAlign w:val="center"/>
          </w:tcPr>
          <w:p w14:paraId="41669D1A">
            <w:pPr>
              <w:pStyle w:val="48"/>
              <w:keepNext w:val="0"/>
              <w:keepLines w:val="0"/>
              <w:suppressLineNumbers w:val="0"/>
              <w:spacing w:before="0" w:beforeLines="0" w:beforeAutospacing="0" w:after="0" w:afterLines="0" w:afterAutospacing="0" w:line="240" w:lineRule="auto"/>
              <w:ind w:right="0"/>
              <w:rPr>
                <w:rFonts w:hint="eastAsia" w:ascii="Times New Roman"/>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+0.003</w:t>
            </w:r>
          </w:p>
          <w:p w14:paraId="3FDA1A82">
            <w:pPr>
              <w:pStyle w:val="48"/>
              <w:keepNext w:val="0"/>
              <w:keepLines w:val="0"/>
              <w:suppressLineNumbers w:val="0"/>
              <w:spacing w:before="0" w:beforeLines="0" w:beforeAutospacing="0" w:after="0" w:afterLines="0" w:afterAutospacing="0" w:line="240" w:lineRule="auto"/>
              <w:ind w:right="0"/>
              <w:rPr>
                <w:rFonts w:hint="default" w:ascii="Times New Roman" w:eastAsia="宋体"/>
                <w:snapToGrid w:val="0"/>
                <w:color w:val="auto"/>
                <w:kern w:val="21"/>
                <w:szCs w:val="21"/>
                <w:highlight w:val="none"/>
                <w:lang w:val="en-US" w:eastAsia="zh-CN"/>
              </w:rPr>
            </w:pPr>
            <w:r>
              <w:rPr>
                <w:rFonts w:hint="eastAsia" w:ascii="Times New Roman" w:hAnsi="Times New Roman" w:cs="Times New Roman"/>
                <w:color w:val="auto"/>
                <w:szCs w:val="21"/>
                <w:highlight w:val="none"/>
                <w:lang w:val="en-US" w:eastAsia="zh-CN"/>
              </w:rPr>
              <w:t>t/a</w:t>
            </w:r>
          </w:p>
        </w:tc>
      </w:tr>
      <w:tr w14:paraId="56823E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continue"/>
            <w:vAlign w:val="center"/>
          </w:tcPr>
          <w:p w14:paraId="3AB91A6B">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1350" w:type="dxa"/>
            <w:vMerge w:val="continue"/>
            <w:vAlign w:val="center"/>
          </w:tcPr>
          <w:p w14:paraId="5766B5BC">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945" w:type="dxa"/>
            <w:vAlign w:val="center"/>
          </w:tcPr>
          <w:p w14:paraId="6B847049">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hint="eastAsia" w:ascii="Times New Roman"/>
                <w:snapToGrid w:val="0"/>
                <w:color w:val="auto"/>
                <w:kern w:val="21"/>
                <w:szCs w:val="21"/>
                <w:highlight w:val="none"/>
              </w:rPr>
              <w:t>NH</w:t>
            </w:r>
            <w:r>
              <w:rPr>
                <w:rFonts w:hint="eastAsia" w:ascii="Times New Roman"/>
                <w:snapToGrid w:val="0"/>
                <w:color w:val="auto"/>
                <w:kern w:val="21"/>
                <w:szCs w:val="21"/>
                <w:highlight w:val="none"/>
                <w:vertAlign w:val="subscript"/>
              </w:rPr>
              <w:t>3</w:t>
            </w:r>
            <w:r>
              <w:rPr>
                <w:rFonts w:hint="eastAsia" w:ascii="Times New Roman"/>
                <w:snapToGrid w:val="0"/>
                <w:color w:val="auto"/>
                <w:kern w:val="21"/>
                <w:szCs w:val="21"/>
                <w:highlight w:val="none"/>
              </w:rPr>
              <w:t>-N</w:t>
            </w:r>
          </w:p>
        </w:tc>
        <w:tc>
          <w:tcPr>
            <w:tcW w:w="1435" w:type="dxa"/>
            <w:shd w:val="clear" w:color="auto" w:fill="auto"/>
            <w:vAlign w:val="center"/>
          </w:tcPr>
          <w:p w14:paraId="1F6885F6">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0.</w:t>
            </w:r>
            <w:r>
              <w:rPr>
                <w:rFonts w:hint="eastAsia"/>
                <w:color w:val="auto"/>
                <w:sz w:val="21"/>
                <w:szCs w:val="21"/>
                <w:highlight w:val="none"/>
                <w:lang w:val="en-US" w:eastAsia="zh-CN"/>
              </w:rPr>
              <w:t>003</w:t>
            </w:r>
            <w:r>
              <w:rPr>
                <w:rFonts w:hint="eastAsia" w:ascii="Times New Roman" w:hAnsi="Times New Roman" w:cs="Times New Roman"/>
                <w:color w:val="auto"/>
                <w:szCs w:val="21"/>
                <w:highlight w:val="none"/>
                <w:lang w:val="en-US" w:eastAsia="zh-CN"/>
              </w:rPr>
              <w:t>t/a</w:t>
            </w:r>
          </w:p>
        </w:tc>
        <w:tc>
          <w:tcPr>
            <w:tcW w:w="1435" w:type="dxa"/>
            <w:shd w:val="clear" w:color="auto" w:fill="auto"/>
            <w:vAlign w:val="center"/>
          </w:tcPr>
          <w:p w14:paraId="7DFE8BB6">
            <w:pPr>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snapToGrid w:val="0"/>
                <w:color w:val="auto"/>
                <w:kern w:val="21"/>
                <w:szCs w:val="21"/>
                <w:highlight w:val="none"/>
              </w:rPr>
              <w:t>/</w:t>
            </w:r>
          </w:p>
        </w:tc>
        <w:tc>
          <w:tcPr>
            <w:tcW w:w="1437" w:type="dxa"/>
            <w:vAlign w:val="center"/>
          </w:tcPr>
          <w:p w14:paraId="1764D7EA">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559" w:type="dxa"/>
            <w:vAlign w:val="center"/>
          </w:tcPr>
          <w:p w14:paraId="3BCDB6C6">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eastAsia="zh-CN"/>
              </w:rPr>
            </w:pPr>
            <w:r>
              <w:rPr>
                <w:rFonts w:hint="eastAsia"/>
                <w:snapToGrid w:val="0"/>
                <w:color w:val="auto"/>
                <w:kern w:val="21"/>
                <w:szCs w:val="21"/>
                <w:highlight w:val="none"/>
                <w:lang w:val="en-US" w:eastAsia="zh-CN"/>
              </w:rPr>
              <w:t>/</w:t>
            </w:r>
          </w:p>
        </w:tc>
        <w:tc>
          <w:tcPr>
            <w:tcW w:w="1761" w:type="dxa"/>
            <w:vAlign w:val="center"/>
          </w:tcPr>
          <w:p w14:paraId="4DBB5ABB">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c>
          <w:tcPr>
            <w:tcW w:w="1959" w:type="dxa"/>
            <w:shd w:val="clear" w:color="auto" w:fill="auto"/>
            <w:vAlign w:val="center"/>
          </w:tcPr>
          <w:p w14:paraId="7C347515">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0.</w:t>
            </w:r>
            <w:r>
              <w:rPr>
                <w:rFonts w:hint="eastAsia"/>
                <w:color w:val="auto"/>
                <w:sz w:val="21"/>
                <w:szCs w:val="21"/>
                <w:highlight w:val="none"/>
                <w:lang w:val="en-US" w:eastAsia="zh-CN"/>
              </w:rPr>
              <w:t>003</w:t>
            </w:r>
            <w:r>
              <w:rPr>
                <w:rFonts w:hint="eastAsia" w:ascii="Times New Roman" w:hAnsi="Times New Roman" w:cs="Times New Roman"/>
                <w:color w:val="auto"/>
                <w:szCs w:val="21"/>
                <w:highlight w:val="none"/>
                <w:lang w:val="en-US" w:eastAsia="zh-CN"/>
              </w:rPr>
              <w:t>t/a</w:t>
            </w:r>
          </w:p>
        </w:tc>
        <w:tc>
          <w:tcPr>
            <w:tcW w:w="826" w:type="dxa"/>
            <w:vAlign w:val="center"/>
          </w:tcPr>
          <w:p w14:paraId="70F6BBFA">
            <w:pPr>
              <w:pStyle w:val="48"/>
              <w:keepNext w:val="0"/>
              <w:keepLines w:val="0"/>
              <w:suppressLineNumbers w:val="0"/>
              <w:spacing w:before="0" w:beforeLines="0" w:beforeAutospacing="0" w:after="0" w:afterLines="0" w:afterAutospacing="0" w:line="240" w:lineRule="auto"/>
              <w:ind w:right="0"/>
              <w:rPr>
                <w:rFonts w:hint="eastAsia"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w:t>
            </w:r>
          </w:p>
        </w:tc>
      </w:tr>
      <w:tr w14:paraId="19487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continue"/>
            <w:vAlign w:val="center"/>
          </w:tcPr>
          <w:p w14:paraId="01565631">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1350" w:type="dxa"/>
            <w:vMerge w:val="continue"/>
            <w:vAlign w:val="center"/>
          </w:tcPr>
          <w:p w14:paraId="10539BEB">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945" w:type="dxa"/>
            <w:vAlign w:val="center"/>
          </w:tcPr>
          <w:p w14:paraId="2CF6C16A">
            <w:pPr>
              <w:pStyle w:val="48"/>
              <w:keepNext w:val="0"/>
              <w:keepLines w:val="0"/>
              <w:suppressLineNumbers w:val="0"/>
              <w:spacing w:before="0" w:beforeLines="0" w:beforeAutospacing="0" w:after="0" w:afterLines="0" w:afterAutospacing="0" w:line="240" w:lineRule="auto"/>
              <w:ind w:right="0"/>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SS</w:t>
            </w:r>
          </w:p>
        </w:tc>
        <w:tc>
          <w:tcPr>
            <w:tcW w:w="1435" w:type="dxa"/>
            <w:shd w:val="clear" w:color="auto" w:fill="auto"/>
            <w:vAlign w:val="center"/>
          </w:tcPr>
          <w:p w14:paraId="1D9CEEF4">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0</w:t>
            </w:r>
          </w:p>
        </w:tc>
        <w:tc>
          <w:tcPr>
            <w:tcW w:w="1435" w:type="dxa"/>
            <w:shd w:val="clear" w:color="auto" w:fill="auto"/>
            <w:vAlign w:val="center"/>
          </w:tcPr>
          <w:p w14:paraId="47E4A5E5">
            <w:pPr>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437" w:type="dxa"/>
            <w:vAlign w:val="center"/>
          </w:tcPr>
          <w:p w14:paraId="296B811B">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559" w:type="dxa"/>
            <w:vAlign w:val="center"/>
          </w:tcPr>
          <w:p w14:paraId="4BA5C96A">
            <w:pPr>
              <w:keepNext w:val="0"/>
              <w:keepLines w:val="0"/>
              <w:suppressLineNumbers w:val="0"/>
              <w:spacing w:before="0" w:beforeAutospacing="0" w:after="0" w:afterAutospacing="0"/>
              <w:ind w:left="0" w:right="0"/>
              <w:jc w:val="center"/>
              <w:rPr>
                <w:rFonts w:hint="default"/>
                <w:snapToGrid w:val="0"/>
                <w:color w:val="auto"/>
                <w:kern w:val="21"/>
                <w:szCs w:val="21"/>
                <w:highlight w:val="none"/>
                <w:lang w:val="en-US" w:eastAsia="zh-CN"/>
              </w:rPr>
            </w:pPr>
            <w:r>
              <w:rPr>
                <w:rFonts w:hint="eastAsia"/>
                <w:snapToGrid w:val="0"/>
                <w:color w:val="auto"/>
                <w:kern w:val="21"/>
                <w:szCs w:val="21"/>
                <w:highlight w:val="none"/>
                <w:lang w:val="en-US" w:eastAsia="zh-CN"/>
              </w:rPr>
              <w:t>0.01056</w:t>
            </w:r>
            <w:r>
              <w:rPr>
                <w:rFonts w:hint="eastAsia" w:ascii="Times New Roman" w:hAnsi="Times New Roman" w:cs="Times New Roman"/>
                <w:color w:val="auto"/>
                <w:szCs w:val="21"/>
                <w:highlight w:val="none"/>
                <w:lang w:val="en-US" w:eastAsia="zh-CN"/>
              </w:rPr>
              <w:t>t/a</w:t>
            </w:r>
          </w:p>
        </w:tc>
        <w:tc>
          <w:tcPr>
            <w:tcW w:w="1761" w:type="dxa"/>
            <w:vAlign w:val="center"/>
          </w:tcPr>
          <w:p w14:paraId="37498997">
            <w:pPr>
              <w:keepNext w:val="0"/>
              <w:keepLines w:val="0"/>
              <w:suppressLineNumbers w:val="0"/>
              <w:spacing w:before="0" w:beforeAutospacing="0" w:after="0" w:afterAutospacing="0"/>
              <w:ind w:left="0" w:right="0"/>
              <w:jc w:val="center"/>
              <w:rPr>
                <w:rFonts w:hint="default"/>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c>
          <w:tcPr>
            <w:tcW w:w="1959" w:type="dxa"/>
            <w:shd w:val="clear" w:color="auto" w:fill="auto"/>
            <w:vAlign w:val="center"/>
          </w:tcPr>
          <w:p w14:paraId="2EEC1CBC">
            <w:pPr>
              <w:pStyle w:val="48"/>
              <w:keepNext w:val="0"/>
              <w:keepLines w:val="0"/>
              <w:suppressLineNumbers w:val="0"/>
              <w:spacing w:before="0" w:beforeLines="0" w:beforeAutospacing="0" w:after="0" w:afterLines="0" w:afterAutospacing="0" w:line="240" w:lineRule="auto"/>
              <w:ind w:right="0"/>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0.01056t/a</w:t>
            </w:r>
          </w:p>
        </w:tc>
        <w:tc>
          <w:tcPr>
            <w:tcW w:w="826" w:type="dxa"/>
            <w:vAlign w:val="center"/>
          </w:tcPr>
          <w:p w14:paraId="7BACE7B4">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left"/>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+0.01056t/a</w:t>
            </w:r>
          </w:p>
        </w:tc>
      </w:tr>
      <w:tr w14:paraId="31A741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continue"/>
            <w:vAlign w:val="center"/>
          </w:tcPr>
          <w:p w14:paraId="7A51D4FA">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1350" w:type="dxa"/>
            <w:vMerge w:val="continue"/>
            <w:vAlign w:val="center"/>
          </w:tcPr>
          <w:p w14:paraId="1A28303C">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945" w:type="dxa"/>
            <w:vAlign w:val="center"/>
          </w:tcPr>
          <w:p w14:paraId="25A72CAA">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hint="eastAsia" w:ascii="Times New Roman"/>
                <w:snapToGrid w:val="0"/>
                <w:color w:val="auto"/>
                <w:kern w:val="21"/>
                <w:szCs w:val="21"/>
                <w:highlight w:val="none"/>
              </w:rPr>
              <w:t>石油类</w:t>
            </w:r>
          </w:p>
        </w:tc>
        <w:tc>
          <w:tcPr>
            <w:tcW w:w="1435" w:type="dxa"/>
            <w:shd w:val="clear" w:color="auto" w:fill="auto"/>
            <w:vAlign w:val="center"/>
          </w:tcPr>
          <w:p w14:paraId="6F35DC94">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ascii="Times New Roman" w:hAnsi="Times New Roman" w:eastAsia="宋体" w:cs="Times New Roman"/>
                <w:color w:val="auto"/>
                <w:kern w:val="0"/>
                <w:sz w:val="21"/>
                <w:szCs w:val="21"/>
                <w:highlight w:val="none"/>
                <w:lang w:val="en-US" w:eastAsia="zh-CN" w:bidi="ar-SA"/>
              </w:rPr>
            </w:pPr>
            <w:r>
              <w:rPr>
                <w:color w:val="auto"/>
                <w:sz w:val="21"/>
                <w:szCs w:val="21"/>
                <w:highlight w:val="none"/>
              </w:rPr>
              <w:t>＜3.29*10</w:t>
            </w:r>
            <w:r>
              <w:rPr>
                <w:color w:val="auto"/>
                <w:sz w:val="21"/>
                <w:szCs w:val="21"/>
                <w:highlight w:val="none"/>
                <w:vertAlign w:val="superscript"/>
              </w:rPr>
              <w:t>-4</w:t>
            </w:r>
            <w:r>
              <w:rPr>
                <w:rFonts w:hint="eastAsia" w:ascii="Times New Roman" w:hAnsi="Times New Roman" w:cs="Times New Roman"/>
                <w:color w:val="auto"/>
                <w:szCs w:val="21"/>
                <w:highlight w:val="none"/>
                <w:lang w:val="en-US" w:eastAsia="zh-CN"/>
              </w:rPr>
              <w:t>t/a</w:t>
            </w:r>
          </w:p>
        </w:tc>
        <w:tc>
          <w:tcPr>
            <w:tcW w:w="1435" w:type="dxa"/>
            <w:shd w:val="clear" w:color="auto" w:fill="auto"/>
            <w:vAlign w:val="center"/>
          </w:tcPr>
          <w:p w14:paraId="1BFB85B5">
            <w:pPr>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r>
              <w:rPr>
                <w:rFonts w:hint="eastAsia"/>
                <w:snapToGrid w:val="0"/>
                <w:color w:val="auto"/>
                <w:kern w:val="21"/>
                <w:szCs w:val="21"/>
                <w:highlight w:val="none"/>
              </w:rPr>
              <w:t>/</w:t>
            </w:r>
          </w:p>
        </w:tc>
        <w:tc>
          <w:tcPr>
            <w:tcW w:w="1437" w:type="dxa"/>
            <w:vAlign w:val="center"/>
          </w:tcPr>
          <w:p w14:paraId="7C5971CE">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559" w:type="dxa"/>
            <w:vAlign w:val="center"/>
          </w:tcPr>
          <w:p w14:paraId="35F79BEB">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eastAsia="zh-CN"/>
              </w:rPr>
            </w:pPr>
            <w:r>
              <w:rPr>
                <w:rFonts w:hint="eastAsia"/>
                <w:snapToGrid w:val="0"/>
                <w:color w:val="auto"/>
                <w:kern w:val="21"/>
                <w:szCs w:val="21"/>
                <w:highlight w:val="none"/>
                <w:lang w:val="en-US" w:eastAsia="zh-CN"/>
              </w:rPr>
              <w:t>/</w:t>
            </w:r>
          </w:p>
        </w:tc>
        <w:tc>
          <w:tcPr>
            <w:tcW w:w="1761" w:type="dxa"/>
            <w:vAlign w:val="center"/>
          </w:tcPr>
          <w:p w14:paraId="44C88195">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c>
          <w:tcPr>
            <w:tcW w:w="1959" w:type="dxa"/>
            <w:shd w:val="clear" w:color="auto" w:fill="auto"/>
            <w:vAlign w:val="center"/>
          </w:tcPr>
          <w:p w14:paraId="39551F25">
            <w:pPr>
              <w:pStyle w:val="20"/>
              <w:keepNext w:val="0"/>
              <w:keepLines w:val="0"/>
              <w:pageBreakBefore w:val="0"/>
              <w:suppressLineNumbers w:val="0"/>
              <w:pBdr>
                <w:bottom w:val="none" w:color="auto" w:sz="0" w:space="0"/>
              </w:pBdr>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ascii="Times New Roman" w:hAnsi="Times New Roman" w:eastAsia="宋体" w:cs="Times New Roman"/>
                <w:color w:val="auto"/>
                <w:kern w:val="0"/>
                <w:sz w:val="21"/>
                <w:szCs w:val="21"/>
                <w:highlight w:val="none"/>
                <w:lang w:val="en-US" w:eastAsia="zh-CN" w:bidi="ar-SA"/>
              </w:rPr>
            </w:pPr>
            <w:r>
              <w:rPr>
                <w:color w:val="auto"/>
                <w:sz w:val="21"/>
                <w:szCs w:val="21"/>
                <w:highlight w:val="none"/>
              </w:rPr>
              <w:t>＜3.29*10</w:t>
            </w:r>
            <w:r>
              <w:rPr>
                <w:color w:val="auto"/>
                <w:sz w:val="21"/>
                <w:szCs w:val="21"/>
                <w:highlight w:val="none"/>
                <w:vertAlign w:val="superscript"/>
              </w:rPr>
              <w:t>-4</w:t>
            </w:r>
            <w:r>
              <w:rPr>
                <w:rFonts w:hint="eastAsia" w:ascii="Times New Roman" w:hAnsi="Times New Roman" w:cs="Times New Roman"/>
                <w:color w:val="auto"/>
                <w:szCs w:val="21"/>
                <w:highlight w:val="none"/>
                <w:lang w:val="en-US" w:eastAsia="zh-CN"/>
              </w:rPr>
              <w:t>t/a</w:t>
            </w:r>
          </w:p>
        </w:tc>
        <w:tc>
          <w:tcPr>
            <w:tcW w:w="826" w:type="dxa"/>
            <w:vAlign w:val="center"/>
          </w:tcPr>
          <w:p w14:paraId="50F97F7D">
            <w:pPr>
              <w:pStyle w:val="48"/>
              <w:keepNext w:val="0"/>
              <w:keepLines w:val="0"/>
              <w:suppressLineNumbers w:val="0"/>
              <w:spacing w:before="0" w:beforeLines="0" w:beforeAutospacing="0" w:after="0" w:afterLines="0" w:afterAutospacing="0" w:line="240" w:lineRule="auto"/>
              <w:ind w:right="0"/>
              <w:rPr>
                <w:rFonts w:hint="eastAsia"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w:t>
            </w:r>
          </w:p>
        </w:tc>
      </w:tr>
      <w:tr w14:paraId="66F782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Align w:val="center"/>
          </w:tcPr>
          <w:p w14:paraId="4DAB79F5">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ascii="Times New Roman"/>
                <w:snapToGrid w:val="0"/>
                <w:color w:val="auto"/>
                <w:kern w:val="21"/>
                <w:szCs w:val="21"/>
                <w:highlight w:val="none"/>
              </w:rPr>
              <w:t>一般工业</w:t>
            </w:r>
          </w:p>
          <w:p w14:paraId="25D16F29">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ascii="Times New Roman"/>
                <w:snapToGrid w:val="0"/>
                <w:color w:val="auto"/>
                <w:kern w:val="21"/>
                <w:szCs w:val="21"/>
                <w:highlight w:val="none"/>
              </w:rPr>
              <w:t>固体废物</w:t>
            </w:r>
          </w:p>
        </w:tc>
        <w:tc>
          <w:tcPr>
            <w:tcW w:w="2295" w:type="dxa"/>
            <w:gridSpan w:val="2"/>
            <w:shd w:val="clear" w:color="auto" w:fill="auto"/>
            <w:vAlign w:val="center"/>
          </w:tcPr>
          <w:p w14:paraId="5AC2F92A">
            <w:pPr>
              <w:pStyle w:val="86"/>
              <w:keepNext w:val="0"/>
              <w:keepLines w:val="0"/>
              <w:pageBreakBefore w:val="0"/>
              <w:suppressLineNumbers w:val="0"/>
              <w:kinsoku/>
              <w:wordWrap/>
              <w:overflowPunct/>
              <w:topLinePunct w:val="0"/>
              <w:bidi w:val="0"/>
              <w:adjustRightInd/>
              <w:snapToGrid/>
              <w:spacing w:before="0" w:beforeAutospacing="0" w:after="0" w:afterAutospacing="0"/>
              <w:ind w:left="0" w:right="0" w:firstLine="0" w:firstLineChars="0"/>
              <w:textAlignment w:val="auto"/>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rPr>
              <w:t>生活垃圾</w:t>
            </w:r>
          </w:p>
        </w:tc>
        <w:tc>
          <w:tcPr>
            <w:tcW w:w="1435" w:type="dxa"/>
            <w:shd w:val="clear" w:color="auto" w:fill="auto"/>
            <w:vAlign w:val="center"/>
          </w:tcPr>
          <w:p w14:paraId="3D66B0D7">
            <w:pPr>
              <w:pStyle w:val="8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0.5</w:t>
            </w:r>
            <w:r>
              <w:rPr>
                <w:rFonts w:hint="eastAsia" w:ascii="Times New Roman" w:hAnsi="Times New Roman" w:cs="Times New Roman"/>
                <w:color w:val="auto"/>
                <w:szCs w:val="21"/>
                <w:highlight w:val="none"/>
                <w:lang w:val="en-US" w:eastAsia="zh-CN"/>
              </w:rPr>
              <w:t>t/a</w:t>
            </w:r>
          </w:p>
        </w:tc>
        <w:tc>
          <w:tcPr>
            <w:tcW w:w="1435" w:type="dxa"/>
            <w:shd w:val="clear" w:color="auto" w:fill="auto"/>
            <w:vAlign w:val="center"/>
          </w:tcPr>
          <w:p w14:paraId="45D8C888">
            <w:pPr>
              <w:keepNext w:val="0"/>
              <w:keepLines w:val="0"/>
              <w:pageBreakBefore w:val="0"/>
              <w:suppressLineNumbers w:val="0"/>
              <w:kinsoku/>
              <w:wordWrap/>
              <w:overflowPunct/>
              <w:topLinePunct w:val="0"/>
              <w:bidi w:val="0"/>
              <w:adjustRightInd/>
              <w:snapToGrid/>
              <w:spacing w:before="0" w:beforeAutospacing="0" w:after="0" w:afterAutospacing="0"/>
              <w:ind w:left="0" w:right="0" w:firstLine="0" w:firstLineChars="0"/>
              <w:jc w:val="center"/>
              <w:textAlignment w:val="auto"/>
              <w:rPr>
                <w:rFonts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437" w:type="dxa"/>
            <w:shd w:val="clear" w:color="auto" w:fill="auto"/>
            <w:vAlign w:val="center"/>
          </w:tcPr>
          <w:p w14:paraId="7CB40E10">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559" w:type="dxa"/>
            <w:vAlign w:val="center"/>
          </w:tcPr>
          <w:p w14:paraId="6A0F05B3">
            <w:pPr>
              <w:keepNext w:val="0"/>
              <w:keepLines w:val="0"/>
              <w:suppressLineNumbers w:val="0"/>
              <w:spacing w:before="0" w:beforeAutospacing="0" w:after="0" w:afterAutospacing="0"/>
              <w:ind w:left="0" w:right="0"/>
              <w:jc w:val="center"/>
              <w:rPr>
                <w:rFonts w:hint="eastAsia" w:eastAsia="宋体"/>
                <w:color w:val="auto"/>
                <w:highlight w:val="none"/>
                <w:lang w:eastAsia="zh-CN"/>
              </w:rPr>
            </w:pPr>
            <w:r>
              <w:rPr>
                <w:rFonts w:hint="eastAsia"/>
                <w:snapToGrid w:val="0"/>
                <w:color w:val="auto"/>
                <w:kern w:val="21"/>
                <w:szCs w:val="21"/>
                <w:highlight w:val="none"/>
                <w:lang w:val="en-US" w:eastAsia="zh-CN"/>
              </w:rPr>
              <w:t>/</w:t>
            </w:r>
          </w:p>
        </w:tc>
        <w:tc>
          <w:tcPr>
            <w:tcW w:w="1761" w:type="dxa"/>
            <w:vAlign w:val="center"/>
          </w:tcPr>
          <w:p w14:paraId="17265C13">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959" w:type="dxa"/>
            <w:shd w:val="clear" w:color="auto" w:fill="auto"/>
            <w:vAlign w:val="center"/>
          </w:tcPr>
          <w:p w14:paraId="7CCF9FEA">
            <w:pPr>
              <w:keepNext w:val="0"/>
              <w:keepLines w:val="0"/>
              <w:suppressLineNumbers w:val="0"/>
              <w:spacing w:before="0" w:beforeAutospacing="0" w:after="0" w:afterAutospacing="0"/>
              <w:ind w:left="0" w:right="0"/>
              <w:jc w:val="center"/>
              <w:rPr>
                <w:color w:val="auto"/>
                <w:highlight w:val="none"/>
              </w:rPr>
            </w:pPr>
            <w:r>
              <w:rPr>
                <w:rFonts w:hint="eastAsia"/>
                <w:snapToGrid w:val="0"/>
                <w:color w:val="auto"/>
                <w:kern w:val="21"/>
                <w:szCs w:val="21"/>
                <w:highlight w:val="none"/>
                <w:lang w:val="en-US" w:eastAsia="zh-CN"/>
              </w:rPr>
              <w:t>0.5</w:t>
            </w:r>
            <w:r>
              <w:rPr>
                <w:rFonts w:hint="eastAsia"/>
                <w:snapToGrid w:val="0"/>
                <w:color w:val="auto"/>
                <w:kern w:val="21"/>
                <w:szCs w:val="21"/>
                <w:highlight w:val="none"/>
              </w:rPr>
              <w:t>t/a</w:t>
            </w:r>
          </w:p>
        </w:tc>
        <w:tc>
          <w:tcPr>
            <w:tcW w:w="826" w:type="dxa"/>
            <w:vAlign w:val="center"/>
          </w:tcPr>
          <w:p w14:paraId="619803EC">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hint="eastAsia" w:ascii="Times New Roman"/>
                <w:snapToGrid w:val="0"/>
                <w:color w:val="auto"/>
                <w:kern w:val="21"/>
                <w:szCs w:val="21"/>
                <w:highlight w:val="none"/>
              </w:rPr>
              <w:t>/</w:t>
            </w:r>
          </w:p>
        </w:tc>
      </w:tr>
      <w:tr w14:paraId="05FA1E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restart"/>
            <w:vAlign w:val="center"/>
          </w:tcPr>
          <w:p w14:paraId="006D2539">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ascii="Times New Roman"/>
                <w:snapToGrid w:val="0"/>
                <w:color w:val="auto"/>
                <w:kern w:val="21"/>
                <w:szCs w:val="21"/>
                <w:highlight w:val="none"/>
              </w:rPr>
              <w:t>危险废物</w:t>
            </w:r>
          </w:p>
        </w:tc>
        <w:tc>
          <w:tcPr>
            <w:tcW w:w="2295" w:type="dxa"/>
            <w:gridSpan w:val="2"/>
            <w:shd w:val="clear" w:color="auto" w:fill="auto"/>
            <w:vAlign w:val="center"/>
          </w:tcPr>
          <w:p w14:paraId="78F1B457">
            <w:pPr>
              <w:pStyle w:val="86"/>
              <w:keepNext w:val="0"/>
              <w:keepLines w:val="0"/>
              <w:pageBreakBefore w:val="0"/>
              <w:suppressLineNumbers w:val="0"/>
              <w:kinsoku/>
              <w:wordWrap/>
              <w:overflowPunct/>
              <w:topLinePunct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rPr>
              <w:t>废过滤网</w:t>
            </w:r>
            <w:r>
              <w:rPr>
                <w:rFonts w:hint="eastAsia"/>
                <w:color w:val="auto"/>
                <w:highlight w:val="none"/>
                <w:lang w:val="en-US" w:eastAsia="zh-CN"/>
              </w:rPr>
              <w:t>及废杂志</w:t>
            </w:r>
          </w:p>
        </w:tc>
        <w:tc>
          <w:tcPr>
            <w:tcW w:w="1435" w:type="dxa"/>
            <w:shd w:val="clear" w:color="auto" w:fill="auto"/>
            <w:vAlign w:val="center"/>
          </w:tcPr>
          <w:p w14:paraId="4046DF03">
            <w:pPr>
              <w:pStyle w:val="8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1.1</w:t>
            </w:r>
            <w:r>
              <w:rPr>
                <w:rFonts w:hint="eastAsia" w:ascii="Times New Roman" w:hAnsi="Times New Roman" w:cs="Times New Roman"/>
                <w:color w:val="auto"/>
                <w:szCs w:val="21"/>
                <w:highlight w:val="none"/>
                <w:lang w:val="en-US" w:eastAsia="zh-CN"/>
              </w:rPr>
              <w:t>t/a</w:t>
            </w:r>
          </w:p>
        </w:tc>
        <w:tc>
          <w:tcPr>
            <w:tcW w:w="1435" w:type="dxa"/>
            <w:shd w:val="clear" w:color="auto" w:fill="auto"/>
            <w:vAlign w:val="center"/>
          </w:tcPr>
          <w:p w14:paraId="11A58D1D">
            <w:pPr>
              <w:keepNext w:val="0"/>
              <w:keepLines w:val="0"/>
              <w:pageBreakBefore w:val="0"/>
              <w:suppressLineNumbers w:val="0"/>
              <w:kinsoku/>
              <w:wordWrap/>
              <w:overflowPunct/>
              <w:topLinePunct w:val="0"/>
              <w:bidi w:val="0"/>
              <w:adjustRightInd/>
              <w:snapToGrid/>
              <w:spacing w:before="0" w:beforeAutospacing="0" w:after="0" w:afterAutospacing="0"/>
              <w:ind w:left="0" w:right="0" w:firstLine="0" w:firstLineChars="0"/>
              <w:jc w:val="center"/>
              <w:textAlignment w:val="auto"/>
              <w:rPr>
                <w:rFonts w:ascii="Times New Roman" w:hAnsi="Times New Roman" w:eastAsia="宋体" w:cs="Times New Roman"/>
                <w:bCs/>
                <w:color w:val="auto"/>
                <w:kern w:val="2"/>
                <w:sz w:val="21"/>
                <w:szCs w:val="21"/>
                <w:highlight w:val="none"/>
                <w:lang w:val="en-US" w:eastAsia="zh-CN" w:bidi="ar-SA"/>
              </w:rPr>
            </w:pPr>
            <w:r>
              <w:rPr>
                <w:rFonts w:hint="eastAsia"/>
                <w:snapToGrid w:val="0"/>
                <w:color w:val="auto"/>
                <w:kern w:val="21"/>
                <w:szCs w:val="21"/>
                <w:highlight w:val="none"/>
              </w:rPr>
              <w:t>/</w:t>
            </w:r>
          </w:p>
        </w:tc>
        <w:tc>
          <w:tcPr>
            <w:tcW w:w="1437" w:type="dxa"/>
            <w:shd w:val="clear" w:color="auto" w:fill="auto"/>
            <w:vAlign w:val="center"/>
          </w:tcPr>
          <w:p w14:paraId="176916E2">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snapToGrid w:val="0"/>
                <w:color w:val="auto"/>
                <w:kern w:val="21"/>
                <w:szCs w:val="21"/>
                <w:highlight w:val="none"/>
              </w:rPr>
              <w:t>/</w:t>
            </w:r>
          </w:p>
        </w:tc>
        <w:tc>
          <w:tcPr>
            <w:tcW w:w="1559" w:type="dxa"/>
            <w:vAlign w:val="center"/>
          </w:tcPr>
          <w:p w14:paraId="08CE7363">
            <w:pPr>
              <w:keepNext w:val="0"/>
              <w:keepLines w:val="0"/>
              <w:suppressLineNumbers w:val="0"/>
              <w:spacing w:before="0" w:beforeAutospacing="0" w:after="0" w:afterAutospacing="0"/>
              <w:ind w:left="0" w:right="0"/>
              <w:jc w:val="center"/>
              <w:rPr>
                <w:color w:val="auto"/>
                <w:highlight w:val="none"/>
              </w:rPr>
            </w:pPr>
            <w:r>
              <w:rPr>
                <w:rFonts w:hint="eastAsia"/>
                <w:snapToGrid w:val="0"/>
                <w:color w:val="auto"/>
                <w:kern w:val="21"/>
                <w:szCs w:val="21"/>
                <w:highlight w:val="none"/>
                <w:lang w:val="en-US" w:eastAsia="zh-CN"/>
              </w:rPr>
              <w:t>0.13</w:t>
            </w:r>
            <w:r>
              <w:rPr>
                <w:rFonts w:hint="eastAsia"/>
                <w:snapToGrid w:val="0"/>
                <w:color w:val="auto"/>
                <w:kern w:val="21"/>
                <w:szCs w:val="21"/>
                <w:highlight w:val="none"/>
              </w:rPr>
              <w:t>t/a</w:t>
            </w:r>
          </w:p>
        </w:tc>
        <w:tc>
          <w:tcPr>
            <w:tcW w:w="1761" w:type="dxa"/>
            <w:vAlign w:val="center"/>
          </w:tcPr>
          <w:p w14:paraId="1F51C49D">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959" w:type="dxa"/>
            <w:shd w:val="clear" w:color="auto" w:fill="auto"/>
            <w:vAlign w:val="center"/>
          </w:tcPr>
          <w:p w14:paraId="32E421F2">
            <w:pPr>
              <w:keepNext w:val="0"/>
              <w:keepLines w:val="0"/>
              <w:suppressLineNumbers w:val="0"/>
              <w:spacing w:before="0" w:beforeAutospacing="0" w:after="0" w:afterAutospacing="0"/>
              <w:ind w:left="0" w:right="0"/>
              <w:jc w:val="center"/>
              <w:rPr>
                <w:color w:val="auto"/>
                <w:highlight w:val="none"/>
              </w:rPr>
            </w:pPr>
            <w:r>
              <w:rPr>
                <w:rFonts w:hint="eastAsia"/>
                <w:snapToGrid w:val="0"/>
                <w:color w:val="auto"/>
                <w:kern w:val="21"/>
                <w:szCs w:val="21"/>
                <w:highlight w:val="none"/>
                <w:lang w:val="en-US" w:eastAsia="zh-CN"/>
              </w:rPr>
              <w:t>1.23</w:t>
            </w:r>
            <w:r>
              <w:rPr>
                <w:rFonts w:hint="eastAsia"/>
                <w:snapToGrid w:val="0"/>
                <w:color w:val="auto"/>
                <w:kern w:val="21"/>
                <w:szCs w:val="21"/>
                <w:highlight w:val="none"/>
              </w:rPr>
              <w:t>t/a</w:t>
            </w:r>
          </w:p>
        </w:tc>
        <w:tc>
          <w:tcPr>
            <w:tcW w:w="826" w:type="dxa"/>
            <w:vAlign w:val="center"/>
          </w:tcPr>
          <w:p w14:paraId="632F6FBA">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r>
              <w:rPr>
                <w:rFonts w:ascii="Times New Roman"/>
                <w:snapToGrid w:val="0"/>
                <w:color w:val="auto"/>
                <w:kern w:val="21"/>
                <w:szCs w:val="21"/>
                <w:highlight w:val="none"/>
              </w:rPr>
              <w:t>/</w:t>
            </w:r>
          </w:p>
        </w:tc>
      </w:tr>
      <w:tr w14:paraId="3CDF9D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continue"/>
            <w:vAlign w:val="center"/>
          </w:tcPr>
          <w:p w14:paraId="715579E3">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2295" w:type="dxa"/>
            <w:gridSpan w:val="2"/>
            <w:shd w:val="clear" w:color="auto" w:fill="auto"/>
            <w:vAlign w:val="center"/>
          </w:tcPr>
          <w:p w14:paraId="4C7573C0">
            <w:pPr>
              <w:pStyle w:val="86"/>
              <w:keepNext w:val="0"/>
              <w:keepLines w:val="0"/>
              <w:pageBreakBefore w:val="0"/>
              <w:suppressLineNumbers w:val="0"/>
              <w:kinsoku/>
              <w:wordWrap/>
              <w:overflowPunct/>
              <w:topLinePunct w:val="0"/>
              <w:bidi w:val="0"/>
              <w:adjustRightInd/>
              <w:snapToGrid/>
              <w:spacing w:before="0" w:beforeAutospacing="0" w:after="0" w:afterAutospacing="0"/>
              <w:ind w:left="0" w:right="0" w:firstLine="0" w:firstLineChars="0"/>
              <w:textAlignment w:val="auto"/>
              <w:rPr>
                <w:rFonts w:hint="default" w:eastAsia="宋体"/>
                <w:color w:val="auto"/>
                <w:highlight w:val="none"/>
                <w:lang w:val="en-US" w:eastAsia="zh-CN"/>
              </w:rPr>
            </w:pPr>
            <w:r>
              <w:rPr>
                <w:rFonts w:hint="eastAsia"/>
                <w:color w:val="auto"/>
                <w:highlight w:val="none"/>
                <w:lang w:val="en-US" w:eastAsia="zh-CN"/>
              </w:rPr>
              <w:t>落地石蜡</w:t>
            </w:r>
          </w:p>
        </w:tc>
        <w:tc>
          <w:tcPr>
            <w:tcW w:w="1435" w:type="dxa"/>
            <w:shd w:val="clear" w:color="auto" w:fill="auto"/>
            <w:vAlign w:val="center"/>
          </w:tcPr>
          <w:p w14:paraId="4AB551FC">
            <w:pPr>
              <w:pStyle w:val="8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color w:val="auto"/>
                <w:highlight w:val="none"/>
                <w:lang w:val="en-US" w:eastAsia="zh-CN"/>
              </w:rPr>
            </w:pPr>
            <w:r>
              <w:rPr>
                <w:rFonts w:hint="eastAsia"/>
                <w:color w:val="auto"/>
                <w:highlight w:val="none"/>
                <w:lang w:val="en-US" w:eastAsia="zh-CN"/>
              </w:rPr>
              <w:t>0.4t/a</w:t>
            </w:r>
          </w:p>
        </w:tc>
        <w:tc>
          <w:tcPr>
            <w:tcW w:w="1435" w:type="dxa"/>
            <w:shd w:val="clear" w:color="auto" w:fill="auto"/>
            <w:vAlign w:val="center"/>
          </w:tcPr>
          <w:p w14:paraId="7501CF4B">
            <w:pPr>
              <w:keepNext w:val="0"/>
              <w:keepLines w:val="0"/>
              <w:pageBreakBefore w:val="0"/>
              <w:suppressLineNumbers w:val="0"/>
              <w:kinsoku/>
              <w:wordWrap/>
              <w:overflowPunct/>
              <w:topLinePunct w:val="0"/>
              <w:bidi w:val="0"/>
              <w:adjustRightInd/>
              <w:snapToGrid/>
              <w:spacing w:before="0" w:beforeAutospacing="0" w:after="0" w:afterAutospacing="0"/>
              <w:ind w:left="0" w:right="0" w:firstLine="0" w:firstLineChars="0"/>
              <w:jc w:val="center"/>
              <w:textAlignment w:val="auto"/>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c>
          <w:tcPr>
            <w:tcW w:w="1437" w:type="dxa"/>
            <w:shd w:val="clear" w:color="auto" w:fill="auto"/>
            <w:vAlign w:val="center"/>
          </w:tcPr>
          <w:p w14:paraId="4973BE8C">
            <w:pPr>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auto"/>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c>
          <w:tcPr>
            <w:tcW w:w="1559" w:type="dxa"/>
            <w:vAlign w:val="center"/>
          </w:tcPr>
          <w:p w14:paraId="7AB13120">
            <w:pPr>
              <w:keepNext w:val="0"/>
              <w:keepLines w:val="0"/>
              <w:suppressLineNumbers w:val="0"/>
              <w:spacing w:before="0" w:beforeAutospacing="0" w:after="0" w:afterAutospacing="0"/>
              <w:ind w:left="0" w:right="0"/>
              <w:jc w:val="center"/>
              <w:rPr>
                <w:rFonts w:hint="default"/>
                <w:snapToGrid w:val="0"/>
                <w:color w:val="auto"/>
                <w:kern w:val="21"/>
                <w:szCs w:val="21"/>
                <w:highlight w:val="none"/>
                <w:lang w:val="en-US" w:eastAsia="zh-CN"/>
              </w:rPr>
            </w:pPr>
            <w:r>
              <w:rPr>
                <w:rFonts w:hint="eastAsia"/>
                <w:snapToGrid w:val="0"/>
                <w:color w:val="auto"/>
                <w:kern w:val="21"/>
                <w:szCs w:val="21"/>
                <w:highlight w:val="none"/>
                <w:lang w:val="en-US" w:eastAsia="zh-CN"/>
              </w:rPr>
              <w:t>2.7</w:t>
            </w:r>
            <w:r>
              <w:rPr>
                <w:rFonts w:hint="eastAsia"/>
                <w:snapToGrid w:val="0"/>
                <w:color w:val="auto"/>
                <w:kern w:val="21"/>
                <w:szCs w:val="21"/>
                <w:highlight w:val="none"/>
              </w:rPr>
              <w:t>t/a</w:t>
            </w:r>
          </w:p>
        </w:tc>
        <w:tc>
          <w:tcPr>
            <w:tcW w:w="1761" w:type="dxa"/>
            <w:vAlign w:val="center"/>
          </w:tcPr>
          <w:p w14:paraId="3350AD1E">
            <w:pPr>
              <w:keepNext w:val="0"/>
              <w:keepLines w:val="0"/>
              <w:suppressLineNumbers w:val="0"/>
              <w:spacing w:before="0" w:beforeAutospacing="0" w:after="0" w:afterAutospacing="0"/>
              <w:ind w:left="0" w:right="0"/>
              <w:jc w:val="center"/>
              <w:rPr>
                <w:rFonts w:hint="default"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0.2t/a</w:t>
            </w:r>
          </w:p>
        </w:tc>
        <w:tc>
          <w:tcPr>
            <w:tcW w:w="1959" w:type="dxa"/>
            <w:shd w:val="clear" w:color="auto" w:fill="auto"/>
            <w:vAlign w:val="center"/>
          </w:tcPr>
          <w:p w14:paraId="7010E0F6">
            <w:pPr>
              <w:keepNext w:val="0"/>
              <w:keepLines w:val="0"/>
              <w:suppressLineNumbers w:val="0"/>
              <w:spacing w:before="0" w:beforeAutospacing="0" w:after="0" w:afterAutospacing="0"/>
              <w:ind w:left="0" w:right="0"/>
              <w:jc w:val="center"/>
              <w:rPr>
                <w:rFonts w:hint="default"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2.9t/a</w:t>
            </w:r>
          </w:p>
        </w:tc>
        <w:tc>
          <w:tcPr>
            <w:tcW w:w="826" w:type="dxa"/>
            <w:vAlign w:val="center"/>
          </w:tcPr>
          <w:p w14:paraId="70F89290">
            <w:pPr>
              <w:pStyle w:val="48"/>
              <w:keepNext w:val="0"/>
              <w:keepLines w:val="0"/>
              <w:suppressLineNumbers w:val="0"/>
              <w:spacing w:before="0" w:beforeLines="0" w:beforeAutospacing="0" w:after="0" w:afterLines="0" w:afterAutospacing="0" w:line="240" w:lineRule="auto"/>
              <w:ind w:right="0"/>
              <w:rPr>
                <w:rFonts w:hint="default" w:ascii="Times New Roman" w:eastAsia="宋体"/>
                <w:snapToGrid w:val="0"/>
                <w:color w:val="auto"/>
                <w:kern w:val="21"/>
                <w:szCs w:val="21"/>
                <w:highlight w:val="none"/>
                <w:lang w:val="en-US" w:eastAsia="zh-CN"/>
              </w:rPr>
            </w:pPr>
            <w:r>
              <w:rPr>
                <w:rFonts w:hint="eastAsia" w:ascii="Times New Roman"/>
                <w:snapToGrid w:val="0"/>
                <w:color w:val="auto"/>
                <w:kern w:val="21"/>
                <w:szCs w:val="21"/>
                <w:highlight w:val="none"/>
                <w:lang w:val="en-US" w:eastAsia="zh-CN"/>
              </w:rPr>
              <w:t>+2.5</w:t>
            </w:r>
          </w:p>
        </w:tc>
      </w:tr>
      <w:tr w14:paraId="0B579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1" w:type="dxa"/>
            <w:vMerge w:val="continue"/>
            <w:vAlign w:val="center"/>
          </w:tcPr>
          <w:p w14:paraId="2D68E02A">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c>
          <w:tcPr>
            <w:tcW w:w="2295" w:type="dxa"/>
            <w:gridSpan w:val="2"/>
            <w:shd w:val="clear" w:color="auto" w:fill="auto"/>
            <w:vAlign w:val="center"/>
          </w:tcPr>
          <w:p w14:paraId="6E4C18FC">
            <w:pPr>
              <w:pStyle w:val="86"/>
              <w:keepNext w:val="0"/>
              <w:keepLines w:val="0"/>
              <w:pageBreakBefore w:val="0"/>
              <w:suppressLineNumbers w:val="0"/>
              <w:kinsoku/>
              <w:wordWrap/>
              <w:overflowPunct/>
              <w:topLinePunct w:val="0"/>
              <w:bidi w:val="0"/>
              <w:adjustRightInd/>
              <w:snapToGrid/>
              <w:spacing w:before="0" w:beforeAutospacing="0" w:after="0" w:afterAutospacing="0"/>
              <w:ind w:left="0" w:right="0" w:firstLine="0" w:firstLineChars="0"/>
              <w:textAlignment w:val="auto"/>
              <w:rPr>
                <w:rFonts w:ascii="Times New Roman" w:hAnsi="Times New Roman" w:eastAsia="宋体" w:cs="Times New Roman"/>
                <w:bCs/>
                <w:color w:val="auto"/>
                <w:kern w:val="2"/>
                <w:sz w:val="21"/>
                <w:szCs w:val="21"/>
                <w:highlight w:val="none"/>
                <w:lang w:val="en-US" w:eastAsia="zh-CN" w:bidi="ar-SA"/>
              </w:rPr>
            </w:pPr>
            <w:r>
              <w:rPr>
                <w:rFonts w:hint="eastAsia"/>
                <w:bCs/>
                <w:color w:val="auto"/>
                <w:highlight w:val="none"/>
              </w:rPr>
              <w:t>废机油</w:t>
            </w:r>
          </w:p>
        </w:tc>
        <w:tc>
          <w:tcPr>
            <w:tcW w:w="1435" w:type="dxa"/>
            <w:shd w:val="clear" w:color="auto" w:fill="auto"/>
            <w:vAlign w:val="center"/>
          </w:tcPr>
          <w:p w14:paraId="71A1DE11">
            <w:pPr>
              <w:pStyle w:val="86"/>
              <w:keepNext w:val="0"/>
              <w:keepLines w:val="0"/>
              <w:pageBreakBefore w:val="0"/>
              <w:suppressLineNumbers w:val="0"/>
              <w:kinsoku/>
              <w:wordWrap/>
              <w:overflowPunct/>
              <w:topLinePunct w:val="0"/>
              <w:autoSpaceDE w:val="0"/>
              <w:autoSpaceDN w:val="0"/>
              <w:bidi w:val="0"/>
              <w:adjustRightInd/>
              <w:snapToGrid/>
              <w:spacing w:before="0" w:beforeAutospacing="0" w:after="0" w:afterAutospacing="0"/>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0.1</w:t>
            </w:r>
            <w:r>
              <w:rPr>
                <w:rFonts w:hint="eastAsia" w:ascii="Times New Roman" w:hAnsi="Times New Roman" w:cs="Times New Roman"/>
                <w:color w:val="auto"/>
                <w:szCs w:val="21"/>
                <w:highlight w:val="none"/>
                <w:lang w:val="en-US" w:eastAsia="zh-CN"/>
              </w:rPr>
              <w:t>t/a</w:t>
            </w:r>
          </w:p>
        </w:tc>
        <w:tc>
          <w:tcPr>
            <w:tcW w:w="1435" w:type="dxa"/>
            <w:vAlign w:val="center"/>
          </w:tcPr>
          <w:p w14:paraId="49AD59A4">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437" w:type="dxa"/>
            <w:vAlign w:val="center"/>
          </w:tcPr>
          <w:p w14:paraId="695211D9">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w:t>
            </w:r>
          </w:p>
        </w:tc>
        <w:tc>
          <w:tcPr>
            <w:tcW w:w="1559" w:type="dxa"/>
            <w:vAlign w:val="center"/>
          </w:tcPr>
          <w:p w14:paraId="3290C2E7">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eastAsia="zh-CN"/>
              </w:rPr>
            </w:pPr>
            <w:r>
              <w:rPr>
                <w:rFonts w:hint="eastAsia"/>
                <w:snapToGrid w:val="0"/>
                <w:color w:val="auto"/>
                <w:kern w:val="21"/>
                <w:szCs w:val="21"/>
                <w:highlight w:val="none"/>
                <w:lang w:val="en-US" w:eastAsia="zh-CN"/>
              </w:rPr>
              <w:t>/</w:t>
            </w:r>
          </w:p>
        </w:tc>
        <w:tc>
          <w:tcPr>
            <w:tcW w:w="1761" w:type="dxa"/>
            <w:vAlign w:val="center"/>
          </w:tcPr>
          <w:p w14:paraId="21E9EDF5">
            <w:pPr>
              <w:keepNext w:val="0"/>
              <w:keepLines w:val="0"/>
              <w:suppressLineNumbers w:val="0"/>
              <w:spacing w:before="0" w:beforeAutospacing="0" w:after="0" w:afterAutospacing="0"/>
              <w:ind w:left="0" w:right="0"/>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w:t>
            </w:r>
          </w:p>
        </w:tc>
        <w:tc>
          <w:tcPr>
            <w:tcW w:w="1959" w:type="dxa"/>
            <w:shd w:val="clear" w:color="auto" w:fill="auto"/>
            <w:vAlign w:val="center"/>
          </w:tcPr>
          <w:p w14:paraId="18404C25">
            <w:pPr>
              <w:keepNext w:val="0"/>
              <w:keepLines w:val="0"/>
              <w:suppressLineNumbers w:val="0"/>
              <w:spacing w:before="0" w:beforeAutospacing="0" w:after="0" w:afterAutospacing="0"/>
              <w:ind w:left="0" w:right="0"/>
              <w:jc w:val="center"/>
              <w:rPr>
                <w:snapToGrid w:val="0"/>
                <w:color w:val="auto"/>
                <w:kern w:val="21"/>
                <w:szCs w:val="21"/>
                <w:highlight w:val="none"/>
              </w:rPr>
            </w:pPr>
            <w:r>
              <w:rPr>
                <w:rFonts w:hint="eastAsia"/>
                <w:snapToGrid w:val="0"/>
                <w:color w:val="auto"/>
                <w:kern w:val="21"/>
                <w:szCs w:val="21"/>
                <w:highlight w:val="none"/>
              </w:rPr>
              <w:t xml:space="preserve">0.1t/a </w:t>
            </w:r>
          </w:p>
        </w:tc>
        <w:tc>
          <w:tcPr>
            <w:tcW w:w="826" w:type="dxa"/>
            <w:vAlign w:val="center"/>
          </w:tcPr>
          <w:p w14:paraId="69FB83C1">
            <w:pPr>
              <w:pStyle w:val="48"/>
              <w:keepNext w:val="0"/>
              <w:keepLines w:val="0"/>
              <w:suppressLineNumbers w:val="0"/>
              <w:spacing w:before="0" w:beforeLines="0" w:beforeAutospacing="0" w:after="0" w:afterLines="0" w:afterAutospacing="0" w:line="240" w:lineRule="auto"/>
              <w:ind w:right="0"/>
              <w:rPr>
                <w:rFonts w:ascii="Times New Roman"/>
                <w:snapToGrid w:val="0"/>
                <w:color w:val="auto"/>
                <w:kern w:val="21"/>
                <w:szCs w:val="21"/>
                <w:highlight w:val="none"/>
              </w:rPr>
            </w:pPr>
          </w:p>
        </w:tc>
      </w:tr>
    </w:tbl>
    <w:p w14:paraId="1CA16F39">
      <w:pPr>
        <w:pStyle w:val="48"/>
        <w:keepNext w:val="0"/>
        <w:keepLines w:val="0"/>
        <w:pageBreakBefore w:val="0"/>
        <w:widowControl w:val="0"/>
        <w:kinsoku/>
        <w:wordWrap/>
        <w:overflowPunct/>
        <w:topLinePunct w:val="0"/>
        <w:autoSpaceDE/>
        <w:autoSpaceDN/>
        <w:bidi w:val="0"/>
        <w:adjustRightInd w:val="0"/>
        <w:snapToGrid w:val="0"/>
        <w:spacing w:before="192" w:beforeLines="80" w:after="24" w:line="240" w:lineRule="auto"/>
        <w:ind w:left="0"/>
        <w:jc w:val="left"/>
        <w:textAlignment w:val="auto"/>
        <w:rPr>
          <w:rFonts w:ascii="Times New Roman"/>
          <w:snapToGrid w:val="0"/>
          <w:color w:val="auto"/>
          <w:spacing w:val="-6"/>
          <w:kern w:val="21"/>
          <w:szCs w:val="21"/>
          <w:highlight w:val="none"/>
        </w:rPr>
      </w:pPr>
      <w:r>
        <w:rPr>
          <w:rFonts w:ascii="Times New Roman"/>
          <w:snapToGrid w:val="0"/>
          <w:color w:val="auto"/>
          <w:kern w:val="21"/>
          <w:szCs w:val="21"/>
          <w:highlight w:val="none"/>
        </w:rPr>
        <w:t>注：</w:t>
      </w:r>
      <w:r>
        <w:rPr>
          <w:rFonts w:ascii="Times New Roman"/>
          <w:snapToGrid w:val="0"/>
          <w:color w:val="auto"/>
          <w:spacing w:val="-16"/>
          <w:kern w:val="21"/>
          <w:szCs w:val="21"/>
          <w:highlight w:val="none"/>
        </w:rPr>
        <w:fldChar w:fldCharType="begin"/>
      </w:r>
      <w:r>
        <w:rPr>
          <w:rFonts w:ascii="Times New Roman"/>
          <w:snapToGrid w:val="0"/>
          <w:color w:val="auto"/>
          <w:spacing w:val="-16"/>
          <w:kern w:val="21"/>
          <w:szCs w:val="21"/>
          <w:highlight w:val="none"/>
        </w:rPr>
        <w:instrText xml:space="preserve"> = 6 \* GB3 \* MERGEFORMAT </w:instrText>
      </w:r>
      <w:r>
        <w:rPr>
          <w:rFonts w:ascii="Times New Roman"/>
          <w:snapToGrid w:val="0"/>
          <w:color w:val="auto"/>
          <w:spacing w:val="-16"/>
          <w:kern w:val="21"/>
          <w:szCs w:val="21"/>
          <w:highlight w:val="none"/>
        </w:rPr>
        <w:fldChar w:fldCharType="separate"/>
      </w:r>
      <w:r>
        <w:rPr>
          <w:rFonts w:ascii="Times New Roman"/>
          <w:color w:val="auto"/>
          <w:szCs w:val="21"/>
          <w:highlight w:val="none"/>
        </w:rPr>
        <w:t>⑥</w:t>
      </w:r>
      <w:r>
        <w:rPr>
          <w:rFonts w:ascii="Times New Roman"/>
          <w:snapToGrid w:val="0"/>
          <w:color w:val="auto"/>
          <w:spacing w:val="-16"/>
          <w:kern w:val="21"/>
          <w:szCs w:val="21"/>
          <w:highlight w:val="none"/>
        </w:rPr>
        <w:fldChar w:fldCharType="end"/>
      </w:r>
      <w:r>
        <w:rPr>
          <w:rFonts w:ascii="Times New Roman"/>
          <w:snapToGrid w:val="0"/>
          <w:color w:val="auto"/>
          <w:spacing w:val="-1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1 \* GB3 \* MERGEFORMAT </w:instrText>
      </w:r>
      <w:r>
        <w:rPr>
          <w:rFonts w:ascii="Times New Roman"/>
          <w:snapToGrid w:val="0"/>
          <w:color w:val="auto"/>
          <w:spacing w:val="-6"/>
          <w:kern w:val="21"/>
          <w:szCs w:val="21"/>
          <w:highlight w:val="none"/>
        </w:rPr>
        <w:fldChar w:fldCharType="separate"/>
      </w:r>
      <w:r>
        <w:rPr>
          <w:rFonts w:ascii="Times New Roman"/>
          <w:color w:val="auto"/>
          <w:szCs w:val="21"/>
          <w:highlight w:val="none"/>
        </w:rPr>
        <w:t>①</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3 \* GB3 \* MERGEFORMAT </w:instrText>
      </w:r>
      <w:r>
        <w:rPr>
          <w:rFonts w:ascii="Times New Roman"/>
          <w:snapToGrid w:val="0"/>
          <w:color w:val="auto"/>
          <w:spacing w:val="-6"/>
          <w:kern w:val="21"/>
          <w:szCs w:val="21"/>
          <w:highlight w:val="none"/>
        </w:rPr>
        <w:fldChar w:fldCharType="separate"/>
      </w:r>
      <w:r>
        <w:rPr>
          <w:rFonts w:ascii="Times New Roman"/>
          <w:color w:val="auto"/>
          <w:szCs w:val="21"/>
          <w:highlight w:val="none"/>
        </w:rPr>
        <w:t>③</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4 \* GB3 \* MERGEFORMAT </w:instrText>
      </w:r>
      <w:r>
        <w:rPr>
          <w:rFonts w:ascii="Times New Roman"/>
          <w:snapToGrid w:val="0"/>
          <w:color w:val="auto"/>
          <w:spacing w:val="-6"/>
          <w:kern w:val="21"/>
          <w:szCs w:val="21"/>
          <w:highlight w:val="none"/>
        </w:rPr>
        <w:fldChar w:fldCharType="separate"/>
      </w:r>
      <w:r>
        <w:rPr>
          <w:rFonts w:ascii="Times New Roman"/>
          <w:color w:val="auto"/>
          <w:szCs w:val="21"/>
          <w:highlight w:val="none"/>
        </w:rPr>
        <w:t>④</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16"/>
          <w:kern w:val="21"/>
          <w:szCs w:val="21"/>
          <w:highlight w:val="none"/>
        </w:rPr>
        <w:fldChar w:fldCharType="begin"/>
      </w:r>
      <w:r>
        <w:rPr>
          <w:rFonts w:ascii="Times New Roman"/>
          <w:snapToGrid w:val="0"/>
          <w:color w:val="auto"/>
          <w:spacing w:val="-16"/>
          <w:kern w:val="21"/>
          <w:szCs w:val="21"/>
          <w:highlight w:val="none"/>
        </w:rPr>
        <w:instrText xml:space="preserve"> = 5 \* GB3 \* MERGEFORMAT </w:instrText>
      </w:r>
      <w:r>
        <w:rPr>
          <w:rFonts w:ascii="Times New Roman"/>
          <w:snapToGrid w:val="0"/>
          <w:color w:val="auto"/>
          <w:spacing w:val="-16"/>
          <w:kern w:val="21"/>
          <w:szCs w:val="21"/>
          <w:highlight w:val="none"/>
        </w:rPr>
        <w:fldChar w:fldCharType="separate"/>
      </w:r>
      <w:r>
        <w:rPr>
          <w:rFonts w:ascii="Times New Roman"/>
          <w:color w:val="auto"/>
          <w:szCs w:val="21"/>
          <w:highlight w:val="none"/>
        </w:rPr>
        <w:t>⑤</w:t>
      </w:r>
      <w:r>
        <w:rPr>
          <w:rFonts w:ascii="Times New Roman"/>
          <w:snapToGrid w:val="0"/>
          <w:color w:val="auto"/>
          <w:spacing w:val="-16"/>
          <w:kern w:val="21"/>
          <w:szCs w:val="21"/>
          <w:highlight w:val="none"/>
        </w:rPr>
        <w:fldChar w:fldCharType="end"/>
      </w:r>
      <w:r>
        <w:rPr>
          <w:rFonts w:ascii="Times New Roman"/>
          <w:snapToGrid w:val="0"/>
          <w:color w:val="auto"/>
          <w:spacing w:val="-1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7 \* GB3 \* MERGEFORMAT </w:instrText>
      </w:r>
      <w:r>
        <w:rPr>
          <w:rFonts w:ascii="Times New Roman"/>
          <w:snapToGrid w:val="0"/>
          <w:color w:val="auto"/>
          <w:spacing w:val="-6"/>
          <w:kern w:val="21"/>
          <w:szCs w:val="21"/>
          <w:highlight w:val="none"/>
        </w:rPr>
        <w:fldChar w:fldCharType="separate"/>
      </w:r>
      <w:r>
        <w:rPr>
          <w:rFonts w:ascii="Times New Roman"/>
          <w:color w:val="auto"/>
          <w:szCs w:val="21"/>
          <w:highlight w:val="none"/>
        </w:rPr>
        <w:t>⑦</w:t>
      </w:r>
      <w:r>
        <w:rPr>
          <w:rFonts w:ascii="Times New Roman"/>
          <w:snapToGrid w:val="0"/>
          <w:color w:val="auto"/>
          <w:spacing w:val="-6"/>
          <w:kern w:val="21"/>
          <w:szCs w:val="21"/>
          <w:highlight w:val="none"/>
        </w:rPr>
        <w:fldChar w:fldCharType="end"/>
      </w:r>
      <w:r>
        <w:rPr>
          <w:rFonts w:ascii="Times New Roman"/>
          <w:snapToGrid w:val="0"/>
          <w:color w:val="auto"/>
          <w:spacing w:val="-6"/>
          <w:kern w:val="21"/>
          <w:szCs w:val="21"/>
          <w:highlight w:val="none"/>
        </w:rPr>
        <w:t>=</w:t>
      </w:r>
      <w:r>
        <w:rPr>
          <w:rFonts w:ascii="Times New Roman"/>
          <w:snapToGrid w:val="0"/>
          <w:color w:val="auto"/>
          <w:spacing w:val="-16"/>
          <w:kern w:val="21"/>
          <w:szCs w:val="21"/>
          <w:highlight w:val="none"/>
        </w:rPr>
        <w:fldChar w:fldCharType="begin"/>
      </w:r>
      <w:r>
        <w:rPr>
          <w:rFonts w:ascii="Times New Roman"/>
          <w:snapToGrid w:val="0"/>
          <w:color w:val="auto"/>
          <w:spacing w:val="-16"/>
          <w:kern w:val="21"/>
          <w:szCs w:val="21"/>
          <w:highlight w:val="none"/>
        </w:rPr>
        <w:instrText xml:space="preserve"> = 6 \* GB3 \* MERGEFORMAT </w:instrText>
      </w:r>
      <w:r>
        <w:rPr>
          <w:rFonts w:ascii="Times New Roman"/>
          <w:snapToGrid w:val="0"/>
          <w:color w:val="auto"/>
          <w:spacing w:val="-16"/>
          <w:kern w:val="21"/>
          <w:szCs w:val="21"/>
          <w:highlight w:val="none"/>
        </w:rPr>
        <w:fldChar w:fldCharType="separate"/>
      </w:r>
      <w:r>
        <w:rPr>
          <w:rFonts w:ascii="Times New Roman"/>
          <w:color w:val="auto"/>
          <w:szCs w:val="21"/>
          <w:highlight w:val="none"/>
        </w:rPr>
        <w:t>⑥</w:t>
      </w:r>
      <w:r>
        <w:rPr>
          <w:rFonts w:ascii="Times New Roman"/>
          <w:snapToGrid w:val="0"/>
          <w:color w:val="auto"/>
          <w:spacing w:val="-16"/>
          <w:kern w:val="21"/>
          <w:szCs w:val="21"/>
          <w:highlight w:val="none"/>
        </w:rPr>
        <w:fldChar w:fldCharType="end"/>
      </w:r>
      <w:r>
        <w:rPr>
          <w:rFonts w:ascii="Times New Roman"/>
          <w:snapToGrid w:val="0"/>
          <w:color w:val="auto"/>
          <w:spacing w:val="-16"/>
          <w:kern w:val="21"/>
          <w:szCs w:val="21"/>
          <w:highlight w:val="none"/>
        </w:rPr>
        <w:t>-</w:t>
      </w:r>
      <w:r>
        <w:rPr>
          <w:rFonts w:ascii="Times New Roman"/>
          <w:snapToGrid w:val="0"/>
          <w:color w:val="auto"/>
          <w:spacing w:val="-6"/>
          <w:kern w:val="21"/>
          <w:szCs w:val="21"/>
          <w:highlight w:val="none"/>
        </w:rPr>
        <w:fldChar w:fldCharType="begin"/>
      </w:r>
      <w:r>
        <w:rPr>
          <w:rFonts w:ascii="Times New Roman"/>
          <w:snapToGrid w:val="0"/>
          <w:color w:val="auto"/>
          <w:spacing w:val="-6"/>
          <w:kern w:val="21"/>
          <w:szCs w:val="21"/>
          <w:highlight w:val="none"/>
        </w:rPr>
        <w:instrText xml:space="preserve"> = 1 \* GB3 \* MERGEFORMAT </w:instrText>
      </w:r>
      <w:r>
        <w:rPr>
          <w:rFonts w:ascii="Times New Roman"/>
          <w:snapToGrid w:val="0"/>
          <w:color w:val="auto"/>
          <w:spacing w:val="-6"/>
          <w:kern w:val="21"/>
          <w:szCs w:val="21"/>
          <w:highlight w:val="none"/>
        </w:rPr>
        <w:fldChar w:fldCharType="separate"/>
      </w:r>
      <w:r>
        <w:rPr>
          <w:rFonts w:ascii="Times New Roman"/>
          <w:color w:val="auto"/>
          <w:szCs w:val="21"/>
          <w:highlight w:val="none"/>
        </w:rPr>
        <w:t>①</w:t>
      </w:r>
      <w:r>
        <w:rPr>
          <w:rFonts w:ascii="Times New Roman"/>
          <w:snapToGrid w:val="0"/>
          <w:color w:val="auto"/>
          <w:spacing w:val="-6"/>
          <w:kern w:val="21"/>
          <w:szCs w:val="21"/>
          <w:highlight w:val="none"/>
        </w:rPr>
        <w:fldChar w:fldCharType="end"/>
      </w:r>
    </w:p>
    <w:p w14:paraId="6F7349F4">
      <w:pPr>
        <w:rPr>
          <w:color w:val="auto"/>
          <w:highlight w:val="none"/>
        </w:rPr>
        <w:sectPr>
          <w:footerReference r:id="rId6"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52004B1">
      <w:pPr>
        <w:pStyle w:val="3"/>
        <w:keepLines/>
        <w:overflowPunct/>
        <w:snapToGrid/>
        <w:spacing w:before="0" w:after="0" w:line="360" w:lineRule="exact"/>
        <w:rPr>
          <w:rFonts w:eastAsia="宋体"/>
          <w:color w:val="auto"/>
          <w:sz w:val="28"/>
          <w:szCs w:val="28"/>
          <w:highlight w:val="none"/>
        </w:rPr>
      </w:pPr>
      <w:r>
        <w:rPr>
          <w:rFonts w:eastAsia="宋体"/>
          <w:color w:val="auto"/>
          <w:sz w:val="28"/>
          <w:szCs w:val="28"/>
          <w:highlight w:val="none"/>
        </w:rPr>
        <w:t>附件1委托书</w:t>
      </w:r>
    </w:p>
    <w:p w14:paraId="4E4D7D68">
      <w:pPr>
        <w:pStyle w:val="15"/>
        <w:ind w:left="0" w:leftChars="0"/>
        <w:jc w:val="left"/>
        <w:rPr>
          <w:rFonts w:hint="eastAsia" w:eastAsia="宋体"/>
          <w:color w:val="auto"/>
          <w:sz w:val="24"/>
          <w:szCs w:val="24"/>
          <w:highlight w:val="none"/>
          <w:lang w:eastAsia="zh-CN"/>
        </w:rPr>
      </w:pPr>
      <w:r>
        <w:rPr>
          <w:rFonts w:hint="eastAsia" w:eastAsia="宋体"/>
          <w:color w:val="auto"/>
          <w:sz w:val="24"/>
          <w:szCs w:val="24"/>
          <w:highlight w:val="none"/>
          <w:lang w:eastAsia="zh-CN"/>
        </w:rPr>
        <w:drawing>
          <wp:inline distT="0" distB="0" distL="114300" distR="114300">
            <wp:extent cx="5263515" cy="7439660"/>
            <wp:effectExtent l="0" t="0" r="13335" b="8890"/>
            <wp:docPr id="177" name="图片 177" descr="MX-C2622R_20260723_120206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MX-C2622R_20260723_120206_02"/>
                    <pic:cNvPicPr>
                      <a:picLocks noChangeAspect="1"/>
                    </pic:cNvPicPr>
                  </pic:nvPicPr>
                  <pic:blipFill>
                    <a:blip r:embed="rId33"/>
                    <a:stretch>
                      <a:fillRect/>
                    </a:stretch>
                  </pic:blipFill>
                  <pic:spPr>
                    <a:xfrm>
                      <a:off x="0" y="0"/>
                      <a:ext cx="5263515" cy="7439660"/>
                    </a:xfrm>
                    <a:prstGeom prst="rect">
                      <a:avLst/>
                    </a:prstGeom>
                  </pic:spPr>
                </pic:pic>
              </a:graphicData>
            </a:graphic>
          </wp:inline>
        </w:drawing>
      </w:r>
    </w:p>
    <w:p w14:paraId="7C215A5C">
      <w:pPr>
        <w:spacing w:before="190" w:beforeLines="50" w:after="190" w:afterLines="50" w:line="480" w:lineRule="exact"/>
        <w:rPr>
          <w:color w:val="auto"/>
          <w:sz w:val="24"/>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81" w:charSpace="0"/>
        </w:sectPr>
      </w:pPr>
    </w:p>
    <w:p w14:paraId="727F52D4">
      <w:pPr>
        <w:pStyle w:val="3"/>
        <w:keepLines/>
        <w:overflowPunct/>
        <w:snapToGrid/>
        <w:spacing w:before="0" w:after="0" w:line="360" w:lineRule="exact"/>
        <w:ind w:left="0" w:leftChars="0" w:firstLine="0" w:firstLineChars="0"/>
        <w:rPr>
          <w:color w:val="auto"/>
          <w:highlight w:val="none"/>
        </w:rPr>
      </w:pPr>
      <w:r>
        <w:rPr>
          <w:rFonts w:eastAsia="宋体"/>
          <w:color w:val="auto"/>
          <w:sz w:val="28"/>
          <w:szCs w:val="28"/>
          <w:highlight w:val="none"/>
        </w:rPr>
        <w:t>附件</w:t>
      </w:r>
      <w:r>
        <w:rPr>
          <w:rFonts w:hint="eastAsia" w:eastAsia="宋体"/>
          <w:color w:val="auto"/>
          <w:sz w:val="28"/>
          <w:szCs w:val="28"/>
          <w:highlight w:val="none"/>
          <w:lang w:val="en-US" w:eastAsia="zh-CN"/>
        </w:rPr>
        <w:t>2</w:t>
      </w:r>
      <w:r>
        <w:rPr>
          <w:rFonts w:hint="eastAsia" w:eastAsia="宋体"/>
          <w:color w:val="auto"/>
          <w:sz w:val="28"/>
          <w:szCs w:val="28"/>
          <w:highlight w:val="none"/>
        </w:rPr>
        <w:t>土地证</w:t>
      </w:r>
    </w:p>
    <w:p w14:paraId="4052EB9E">
      <w:pPr>
        <w:pStyle w:val="54"/>
        <w:ind w:left="0" w:leftChars="0" w:firstLine="0" w:firstLineChars="0"/>
        <w:rPr>
          <w:rFonts w:hint="eastAsia" w:ascii="宋体" w:hAnsi="宋体" w:eastAsia="宋体" w:cs="Times New Roman"/>
          <w:color w:val="auto"/>
          <w:kern w:val="2"/>
          <w:sz w:val="24"/>
          <w:szCs w:val="20"/>
          <w:highlight w:val="none"/>
          <w:lang w:val="en-US" w:eastAsia="zh-CN" w:bidi="ar"/>
        </w:rPr>
      </w:pPr>
      <w:r>
        <w:rPr>
          <w:rFonts w:hint="eastAsia" w:ascii="宋体" w:hAnsi="宋体" w:eastAsia="宋体" w:cs="Times New Roman"/>
          <w:color w:val="auto"/>
          <w:kern w:val="2"/>
          <w:sz w:val="24"/>
          <w:szCs w:val="20"/>
          <w:highlight w:val="none"/>
          <w:lang w:val="en-US" w:eastAsia="zh-CN" w:bidi="ar"/>
        </w:rPr>
        <w:drawing>
          <wp:inline distT="0" distB="0" distL="114300" distR="114300">
            <wp:extent cx="5370830" cy="7496175"/>
            <wp:effectExtent l="0" t="0" r="9525" b="1270"/>
            <wp:docPr id="64" name="图片 8" descr="建设用地规划许可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8" descr="建设用地规划许可证"/>
                    <pic:cNvPicPr>
                      <a:picLocks noChangeAspect="1"/>
                    </pic:cNvPicPr>
                  </pic:nvPicPr>
                  <pic:blipFill>
                    <a:blip r:embed="rId34"/>
                    <a:stretch>
                      <a:fillRect/>
                    </a:stretch>
                  </pic:blipFill>
                  <pic:spPr>
                    <a:xfrm rot="5400000">
                      <a:off x="0" y="0"/>
                      <a:ext cx="5370830" cy="7496175"/>
                    </a:xfrm>
                    <a:prstGeom prst="rect">
                      <a:avLst/>
                    </a:prstGeom>
                    <a:noFill/>
                    <a:ln>
                      <a:noFill/>
                    </a:ln>
                  </pic:spPr>
                </pic:pic>
              </a:graphicData>
            </a:graphic>
          </wp:inline>
        </w:drawing>
      </w:r>
    </w:p>
    <w:p w14:paraId="05BB8F1B">
      <w:pPr>
        <w:pStyle w:val="54"/>
        <w:ind w:left="0" w:leftChars="0" w:firstLine="0" w:firstLineChars="0"/>
        <w:rPr>
          <w:color w:val="auto"/>
          <w:highlight w:val="none"/>
        </w:rPr>
        <w:sectPr>
          <w:footerReference r:id="rId8" w:type="default"/>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rFonts w:hint="eastAsia" w:ascii="宋体" w:hAnsi="宋体" w:eastAsia="宋体" w:cs="Times New Roman"/>
          <w:color w:val="auto"/>
          <w:kern w:val="2"/>
          <w:sz w:val="24"/>
          <w:szCs w:val="20"/>
          <w:highlight w:val="none"/>
          <w:lang w:val="en-US" w:eastAsia="zh-CN" w:bidi="ar"/>
        </w:rPr>
        <w:drawing>
          <wp:inline distT="0" distB="0" distL="114300" distR="114300">
            <wp:extent cx="5194300" cy="7000875"/>
            <wp:effectExtent l="0" t="0" r="9525" b="6350"/>
            <wp:docPr id="62" name="图片 6" descr="国有土地使用证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 descr="国有土地使用证_页面_1"/>
                    <pic:cNvPicPr>
                      <a:picLocks noChangeAspect="1"/>
                    </pic:cNvPicPr>
                  </pic:nvPicPr>
                  <pic:blipFill>
                    <a:blip r:embed="rId35"/>
                    <a:stretch>
                      <a:fillRect/>
                    </a:stretch>
                  </pic:blipFill>
                  <pic:spPr>
                    <a:xfrm rot="5400000">
                      <a:off x="0" y="0"/>
                      <a:ext cx="5194300" cy="7000875"/>
                    </a:xfrm>
                    <a:prstGeom prst="rect">
                      <a:avLst/>
                    </a:prstGeom>
                    <a:noFill/>
                    <a:ln>
                      <a:noFill/>
                    </a:ln>
                  </pic:spPr>
                </pic:pic>
              </a:graphicData>
            </a:graphic>
          </wp:inline>
        </w:drawing>
      </w:r>
      <w:r>
        <w:rPr>
          <w:rFonts w:hint="eastAsia" w:ascii="宋体" w:hAnsi="宋体" w:eastAsia="宋体" w:cs="Times New Roman"/>
          <w:color w:val="auto"/>
          <w:kern w:val="2"/>
          <w:sz w:val="24"/>
          <w:szCs w:val="20"/>
          <w:highlight w:val="none"/>
          <w:lang w:val="en-US" w:eastAsia="zh-CN" w:bidi="ar"/>
        </w:rPr>
        <w:drawing>
          <wp:inline distT="0" distB="0" distL="114300" distR="114300">
            <wp:extent cx="5762625" cy="7629525"/>
            <wp:effectExtent l="0" t="0" r="9525" b="9525"/>
            <wp:docPr id="63" name="图片 7" descr="国有土地使用证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descr="国有土地使用证_页面_2"/>
                    <pic:cNvPicPr>
                      <a:picLocks noChangeAspect="1"/>
                    </pic:cNvPicPr>
                  </pic:nvPicPr>
                  <pic:blipFill>
                    <a:blip r:embed="rId36"/>
                    <a:stretch>
                      <a:fillRect/>
                    </a:stretch>
                  </pic:blipFill>
                  <pic:spPr>
                    <a:xfrm rot="5400000">
                      <a:off x="0" y="0"/>
                      <a:ext cx="5762625" cy="7629525"/>
                    </a:xfrm>
                    <a:prstGeom prst="rect">
                      <a:avLst/>
                    </a:prstGeom>
                    <a:noFill/>
                    <a:ln>
                      <a:noFill/>
                    </a:ln>
                  </pic:spPr>
                </pic:pic>
              </a:graphicData>
            </a:graphic>
          </wp:inline>
        </w:drawing>
      </w:r>
    </w:p>
    <w:p w14:paraId="34B33FBC">
      <w:pPr>
        <w:pStyle w:val="3"/>
        <w:keepLines/>
        <w:overflowPunct/>
        <w:snapToGrid/>
        <w:spacing w:before="0" w:after="0" w:line="360" w:lineRule="exact"/>
        <w:ind w:left="0" w:firstLine="0"/>
        <w:rPr>
          <w:rFonts w:hint="default" w:eastAsia="宋体"/>
          <w:color w:val="auto"/>
          <w:sz w:val="28"/>
          <w:szCs w:val="28"/>
          <w:highlight w:val="none"/>
          <w:lang w:val="en-US" w:eastAsia="zh-CN"/>
        </w:rPr>
      </w:pPr>
      <w:r>
        <w:rPr>
          <w:rFonts w:eastAsia="宋体"/>
          <w:color w:val="auto"/>
          <w:sz w:val="28"/>
          <w:szCs w:val="28"/>
          <w:highlight w:val="none"/>
        </w:rPr>
        <w:t>附件</w:t>
      </w:r>
      <w:r>
        <w:rPr>
          <w:rFonts w:hint="eastAsia" w:eastAsia="宋体"/>
          <w:color w:val="auto"/>
          <w:sz w:val="28"/>
          <w:szCs w:val="28"/>
          <w:highlight w:val="none"/>
          <w:lang w:val="en-US" w:eastAsia="zh-CN"/>
        </w:rPr>
        <w:t>3立项文件</w:t>
      </w:r>
    </w:p>
    <w:p w14:paraId="7A7BDB46">
      <w:pPr>
        <w:bidi w:val="0"/>
        <w:rPr>
          <w:color w:val="auto"/>
          <w:highlight w:val="none"/>
        </w:rPr>
      </w:pPr>
    </w:p>
    <w:p w14:paraId="0F595BFE">
      <w:pPr>
        <w:rPr>
          <w:rFonts w:hint="eastAsia" w:eastAsia="宋体"/>
          <w:color w:val="auto"/>
          <w:highlight w:val="none"/>
          <w:lang w:eastAsia="zh-CN"/>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rFonts w:hint="eastAsia" w:eastAsia="宋体"/>
          <w:color w:val="auto"/>
          <w:highlight w:val="none"/>
          <w:lang w:eastAsia="zh-CN"/>
        </w:rPr>
        <w:drawing>
          <wp:inline distT="0" distB="0" distL="114300" distR="114300">
            <wp:extent cx="5263515" cy="7439660"/>
            <wp:effectExtent l="0" t="0" r="13335" b="8890"/>
            <wp:docPr id="65" name="图片 65" descr="立项变更备案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立项变更备案书_01"/>
                    <pic:cNvPicPr>
                      <a:picLocks noChangeAspect="1"/>
                    </pic:cNvPicPr>
                  </pic:nvPicPr>
                  <pic:blipFill>
                    <a:blip r:embed="rId37"/>
                    <a:stretch>
                      <a:fillRect/>
                    </a:stretch>
                  </pic:blipFill>
                  <pic:spPr>
                    <a:xfrm>
                      <a:off x="0" y="0"/>
                      <a:ext cx="5263515" cy="7439660"/>
                    </a:xfrm>
                    <a:prstGeom prst="rect">
                      <a:avLst/>
                    </a:prstGeom>
                  </pic:spPr>
                </pic:pic>
              </a:graphicData>
            </a:graphic>
          </wp:inline>
        </w:drawing>
      </w:r>
    </w:p>
    <w:p w14:paraId="570589EF">
      <w:pPr>
        <w:pStyle w:val="3"/>
        <w:keepLines/>
        <w:overflowPunct/>
        <w:snapToGrid/>
        <w:spacing w:before="0" w:after="0" w:line="360" w:lineRule="exact"/>
        <w:ind w:left="0" w:firstLine="0"/>
        <w:rPr>
          <w:rFonts w:hint="eastAsia" w:eastAsia="宋体"/>
          <w:color w:val="auto"/>
          <w:sz w:val="28"/>
          <w:szCs w:val="28"/>
          <w:highlight w:val="none"/>
          <w:lang w:val="en-US" w:eastAsia="zh-CN"/>
        </w:rPr>
      </w:pPr>
      <w:r>
        <w:rPr>
          <w:rFonts w:eastAsia="宋体"/>
          <w:color w:val="auto"/>
          <w:sz w:val="28"/>
          <w:szCs w:val="28"/>
          <w:highlight w:val="none"/>
        </w:rPr>
        <w:t>附件</w:t>
      </w:r>
      <w:r>
        <w:rPr>
          <w:rFonts w:hint="eastAsia" w:eastAsia="宋体"/>
          <w:color w:val="auto"/>
          <w:sz w:val="28"/>
          <w:szCs w:val="28"/>
          <w:highlight w:val="none"/>
          <w:lang w:val="en-US" w:eastAsia="zh-CN"/>
        </w:rPr>
        <w:t>4历年环评批复及验收意见</w:t>
      </w:r>
    </w:p>
    <w:p w14:paraId="329932E6">
      <w:pPr>
        <w:rPr>
          <w:rFonts w:hint="default"/>
          <w:color w:val="auto"/>
          <w:highlight w:val="none"/>
          <w:lang w:val="en-US" w:eastAsia="zh-CN"/>
        </w:rPr>
      </w:pPr>
      <w:r>
        <w:rPr>
          <w:rFonts w:hint="default"/>
          <w:color w:val="auto"/>
          <w:highlight w:val="none"/>
          <w:lang w:val="en-US" w:eastAsia="zh-CN"/>
        </w:rPr>
        <w:drawing>
          <wp:inline distT="0" distB="0" distL="114300" distR="114300">
            <wp:extent cx="5252720" cy="6797675"/>
            <wp:effectExtent l="0" t="0" r="5080" b="3175"/>
            <wp:docPr id="70" name="图片 70" descr="环境影响报告书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环境影响报告书的批复_01"/>
                    <pic:cNvPicPr>
                      <a:picLocks noChangeAspect="1"/>
                    </pic:cNvPicPr>
                  </pic:nvPicPr>
                  <pic:blipFill>
                    <a:blip r:embed="rId38"/>
                    <a:stretch>
                      <a:fillRect/>
                    </a:stretch>
                  </pic:blipFill>
                  <pic:spPr>
                    <a:xfrm>
                      <a:off x="0" y="0"/>
                      <a:ext cx="5252720" cy="6797675"/>
                    </a:xfrm>
                    <a:prstGeom prst="rect">
                      <a:avLst/>
                    </a:prstGeom>
                  </pic:spPr>
                </pic:pic>
              </a:graphicData>
            </a:graphic>
          </wp:inline>
        </w:drawing>
      </w:r>
      <w:r>
        <w:rPr>
          <w:rFonts w:hint="default"/>
          <w:color w:val="auto"/>
          <w:highlight w:val="none"/>
          <w:lang w:val="en-US" w:eastAsia="zh-CN"/>
        </w:rPr>
        <w:drawing>
          <wp:inline distT="0" distB="0" distL="114300" distR="114300">
            <wp:extent cx="5252720" cy="6797675"/>
            <wp:effectExtent l="0" t="0" r="5080" b="3175"/>
            <wp:docPr id="69" name="图片 69" descr="环境影响报告书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环境影响报告书的批复_02"/>
                    <pic:cNvPicPr>
                      <a:picLocks noChangeAspect="1"/>
                    </pic:cNvPicPr>
                  </pic:nvPicPr>
                  <pic:blipFill>
                    <a:blip r:embed="rId39"/>
                    <a:stretch>
                      <a:fillRect/>
                    </a:stretch>
                  </pic:blipFill>
                  <pic:spPr>
                    <a:xfrm>
                      <a:off x="0" y="0"/>
                      <a:ext cx="5252720" cy="6797675"/>
                    </a:xfrm>
                    <a:prstGeom prst="rect">
                      <a:avLst/>
                    </a:prstGeom>
                  </pic:spPr>
                </pic:pic>
              </a:graphicData>
            </a:graphic>
          </wp:inline>
        </w:drawing>
      </w:r>
      <w:r>
        <w:rPr>
          <w:rFonts w:hint="default"/>
          <w:color w:val="auto"/>
          <w:highlight w:val="none"/>
          <w:lang w:val="en-US" w:eastAsia="zh-CN"/>
        </w:rPr>
        <w:drawing>
          <wp:inline distT="0" distB="0" distL="114300" distR="114300">
            <wp:extent cx="5252720" cy="6797675"/>
            <wp:effectExtent l="0" t="0" r="5080" b="3175"/>
            <wp:docPr id="68" name="图片 68" descr="环境影响报告书的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环境影响报告书的批复_03"/>
                    <pic:cNvPicPr>
                      <a:picLocks noChangeAspect="1"/>
                    </pic:cNvPicPr>
                  </pic:nvPicPr>
                  <pic:blipFill>
                    <a:blip r:embed="rId40"/>
                    <a:stretch>
                      <a:fillRect/>
                    </a:stretch>
                  </pic:blipFill>
                  <pic:spPr>
                    <a:xfrm>
                      <a:off x="0" y="0"/>
                      <a:ext cx="5252720" cy="6797675"/>
                    </a:xfrm>
                    <a:prstGeom prst="rect">
                      <a:avLst/>
                    </a:prstGeom>
                  </pic:spPr>
                </pic:pic>
              </a:graphicData>
            </a:graphic>
          </wp:inline>
        </w:drawing>
      </w:r>
      <w:r>
        <w:rPr>
          <w:rFonts w:hint="default"/>
          <w:color w:val="auto"/>
          <w:highlight w:val="none"/>
          <w:lang w:val="en-US" w:eastAsia="zh-CN"/>
        </w:rPr>
        <w:drawing>
          <wp:inline distT="0" distB="0" distL="114300" distR="114300">
            <wp:extent cx="5252720" cy="6797675"/>
            <wp:effectExtent l="0" t="0" r="5080" b="3175"/>
            <wp:docPr id="67" name="图片 67" descr="环境影响报告书的批复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环境影响报告书的批复_04"/>
                    <pic:cNvPicPr>
                      <a:picLocks noChangeAspect="1"/>
                    </pic:cNvPicPr>
                  </pic:nvPicPr>
                  <pic:blipFill>
                    <a:blip r:embed="rId41"/>
                    <a:stretch>
                      <a:fillRect/>
                    </a:stretch>
                  </pic:blipFill>
                  <pic:spPr>
                    <a:xfrm>
                      <a:off x="0" y="0"/>
                      <a:ext cx="5252720" cy="6797675"/>
                    </a:xfrm>
                    <a:prstGeom prst="rect">
                      <a:avLst/>
                    </a:prstGeom>
                  </pic:spPr>
                </pic:pic>
              </a:graphicData>
            </a:graphic>
          </wp:inline>
        </w:drawing>
      </w:r>
      <w:r>
        <w:rPr>
          <w:rFonts w:hint="default"/>
          <w:color w:val="auto"/>
          <w:highlight w:val="none"/>
          <w:lang w:val="en-US" w:eastAsia="zh-CN"/>
        </w:rPr>
        <w:drawing>
          <wp:inline distT="0" distB="0" distL="114300" distR="114300">
            <wp:extent cx="5252720" cy="6797675"/>
            <wp:effectExtent l="0" t="0" r="5080" b="3175"/>
            <wp:docPr id="66" name="图片 66" descr="环境影响报告书的批复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环境影响报告书的批复_05"/>
                    <pic:cNvPicPr>
                      <a:picLocks noChangeAspect="1"/>
                    </pic:cNvPicPr>
                  </pic:nvPicPr>
                  <pic:blipFill>
                    <a:blip r:embed="rId42"/>
                    <a:stretch>
                      <a:fillRect/>
                    </a:stretch>
                  </pic:blipFill>
                  <pic:spPr>
                    <a:xfrm>
                      <a:off x="0" y="0"/>
                      <a:ext cx="5252720" cy="6797675"/>
                    </a:xfrm>
                    <a:prstGeom prst="rect">
                      <a:avLst/>
                    </a:prstGeom>
                  </pic:spPr>
                </pic:pic>
              </a:graphicData>
            </a:graphic>
          </wp:inline>
        </w:drawing>
      </w:r>
    </w:p>
    <w:p w14:paraId="67C3EC4D">
      <w:pPr>
        <w:pStyle w:val="18"/>
        <w:rPr>
          <w:rFonts w:hint="eastAsia"/>
          <w:color w:val="auto"/>
          <w:highlight w:val="none"/>
          <w:lang w:eastAsia="zh-CN"/>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54195263">
      <w:pPr>
        <w:rPr>
          <w:rFonts w:hint="eastAsia"/>
          <w:color w:val="auto"/>
          <w:highlight w:val="none"/>
          <w:lang w:eastAsia="zh-CN"/>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rFonts w:hint="eastAsia"/>
          <w:color w:val="auto"/>
          <w:highlight w:val="none"/>
          <w:lang w:eastAsia="zh-CN"/>
        </w:rPr>
        <w:drawing>
          <wp:inline distT="0" distB="0" distL="114300" distR="114300">
            <wp:extent cx="5252720" cy="6797675"/>
            <wp:effectExtent l="0" t="0" r="5080" b="3175"/>
            <wp:docPr id="74" name="图片 74" descr="辽宁省环境保护厅关于汉圣化工年产10万吨特种蜡项目竣工环境保护验收意见的函2015.10.10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辽宁省环境保护厅关于汉圣化工年产10万吨特种蜡项目竣工环境保护验收意见的函2015.10.10_01"/>
                    <pic:cNvPicPr>
                      <a:picLocks noChangeAspect="1"/>
                    </pic:cNvPicPr>
                  </pic:nvPicPr>
                  <pic:blipFill>
                    <a:blip r:embed="rId43"/>
                    <a:stretch>
                      <a:fillRect/>
                    </a:stretch>
                  </pic:blipFill>
                  <pic:spPr>
                    <a:xfrm>
                      <a:off x="0" y="0"/>
                      <a:ext cx="5252720" cy="6797675"/>
                    </a:xfrm>
                    <a:prstGeom prst="rect">
                      <a:avLst/>
                    </a:prstGeom>
                  </pic:spPr>
                </pic:pic>
              </a:graphicData>
            </a:graphic>
          </wp:inline>
        </w:drawing>
      </w:r>
      <w:r>
        <w:rPr>
          <w:rFonts w:hint="eastAsia"/>
          <w:color w:val="auto"/>
          <w:highlight w:val="none"/>
          <w:lang w:eastAsia="zh-CN"/>
        </w:rPr>
        <w:drawing>
          <wp:inline distT="0" distB="0" distL="114300" distR="114300">
            <wp:extent cx="5252720" cy="6797675"/>
            <wp:effectExtent l="0" t="0" r="5080" b="3175"/>
            <wp:docPr id="73" name="图片 73" descr="辽宁省环境保护厅关于汉圣化工年产10万吨特种蜡项目竣工环境保护验收意见的函2015.10.10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辽宁省环境保护厅关于汉圣化工年产10万吨特种蜡项目竣工环境保护验收意见的函2015.10.10_02"/>
                    <pic:cNvPicPr>
                      <a:picLocks noChangeAspect="1"/>
                    </pic:cNvPicPr>
                  </pic:nvPicPr>
                  <pic:blipFill>
                    <a:blip r:embed="rId44"/>
                    <a:stretch>
                      <a:fillRect/>
                    </a:stretch>
                  </pic:blipFill>
                  <pic:spPr>
                    <a:xfrm>
                      <a:off x="0" y="0"/>
                      <a:ext cx="5252720" cy="6797675"/>
                    </a:xfrm>
                    <a:prstGeom prst="rect">
                      <a:avLst/>
                    </a:prstGeom>
                  </pic:spPr>
                </pic:pic>
              </a:graphicData>
            </a:graphic>
          </wp:inline>
        </w:drawing>
      </w:r>
      <w:r>
        <w:rPr>
          <w:rFonts w:hint="eastAsia"/>
          <w:color w:val="auto"/>
          <w:highlight w:val="none"/>
          <w:lang w:eastAsia="zh-CN"/>
        </w:rPr>
        <w:drawing>
          <wp:inline distT="0" distB="0" distL="114300" distR="114300">
            <wp:extent cx="5252720" cy="6797675"/>
            <wp:effectExtent l="0" t="0" r="5080" b="3175"/>
            <wp:docPr id="72" name="图片 72" descr="辽宁省环境保护厅关于汉圣化工年产10万吨特种蜡项目竣工环境保护验收意见的函2015.10.10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辽宁省环境保护厅关于汉圣化工年产10万吨特种蜡项目竣工环境保护验收意见的函2015.10.10_03"/>
                    <pic:cNvPicPr>
                      <a:picLocks noChangeAspect="1"/>
                    </pic:cNvPicPr>
                  </pic:nvPicPr>
                  <pic:blipFill>
                    <a:blip r:embed="rId45"/>
                    <a:stretch>
                      <a:fillRect/>
                    </a:stretch>
                  </pic:blipFill>
                  <pic:spPr>
                    <a:xfrm>
                      <a:off x="0" y="0"/>
                      <a:ext cx="5252720" cy="6797675"/>
                    </a:xfrm>
                    <a:prstGeom prst="rect">
                      <a:avLst/>
                    </a:prstGeom>
                  </pic:spPr>
                </pic:pic>
              </a:graphicData>
            </a:graphic>
          </wp:inline>
        </w:drawing>
      </w:r>
      <w:r>
        <w:rPr>
          <w:rFonts w:hint="eastAsia"/>
          <w:color w:val="auto"/>
          <w:highlight w:val="none"/>
          <w:lang w:eastAsia="zh-CN"/>
        </w:rPr>
        <w:drawing>
          <wp:inline distT="0" distB="0" distL="114300" distR="114300">
            <wp:extent cx="5252720" cy="6797675"/>
            <wp:effectExtent l="0" t="0" r="5080" b="3175"/>
            <wp:docPr id="71" name="图片 71" descr="辽宁省环境保护厅关于汉圣化工年产10万吨特种蜡项目竣工环境保护验收意见的函2015.10.10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辽宁省环境保护厅关于汉圣化工年产10万吨特种蜡项目竣工环境保护验收意见的函2015.10.10_04"/>
                    <pic:cNvPicPr>
                      <a:picLocks noChangeAspect="1"/>
                    </pic:cNvPicPr>
                  </pic:nvPicPr>
                  <pic:blipFill>
                    <a:blip r:embed="rId46"/>
                    <a:stretch>
                      <a:fillRect/>
                    </a:stretch>
                  </pic:blipFill>
                  <pic:spPr>
                    <a:xfrm>
                      <a:off x="0" y="0"/>
                      <a:ext cx="5252720" cy="6797675"/>
                    </a:xfrm>
                    <a:prstGeom prst="rect">
                      <a:avLst/>
                    </a:prstGeom>
                  </pic:spPr>
                </pic:pic>
              </a:graphicData>
            </a:graphic>
          </wp:inline>
        </w:drawing>
      </w:r>
    </w:p>
    <w:p w14:paraId="15D41205">
      <w:pPr>
        <w:pStyle w:val="3"/>
        <w:keepLines/>
        <w:overflowPunct/>
        <w:snapToGrid/>
        <w:spacing w:before="0" w:after="0" w:line="360" w:lineRule="exact"/>
        <w:ind w:left="0" w:firstLine="0"/>
        <w:rPr>
          <w:rFonts w:hint="eastAsia" w:eastAsia="宋体"/>
          <w:color w:val="auto"/>
          <w:sz w:val="28"/>
          <w:szCs w:val="28"/>
          <w:highlight w:val="none"/>
          <w:lang w:val="en-US" w:eastAsia="zh-CN"/>
        </w:rPr>
      </w:pPr>
      <w:r>
        <w:rPr>
          <w:rFonts w:eastAsia="宋体"/>
          <w:color w:val="auto"/>
          <w:sz w:val="28"/>
          <w:szCs w:val="28"/>
          <w:highlight w:val="none"/>
        </w:rPr>
        <w:t>附件</w:t>
      </w:r>
      <w:r>
        <w:rPr>
          <w:rFonts w:hint="eastAsia" w:eastAsia="宋体"/>
          <w:color w:val="auto"/>
          <w:sz w:val="28"/>
          <w:szCs w:val="28"/>
          <w:highlight w:val="none"/>
          <w:lang w:val="en-US" w:eastAsia="zh-CN"/>
        </w:rPr>
        <w:t>5应急预案备案文件</w:t>
      </w:r>
    </w:p>
    <w:p w14:paraId="18B3CFE2">
      <w:pPr>
        <w:rPr>
          <w:rFonts w:hint="eastAsia"/>
          <w:color w:val="auto"/>
          <w:highlight w:val="none"/>
          <w:lang w:val="en-US" w:eastAsia="zh-CN"/>
        </w:rPr>
      </w:pPr>
    </w:p>
    <w:p w14:paraId="31A586A9">
      <w:pPr>
        <w:pStyle w:val="18"/>
        <w:spacing w:line="240" w:lineRule="auto"/>
        <w:ind w:left="0" w:leftChars="0" w:firstLine="0" w:firstLineChars="0"/>
        <w:rPr>
          <w:rFonts w:hint="eastAsia"/>
          <w:color w:val="auto"/>
          <w:highlight w:val="none"/>
          <w:lang w:eastAsia="zh-CN"/>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rFonts w:hint="eastAsia"/>
          <w:color w:val="auto"/>
          <w:highlight w:val="none"/>
          <w:lang w:eastAsia="zh-CN"/>
        </w:rPr>
        <w:drawing>
          <wp:inline distT="0" distB="0" distL="114300" distR="114300">
            <wp:extent cx="5263515" cy="7439660"/>
            <wp:effectExtent l="0" t="0" r="13335" b="8890"/>
            <wp:docPr id="76" name="图片 76" descr="环境应急预案备案表202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环境应急预案备案表2023_01"/>
                    <pic:cNvPicPr>
                      <a:picLocks noChangeAspect="1"/>
                    </pic:cNvPicPr>
                  </pic:nvPicPr>
                  <pic:blipFill>
                    <a:blip r:embed="rId47"/>
                    <a:stretch>
                      <a:fillRect/>
                    </a:stretch>
                  </pic:blipFill>
                  <pic:spPr>
                    <a:xfrm>
                      <a:off x="0" y="0"/>
                      <a:ext cx="5263515" cy="7439660"/>
                    </a:xfrm>
                    <a:prstGeom prst="rect">
                      <a:avLst/>
                    </a:prstGeom>
                  </pic:spPr>
                </pic:pic>
              </a:graphicData>
            </a:graphic>
          </wp:inline>
        </w:drawing>
      </w:r>
      <w:r>
        <w:rPr>
          <w:rFonts w:hint="eastAsia"/>
          <w:color w:val="auto"/>
          <w:highlight w:val="none"/>
          <w:lang w:eastAsia="zh-CN"/>
        </w:rPr>
        <w:drawing>
          <wp:inline distT="0" distB="0" distL="114300" distR="114300">
            <wp:extent cx="5270500" cy="7439660"/>
            <wp:effectExtent l="0" t="0" r="6350" b="8890"/>
            <wp:docPr id="75" name="图片 75" descr="环境应急预案备案表2023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环境应急预案备案表2023_02"/>
                    <pic:cNvPicPr>
                      <a:picLocks noChangeAspect="1"/>
                    </pic:cNvPicPr>
                  </pic:nvPicPr>
                  <pic:blipFill>
                    <a:blip r:embed="rId48"/>
                    <a:stretch>
                      <a:fillRect/>
                    </a:stretch>
                  </pic:blipFill>
                  <pic:spPr>
                    <a:xfrm>
                      <a:off x="0" y="0"/>
                      <a:ext cx="5270500" cy="7439660"/>
                    </a:xfrm>
                    <a:prstGeom prst="rect">
                      <a:avLst/>
                    </a:prstGeom>
                  </pic:spPr>
                </pic:pic>
              </a:graphicData>
            </a:graphic>
          </wp:inline>
        </w:drawing>
      </w:r>
    </w:p>
    <w:p w14:paraId="7A66BADB">
      <w:pPr>
        <w:pStyle w:val="3"/>
        <w:keepLines/>
        <w:overflowPunct/>
        <w:snapToGrid/>
        <w:spacing w:before="0" w:after="0" w:line="360" w:lineRule="exact"/>
        <w:ind w:left="0" w:firstLine="0"/>
        <w:rPr>
          <w:rFonts w:hint="eastAsia" w:eastAsia="宋体"/>
          <w:color w:val="auto"/>
          <w:sz w:val="28"/>
          <w:szCs w:val="28"/>
          <w:highlight w:val="none"/>
          <w:lang w:val="en-US" w:eastAsia="zh-CN"/>
        </w:rPr>
      </w:pPr>
      <w:r>
        <w:rPr>
          <w:rFonts w:eastAsia="宋体"/>
          <w:color w:val="auto"/>
          <w:sz w:val="28"/>
          <w:szCs w:val="28"/>
          <w:highlight w:val="none"/>
        </w:rPr>
        <w:t>附件</w:t>
      </w:r>
      <w:r>
        <w:rPr>
          <w:rFonts w:hint="eastAsia" w:eastAsia="宋体"/>
          <w:color w:val="auto"/>
          <w:sz w:val="28"/>
          <w:szCs w:val="28"/>
          <w:highlight w:val="none"/>
          <w:lang w:val="en-US" w:eastAsia="zh-CN"/>
        </w:rPr>
        <w:t>6引用检测文件</w:t>
      </w:r>
    </w:p>
    <w:p w14:paraId="2505F1EB">
      <w:pPr>
        <w:rPr>
          <w:rFonts w:hint="eastAsia" w:eastAsia="宋体"/>
          <w:color w:val="auto"/>
          <w:sz w:val="28"/>
          <w:szCs w:val="28"/>
          <w:highlight w:val="none"/>
          <w:lang w:val="en-US" w:eastAsia="zh-CN"/>
        </w:rPr>
      </w:pPr>
    </w:p>
    <w:p w14:paraId="1101A158">
      <w:pPr>
        <w:rPr>
          <w:rFonts w:hint="eastAsia" w:eastAsia="宋体"/>
          <w:color w:val="auto"/>
          <w:sz w:val="28"/>
          <w:szCs w:val="28"/>
          <w:highlight w:val="none"/>
          <w:lang w:val="en-US" w:eastAsia="zh-CN"/>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rFonts w:hint="eastAsia" w:eastAsia="宋体"/>
          <w:color w:val="auto"/>
          <w:sz w:val="28"/>
          <w:szCs w:val="28"/>
          <w:highlight w:val="none"/>
          <w:lang w:val="en-US" w:eastAsia="zh-CN"/>
        </w:rPr>
        <w:drawing>
          <wp:inline distT="0" distB="0" distL="114300" distR="114300">
            <wp:extent cx="5262245" cy="7441565"/>
            <wp:effectExtent l="0" t="0" r="14605" b="6985"/>
            <wp:docPr id="198" name="图片 198" descr="1-抚顺石化分公司乙烯部聚乙烯装置辛烯共聚新产品适应性技术改造项目-报批3.1-公示_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descr="1-抚顺石化分公司乙烯部聚乙烯装置辛烯共聚新产品适应性技术改造项目-报批3.1-公示_424"/>
                    <pic:cNvPicPr>
                      <a:picLocks noChangeAspect="1"/>
                    </pic:cNvPicPr>
                  </pic:nvPicPr>
                  <pic:blipFill>
                    <a:blip r:embed="rId49"/>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97" name="图片 197" descr="1-抚顺石化分公司乙烯部聚乙烯装置辛烯共聚新产品适应性技术改造项目-报批3.1-公示_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1-抚顺石化分公司乙烯部聚乙烯装置辛烯共聚新产品适应性技术改造项目-报批3.1-公示_425"/>
                    <pic:cNvPicPr>
                      <a:picLocks noChangeAspect="1"/>
                    </pic:cNvPicPr>
                  </pic:nvPicPr>
                  <pic:blipFill>
                    <a:blip r:embed="rId50"/>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96" name="图片 196" descr="1-抚顺石化分公司乙烯部聚乙烯装置辛烯共聚新产品适应性技术改造项目-报批3.1-公示_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1-抚顺石化分公司乙烯部聚乙烯装置辛烯共聚新产品适应性技术改造项目-报批3.1-公示_426"/>
                    <pic:cNvPicPr>
                      <a:picLocks noChangeAspect="1"/>
                    </pic:cNvPicPr>
                  </pic:nvPicPr>
                  <pic:blipFill>
                    <a:blip r:embed="rId51"/>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95" name="图片 195" descr="1-抚顺石化分公司乙烯部聚乙烯装置辛烯共聚新产品适应性技术改造项目-报批3.1-公示_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1-抚顺石化分公司乙烯部聚乙烯装置辛烯共聚新产品适应性技术改造项目-报批3.1-公示_427"/>
                    <pic:cNvPicPr>
                      <a:picLocks noChangeAspect="1"/>
                    </pic:cNvPicPr>
                  </pic:nvPicPr>
                  <pic:blipFill>
                    <a:blip r:embed="rId52"/>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94" name="图片 194" descr="1-抚顺石化分公司乙烯部聚乙烯装置辛烯共聚新产品适应性技术改造项目-报批3.1-公示_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1-抚顺石化分公司乙烯部聚乙烯装置辛烯共聚新产品适应性技术改造项目-报批3.1-公示_428"/>
                    <pic:cNvPicPr>
                      <a:picLocks noChangeAspect="1"/>
                    </pic:cNvPicPr>
                  </pic:nvPicPr>
                  <pic:blipFill>
                    <a:blip r:embed="rId53"/>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93" name="图片 193" descr="1-抚顺石化分公司乙烯部聚乙烯装置辛烯共聚新产品适应性技术改造项目-报批3.1-公示_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1-抚顺石化分公司乙烯部聚乙烯装置辛烯共聚新产品适应性技术改造项目-报批3.1-公示_429"/>
                    <pic:cNvPicPr>
                      <a:picLocks noChangeAspect="1"/>
                    </pic:cNvPicPr>
                  </pic:nvPicPr>
                  <pic:blipFill>
                    <a:blip r:embed="rId54"/>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92" name="图片 192" descr="1-抚顺石化分公司乙烯部聚乙烯装置辛烯共聚新产品适应性技术改造项目-报批3.1-公示_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1-抚顺石化分公司乙烯部聚乙烯装置辛烯共聚新产品适应性技术改造项目-报批3.1-公示_430"/>
                    <pic:cNvPicPr>
                      <a:picLocks noChangeAspect="1"/>
                    </pic:cNvPicPr>
                  </pic:nvPicPr>
                  <pic:blipFill>
                    <a:blip r:embed="rId55"/>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90" name="图片 190" descr="1-抚顺石化分公司乙烯部聚乙烯装置辛烯共聚新产品适应性技术改造项目-报批3.1-公示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1-抚顺石化分公司乙烯部聚乙烯装置辛烯共聚新产品适应性技术改造项目-报批3.1-公示_431"/>
                    <pic:cNvPicPr>
                      <a:picLocks noChangeAspect="1"/>
                    </pic:cNvPicPr>
                  </pic:nvPicPr>
                  <pic:blipFill>
                    <a:blip r:embed="rId56"/>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89" name="图片 189" descr="1-抚顺石化分公司乙烯部聚乙烯装置辛烯共聚新产品适应性技术改造项目-报批3.1-公示_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1-抚顺石化分公司乙烯部聚乙烯装置辛烯共聚新产品适应性技术改造项目-报批3.1-公示_432"/>
                    <pic:cNvPicPr>
                      <a:picLocks noChangeAspect="1"/>
                    </pic:cNvPicPr>
                  </pic:nvPicPr>
                  <pic:blipFill>
                    <a:blip r:embed="rId57"/>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88" name="图片 188" descr="1-抚顺石化分公司乙烯部聚乙烯装置辛烯共聚新产品适应性技术改造项目-报批3.1-公示_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1-抚顺石化分公司乙烯部聚乙烯装置辛烯共聚新产品适应性技术改造项目-报批3.1-公示_433"/>
                    <pic:cNvPicPr>
                      <a:picLocks noChangeAspect="1"/>
                    </pic:cNvPicPr>
                  </pic:nvPicPr>
                  <pic:blipFill>
                    <a:blip r:embed="rId58"/>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76" name="图片 176" descr="1-抚顺石化分公司乙烯部聚乙烯装置辛烯共聚新产品适应性技术改造项目-报批3.1-公示_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1-抚顺石化分公司乙烯部聚乙烯装置辛烯共聚新产品适应性技术改造项目-报批3.1-公示_434"/>
                    <pic:cNvPicPr>
                      <a:picLocks noChangeAspect="1"/>
                    </pic:cNvPicPr>
                  </pic:nvPicPr>
                  <pic:blipFill>
                    <a:blip r:embed="rId59"/>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64" name="图片 164" descr="1-抚顺石化分公司乙烯部聚乙烯装置辛烯共聚新产品适应性技术改造项目-报批3.1-公示_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1-抚顺石化分公司乙烯部聚乙烯装置辛烯共聚新产品适应性技术改造项目-报批3.1-公示_435"/>
                    <pic:cNvPicPr>
                      <a:picLocks noChangeAspect="1"/>
                    </pic:cNvPicPr>
                  </pic:nvPicPr>
                  <pic:blipFill>
                    <a:blip r:embed="rId60"/>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56" name="图片 156" descr="1-抚顺石化分公司乙烯部聚乙烯装置辛烯共聚新产品适应性技术改造项目-报批3.1-公示_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1-抚顺石化分公司乙烯部聚乙烯装置辛烯共聚新产品适应性技术改造项目-报批3.1-公示_436"/>
                    <pic:cNvPicPr>
                      <a:picLocks noChangeAspect="1"/>
                    </pic:cNvPicPr>
                  </pic:nvPicPr>
                  <pic:blipFill>
                    <a:blip r:embed="rId61"/>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54" name="图片 154" descr="1-抚顺石化分公司乙烯部聚乙烯装置辛烯共聚新产品适应性技术改造项目-报批3.1-公示_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1-抚顺石化分公司乙烯部聚乙烯装置辛烯共聚新产品适应性技术改造项目-报批3.1-公示_437"/>
                    <pic:cNvPicPr>
                      <a:picLocks noChangeAspect="1"/>
                    </pic:cNvPicPr>
                  </pic:nvPicPr>
                  <pic:blipFill>
                    <a:blip r:embed="rId62"/>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51" name="图片 151" descr="1-抚顺石化分公司乙烯部聚乙烯装置辛烯共聚新产品适应性技术改造项目-报批3.1-公示_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1-抚顺石化分公司乙烯部聚乙烯装置辛烯共聚新产品适应性技术改造项目-报批3.1-公示_438"/>
                    <pic:cNvPicPr>
                      <a:picLocks noChangeAspect="1"/>
                    </pic:cNvPicPr>
                  </pic:nvPicPr>
                  <pic:blipFill>
                    <a:blip r:embed="rId63"/>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47" name="图片 147" descr="1-抚顺石化分公司乙烯部聚乙烯装置辛烯共聚新产品适应性技术改造项目-报批3.1-公示_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1-抚顺石化分公司乙烯部聚乙烯装置辛烯共聚新产品适应性技术改造项目-报批3.1-公示_439"/>
                    <pic:cNvPicPr>
                      <a:picLocks noChangeAspect="1"/>
                    </pic:cNvPicPr>
                  </pic:nvPicPr>
                  <pic:blipFill>
                    <a:blip r:embed="rId64"/>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22" name="图片 122" descr="1-抚顺石化分公司乙烯部聚乙烯装置辛烯共聚新产品适应性技术改造项目-报批3.1-公示_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1-抚顺石化分公司乙烯部聚乙烯装置辛烯共聚新产品适应性技术改造项目-报批3.1-公示_440"/>
                    <pic:cNvPicPr>
                      <a:picLocks noChangeAspect="1"/>
                    </pic:cNvPicPr>
                  </pic:nvPicPr>
                  <pic:blipFill>
                    <a:blip r:embed="rId65"/>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13" name="图片 113" descr="1-抚顺石化分公司乙烯部聚乙烯装置辛烯共聚新产品适应性技术改造项目-报批3.1-公示_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1-抚顺石化分公司乙烯部聚乙烯装置辛烯共聚新产品适应性技术改造项目-报批3.1-公示_441"/>
                    <pic:cNvPicPr>
                      <a:picLocks noChangeAspect="1"/>
                    </pic:cNvPicPr>
                  </pic:nvPicPr>
                  <pic:blipFill>
                    <a:blip r:embed="rId66"/>
                    <a:stretch>
                      <a:fillRect/>
                    </a:stretch>
                  </pic:blipFill>
                  <pic:spPr>
                    <a:xfrm>
                      <a:off x="0" y="0"/>
                      <a:ext cx="5262245" cy="7441565"/>
                    </a:xfrm>
                    <a:prstGeom prst="rect">
                      <a:avLst/>
                    </a:prstGeom>
                  </pic:spPr>
                </pic:pic>
              </a:graphicData>
            </a:graphic>
          </wp:inline>
        </w:drawing>
      </w:r>
      <w:r>
        <w:rPr>
          <w:rFonts w:hint="eastAsia" w:eastAsia="宋体"/>
          <w:color w:val="auto"/>
          <w:sz w:val="28"/>
          <w:szCs w:val="28"/>
          <w:highlight w:val="none"/>
          <w:lang w:val="en-US" w:eastAsia="zh-CN"/>
        </w:rPr>
        <w:drawing>
          <wp:inline distT="0" distB="0" distL="114300" distR="114300">
            <wp:extent cx="5262245" cy="7441565"/>
            <wp:effectExtent l="0" t="0" r="14605" b="6985"/>
            <wp:docPr id="112" name="图片 112" descr="1-抚顺石化分公司乙烯部聚乙烯装置辛烯共聚新产品适应性技术改造项目-报批3.1-公示_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1-抚顺石化分公司乙烯部聚乙烯装置辛烯共聚新产品适应性技术改造项目-报批3.1-公示_442"/>
                    <pic:cNvPicPr>
                      <a:picLocks noChangeAspect="1"/>
                    </pic:cNvPicPr>
                  </pic:nvPicPr>
                  <pic:blipFill>
                    <a:blip r:embed="rId67"/>
                    <a:stretch>
                      <a:fillRect/>
                    </a:stretch>
                  </pic:blipFill>
                  <pic:spPr>
                    <a:xfrm>
                      <a:off x="0" y="0"/>
                      <a:ext cx="5262245" cy="7441565"/>
                    </a:xfrm>
                    <a:prstGeom prst="rect">
                      <a:avLst/>
                    </a:prstGeom>
                  </pic:spPr>
                </pic:pic>
              </a:graphicData>
            </a:graphic>
          </wp:inline>
        </w:drawing>
      </w:r>
    </w:p>
    <w:p w14:paraId="49F3706B">
      <w:pPr>
        <w:pStyle w:val="3"/>
        <w:keepLines/>
        <w:overflowPunct/>
        <w:snapToGrid/>
        <w:spacing w:before="0" w:after="0" w:line="360" w:lineRule="exact"/>
        <w:ind w:left="0" w:firstLine="0"/>
        <w:rPr>
          <w:rFonts w:hint="eastAsia" w:eastAsia="宋体"/>
          <w:color w:val="auto"/>
          <w:sz w:val="28"/>
          <w:szCs w:val="28"/>
          <w:highlight w:val="none"/>
          <w:lang w:val="en-US" w:eastAsia="zh-CN"/>
        </w:rPr>
      </w:pPr>
      <w:r>
        <w:rPr>
          <w:rFonts w:eastAsia="宋体"/>
          <w:color w:val="auto"/>
          <w:sz w:val="28"/>
          <w:szCs w:val="28"/>
          <w:highlight w:val="none"/>
        </w:rPr>
        <w:t>附件</w:t>
      </w:r>
      <w:r>
        <w:rPr>
          <w:rFonts w:hint="eastAsia" w:eastAsia="宋体"/>
          <w:color w:val="auto"/>
          <w:sz w:val="28"/>
          <w:szCs w:val="28"/>
          <w:highlight w:val="none"/>
          <w:lang w:val="en-US" w:eastAsia="zh-CN"/>
        </w:rPr>
        <w:t>7例行检测文件（废气、水、地下水、土壤）</w:t>
      </w:r>
    </w:p>
    <w:p w14:paraId="2A4059BB">
      <w:pPr>
        <w:rPr>
          <w:rFonts w:hint="eastAsia"/>
          <w:color w:val="auto"/>
          <w:highlight w:val="none"/>
          <w:lang w:val="en-US" w:eastAsia="zh-CN"/>
        </w:rPr>
      </w:pPr>
    </w:p>
    <w:p w14:paraId="1728B51A">
      <w:pPr>
        <w:rPr>
          <w:rFonts w:hint="eastAsia"/>
          <w:color w:val="auto"/>
          <w:highlight w:val="none"/>
          <w:lang w:eastAsia="zh-CN"/>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rFonts w:hint="eastAsia"/>
          <w:color w:val="auto"/>
          <w:highlight w:val="none"/>
          <w:lang w:eastAsia="zh-CN"/>
        </w:rPr>
        <w:drawing>
          <wp:inline distT="0" distB="0" distL="114300" distR="114300">
            <wp:extent cx="5258435" cy="7496810"/>
            <wp:effectExtent l="0" t="0" r="18415" b="8890"/>
            <wp:docPr id="86" name="图片 86" descr="（环检）03-019汉圣化工自行3（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环检）03-019汉圣化工自行3（月）_01"/>
                    <pic:cNvPicPr>
                      <a:picLocks noChangeAspect="1"/>
                    </pic:cNvPicPr>
                  </pic:nvPicPr>
                  <pic:blipFill>
                    <a:blip r:embed="rId68"/>
                    <a:stretch>
                      <a:fillRect/>
                    </a:stretch>
                  </pic:blipFill>
                  <pic:spPr>
                    <a:xfrm>
                      <a:off x="0" y="0"/>
                      <a:ext cx="5258435" cy="7496810"/>
                    </a:xfrm>
                    <a:prstGeom prst="rect">
                      <a:avLst/>
                    </a:prstGeom>
                  </pic:spPr>
                </pic:pic>
              </a:graphicData>
            </a:graphic>
          </wp:inline>
        </w:drawing>
      </w:r>
      <w:r>
        <w:rPr>
          <w:rFonts w:hint="eastAsia"/>
          <w:color w:val="auto"/>
          <w:highlight w:val="none"/>
          <w:lang w:eastAsia="zh-CN"/>
        </w:rPr>
        <w:drawing>
          <wp:inline distT="0" distB="0" distL="114300" distR="114300">
            <wp:extent cx="5258435" cy="7496810"/>
            <wp:effectExtent l="0" t="0" r="18415" b="8890"/>
            <wp:docPr id="85" name="图片 85" descr="（环检）03-019汉圣化工自行3（月）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环检）03-019汉圣化工自行3（月）_02"/>
                    <pic:cNvPicPr>
                      <a:picLocks noChangeAspect="1"/>
                    </pic:cNvPicPr>
                  </pic:nvPicPr>
                  <pic:blipFill>
                    <a:blip r:embed="rId69"/>
                    <a:stretch>
                      <a:fillRect/>
                    </a:stretch>
                  </pic:blipFill>
                  <pic:spPr>
                    <a:xfrm>
                      <a:off x="0" y="0"/>
                      <a:ext cx="5258435" cy="7496810"/>
                    </a:xfrm>
                    <a:prstGeom prst="rect">
                      <a:avLst/>
                    </a:prstGeom>
                  </pic:spPr>
                </pic:pic>
              </a:graphicData>
            </a:graphic>
          </wp:inline>
        </w:drawing>
      </w:r>
      <w:r>
        <w:rPr>
          <w:rFonts w:hint="eastAsia"/>
          <w:color w:val="auto"/>
          <w:highlight w:val="none"/>
          <w:lang w:eastAsia="zh-CN"/>
        </w:rPr>
        <w:drawing>
          <wp:inline distT="0" distB="0" distL="114300" distR="114300">
            <wp:extent cx="5258435" cy="7496810"/>
            <wp:effectExtent l="0" t="0" r="18415" b="8890"/>
            <wp:docPr id="84" name="图片 84" descr="（环检）03-019汉圣化工自行3（月）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环检）03-019汉圣化工自行3（月）_03"/>
                    <pic:cNvPicPr>
                      <a:picLocks noChangeAspect="1"/>
                    </pic:cNvPicPr>
                  </pic:nvPicPr>
                  <pic:blipFill>
                    <a:blip r:embed="rId70"/>
                    <a:stretch>
                      <a:fillRect/>
                    </a:stretch>
                  </pic:blipFill>
                  <pic:spPr>
                    <a:xfrm>
                      <a:off x="0" y="0"/>
                      <a:ext cx="5258435" cy="7496810"/>
                    </a:xfrm>
                    <a:prstGeom prst="rect">
                      <a:avLst/>
                    </a:prstGeom>
                  </pic:spPr>
                </pic:pic>
              </a:graphicData>
            </a:graphic>
          </wp:inline>
        </w:drawing>
      </w:r>
      <w:r>
        <w:rPr>
          <w:rFonts w:hint="eastAsia"/>
          <w:color w:val="auto"/>
          <w:highlight w:val="none"/>
          <w:lang w:eastAsia="zh-CN"/>
        </w:rPr>
        <w:drawing>
          <wp:inline distT="0" distB="0" distL="114300" distR="114300">
            <wp:extent cx="5258435" cy="7496810"/>
            <wp:effectExtent l="0" t="0" r="18415" b="8890"/>
            <wp:docPr id="83" name="图片 83" descr="（环检）03-019汉圣化工自行3（月）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环检）03-019汉圣化工自行3（月）_04"/>
                    <pic:cNvPicPr>
                      <a:picLocks noChangeAspect="1"/>
                    </pic:cNvPicPr>
                  </pic:nvPicPr>
                  <pic:blipFill>
                    <a:blip r:embed="rId71"/>
                    <a:stretch>
                      <a:fillRect/>
                    </a:stretch>
                  </pic:blipFill>
                  <pic:spPr>
                    <a:xfrm>
                      <a:off x="0" y="0"/>
                      <a:ext cx="5258435" cy="7496810"/>
                    </a:xfrm>
                    <a:prstGeom prst="rect">
                      <a:avLst/>
                    </a:prstGeom>
                  </pic:spPr>
                </pic:pic>
              </a:graphicData>
            </a:graphic>
          </wp:inline>
        </w:drawing>
      </w:r>
      <w:r>
        <w:rPr>
          <w:rFonts w:hint="eastAsia"/>
          <w:color w:val="auto"/>
          <w:highlight w:val="none"/>
          <w:lang w:eastAsia="zh-CN"/>
        </w:rPr>
        <w:drawing>
          <wp:inline distT="0" distB="0" distL="114300" distR="114300">
            <wp:extent cx="5258435" cy="7496810"/>
            <wp:effectExtent l="0" t="0" r="18415" b="8890"/>
            <wp:docPr id="82" name="图片 82" descr="（环检）03-019汉圣化工自行3（月）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环检）03-019汉圣化工自行3（月）_05"/>
                    <pic:cNvPicPr>
                      <a:picLocks noChangeAspect="1"/>
                    </pic:cNvPicPr>
                  </pic:nvPicPr>
                  <pic:blipFill>
                    <a:blip r:embed="rId72"/>
                    <a:stretch>
                      <a:fillRect/>
                    </a:stretch>
                  </pic:blipFill>
                  <pic:spPr>
                    <a:xfrm>
                      <a:off x="0" y="0"/>
                      <a:ext cx="5258435" cy="7496810"/>
                    </a:xfrm>
                    <a:prstGeom prst="rect">
                      <a:avLst/>
                    </a:prstGeom>
                  </pic:spPr>
                </pic:pic>
              </a:graphicData>
            </a:graphic>
          </wp:inline>
        </w:drawing>
      </w:r>
      <w:r>
        <w:rPr>
          <w:rFonts w:hint="eastAsia"/>
          <w:color w:val="auto"/>
          <w:highlight w:val="none"/>
          <w:lang w:eastAsia="zh-CN"/>
        </w:rPr>
        <w:drawing>
          <wp:inline distT="0" distB="0" distL="114300" distR="114300">
            <wp:extent cx="5260340" cy="7439660"/>
            <wp:effectExtent l="0" t="0" r="16510" b="8890"/>
            <wp:docPr id="81" name="图片 81" descr="2508141汉圣化工有限公司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2508141汉圣化工有限公司_01"/>
                    <pic:cNvPicPr>
                      <a:picLocks noChangeAspect="1"/>
                    </pic:cNvPicPr>
                  </pic:nvPicPr>
                  <pic:blipFill>
                    <a:blip r:embed="rId73"/>
                    <a:stretch>
                      <a:fillRect/>
                    </a:stretch>
                  </pic:blipFill>
                  <pic:spPr>
                    <a:xfrm>
                      <a:off x="0" y="0"/>
                      <a:ext cx="5260340" cy="7439660"/>
                    </a:xfrm>
                    <a:prstGeom prst="rect">
                      <a:avLst/>
                    </a:prstGeom>
                  </pic:spPr>
                </pic:pic>
              </a:graphicData>
            </a:graphic>
          </wp:inline>
        </w:drawing>
      </w:r>
      <w:r>
        <w:rPr>
          <w:rFonts w:hint="eastAsia"/>
          <w:color w:val="auto"/>
          <w:highlight w:val="none"/>
          <w:lang w:eastAsia="zh-CN"/>
        </w:rPr>
        <w:drawing>
          <wp:inline distT="0" distB="0" distL="114300" distR="114300">
            <wp:extent cx="5260340" cy="7439660"/>
            <wp:effectExtent l="0" t="0" r="16510" b="8890"/>
            <wp:docPr id="80" name="图片 80" descr="2508141汉圣化工有限公司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2508141汉圣化工有限公司_02"/>
                    <pic:cNvPicPr>
                      <a:picLocks noChangeAspect="1"/>
                    </pic:cNvPicPr>
                  </pic:nvPicPr>
                  <pic:blipFill>
                    <a:blip r:embed="rId74"/>
                    <a:stretch>
                      <a:fillRect/>
                    </a:stretch>
                  </pic:blipFill>
                  <pic:spPr>
                    <a:xfrm>
                      <a:off x="0" y="0"/>
                      <a:ext cx="5260340" cy="7439660"/>
                    </a:xfrm>
                    <a:prstGeom prst="rect">
                      <a:avLst/>
                    </a:prstGeom>
                  </pic:spPr>
                </pic:pic>
              </a:graphicData>
            </a:graphic>
          </wp:inline>
        </w:drawing>
      </w:r>
      <w:r>
        <w:rPr>
          <w:rFonts w:hint="eastAsia"/>
          <w:color w:val="auto"/>
          <w:highlight w:val="none"/>
          <w:lang w:eastAsia="zh-CN"/>
        </w:rPr>
        <w:drawing>
          <wp:inline distT="0" distB="0" distL="114300" distR="114300">
            <wp:extent cx="5260340" cy="7439660"/>
            <wp:effectExtent l="0" t="0" r="16510" b="8890"/>
            <wp:docPr id="79" name="图片 79" descr="2508141汉圣化工有限公司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2508141汉圣化工有限公司_03"/>
                    <pic:cNvPicPr>
                      <a:picLocks noChangeAspect="1"/>
                    </pic:cNvPicPr>
                  </pic:nvPicPr>
                  <pic:blipFill>
                    <a:blip r:embed="rId75"/>
                    <a:stretch>
                      <a:fillRect/>
                    </a:stretch>
                  </pic:blipFill>
                  <pic:spPr>
                    <a:xfrm>
                      <a:off x="0" y="0"/>
                      <a:ext cx="5260340" cy="7439660"/>
                    </a:xfrm>
                    <a:prstGeom prst="rect">
                      <a:avLst/>
                    </a:prstGeom>
                  </pic:spPr>
                </pic:pic>
              </a:graphicData>
            </a:graphic>
          </wp:inline>
        </w:drawing>
      </w:r>
      <w:r>
        <w:rPr>
          <w:rFonts w:hint="eastAsia"/>
          <w:color w:val="auto"/>
          <w:highlight w:val="none"/>
          <w:lang w:eastAsia="zh-CN"/>
        </w:rPr>
        <w:drawing>
          <wp:inline distT="0" distB="0" distL="114300" distR="114300">
            <wp:extent cx="5260340" cy="7439660"/>
            <wp:effectExtent l="0" t="0" r="16510" b="8890"/>
            <wp:docPr id="78" name="图片 78" descr="2508141汉圣化工有限公司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2508141汉圣化工有限公司_04"/>
                    <pic:cNvPicPr>
                      <a:picLocks noChangeAspect="1"/>
                    </pic:cNvPicPr>
                  </pic:nvPicPr>
                  <pic:blipFill>
                    <a:blip r:embed="rId76"/>
                    <a:stretch>
                      <a:fillRect/>
                    </a:stretch>
                  </pic:blipFill>
                  <pic:spPr>
                    <a:xfrm>
                      <a:off x="0" y="0"/>
                      <a:ext cx="5260340" cy="7439660"/>
                    </a:xfrm>
                    <a:prstGeom prst="rect">
                      <a:avLst/>
                    </a:prstGeom>
                  </pic:spPr>
                </pic:pic>
              </a:graphicData>
            </a:graphic>
          </wp:inline>
        </w:drawing>
      </w:r>
      <w:r>
        <w:rPr>
          <w:rFonts w:hint="eastAsia"/>
          <w:color w:val="auto"/>
          <w:highlight w:val="none"/>
          <w:lang w:eastAsia="zh-CN"/>
        </w:rPr>
        <w:drawing>
          <wp:inline distT="0" distB="0" distL="114300" distR="114300">
            <wp:extent cx="5260340" cy="7439660"/>
            <wp:effectExtent l="0" t="0" r="16510" b="8890"/>
            <wp:docPr id="77" name="图片 77" descr="2508141汉圣化工有限公司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2508141汉圣化工有限公司_05"/>
                    <pic:cNvPicPr>
                      <a:picLocks noChangeAspect="1"/>
                    </pic:cNvPicPr>
                  </pic:nvPicPr>
                  <pic:blipFill>
                    <a:blip r:embed="rId77"/>
                    <a:stretch>
                      <a:fillRect/>
                    </a:stretch>
                  </pic:blipFill>
                  <pic:spPr>
                    <a:xfrm>
                      <a:off x="0" y="0"/>
                      <a:ext cx="5260340" cy="7439660"/>
                    </a:xfrm>
                    <a:prstGeom prst="rect">
                      <a:avLst/>
                    </a:prstGeom>
                  </pic:spPr>
                </pic:pic>
              </a:graphicData>
            </a:graphic>
          </wp:inline>
        </w:drawing>
      </w:r>
    </w:p>
    <w:p w14:paraId="45512CE4">
      <w:pPr>
        <w:pStyle w:val="3"/>
        <w:keepLines/>
        <w:overflowPunct/>
        <w:snapToGrid/>
        <w:spacing w:before="0" w:after="0" w:line="360" w:lineRule="exact"/>
        <w:rPr>
          <w:rFonts w:hint="eastAsia" w:eastAsia="宋体"/>
          <w:color w:val="auto"/>
          <w:sz w:val="28"/>
          <w:szCs w:val="28"/>
          <w:highlight w:val="none"/>
          <w:lang w:val="en-US" w:eastAsia="zh-CN"/>
        </w:rPr>
      </w:pPr>
      <w:r>
        <w:rPr>
          <w:rFonts w:eastAsia="宋体"/>
          <w:color w:val="auto"/>
          <w:sz w:val="28"/>
          <w:szCs w:val="28"/>
          <w:highlight w:val="none"/>
        </w:rPr>
        <w:t>附</w:t>
      </w:r>
      <w:r>
        <w:rPr>
          <w:rFonts w:hint="eastAsia" w:eastAsia="宋体"/>
          <w:color w:val="auto"/>
          <w:sz w:val="28"/>
          <w:szCs w:val="28"/>
          <w:highlight w:val="none"/>
          <w:lang w:val="en-US" w:eastAsia="zh-CN"/>
        </w:rPr>
        <w:t>件8企业标准</w:t>
      </w:r>
    </w:p>
    <w:p w14:paraId="68E77980">
      <w:pPr>
        <w:rPr>
          <w:rFonts w:hint="default"/>
          <w:color w:val="auto"/>
          <w:lang w:val="en-US" w:eastAsia="zh-CN"/>
        </w:rPr>
      </w:pPr>
    </w:p>
    <w:p w14:paraId="6B360343">
      <w:pPr>
        <w:rPr>
          <w:rFonts w:hint="eastAsia"/>
          <w:color w:val="auto"/>
          <w:highlight w:val="none"/>
          <w:lang w:eastAsia="zh-CN"/>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rFonts w:hint="eastAsia"/>
          <w:color w:val="auto"/>
          <w:highlight w:val="none"/>
          <w:lang w:eastAsia="zh-CN"/>
        </w:rPr>
        <w:drawing>
          <wp:inline distT="0" distB="0" distL="114300" distR="114300">
            <wp:extent cx="5253990" cy="6799580"/>
            <wp:effectExtent l="0" t="0" r="3810" b="1270"/>
            <wp:docPr id="496" name="图片 496" descr="汉圣化工-橡胶防护蜡企业标准 （2025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496" descr="汉圣化工-橡胶防护蜡企业标准 （2025版）_01"/>
                    <pic:cNvPicPr>
                      <a:picLocks noChangeAspect="1"/>
                    </pic:cNvPicPr>
                  </pic:nvPicPr>
                  <pic:blipFill>
                    <a:blip r:embed="rId78"/>
                    <a:stretch>
                      <a:fillRect/>
                    </a:stretch>
                  </pic:blipFill>
                  <pic:spPr>
                    <a:xfrm>
                      <a:off x="0" y="0"/>
                      <a:ext cx="5253990" cy="6799580"/>
                    </a:xfrm>
                    <a:prstGeom prst="rect">
                      <a:avLst/>
                    </a:prstGeom>
                  </pic:spPr>
                </pic:pic>
              </a:graphicData>
            </a:graphic>
          </wp:inline>
        </w:drawing>
      </w:r>
      <w:r>
        <w:rPr>
          <w:rFonts w:hint="eastAsia"/>
          <w:color w:val="auto"/>
          <w:highlight w:val="none"/>
          <w:lang w:eastAsia="zh-CN"/>
        </w:rPr>
        <w:drawing>
          <wp:inline distT="0" distB="0" distL="114300" distR="114300">
            <wp:extent cx="5253990" cy="6799580"/>
            <wp:effectExtent l="0" t="0" r="3810" b="1270"/>
            <wp:docPr id="495" name="图片 495" descr="汉圣化工-橡胶防护蜡企业标准 （2025版）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495" descr="汉圣化工-橡胶防护蜡企业标准 （2025版）_02"/>
                    <pic:cNvPicPr>
                      <a:picLocks noChangeAspect="1"/>
                    </pic:cNvPicPr>
                  </pic:nvPicPr>
                  <pic:blipFill>
                    <a:blip r:embed="rId79"/>
                    <a:stretch>
                      <a:fillRect/>
                    </a:stretch>
                  </pic:blipFill>
                  <pic:spPr>
                    <a:xfrm>
                      <a:off x="0" y="0"/>
                      <a:ext cx="5253990" cy="6799580"/>
                    </a:xfrm>
                    <a:prstGeom prst="rect">
                      <a:avLst/>
                    </a:prstGeom>
                  </pic:spPr>
                </pic:pic>
              </a:graphicData>
            </a:graphic>
          </wp:inline>
        </w:drawing>
      </w:r>
      <w:r>
        <w:rPr>
          <w:rFonts w:hint="eastAsia"/>
          <w:color w:val="auto"/>
          <w:highlight w:val="none"/>
          <w:lang w:eastAsia="zh-CN"/>
        </w:rPr>
        <w:drawing>
          <wp:inline distT="0" distB="0" distL="114300" distR="114300">
            <wp:extent cx="5253990" cy="6799580"/>
            <wp:effectExtent l="0" t="0" r="3810" b="1270"/>
            <wp:docPr id="494" name="图片 494" descr="汉圣化工-橡胶防护蜡企业标准 （2025版）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图片 494" descr="汉圣化工-橡胶防护蜡企业标准 （2025版）_03"/>
                    <pic:cNvPicPr>
                      <a:picLocks noChangeAspect="1"/>
                    </pic:cNvPicPr>
                  </pic:nvPicPr>
                  <pic:blipFill>
                    <a:blip r:embed="rId80"/>
                    <a:stretch>
                      <a:fillRect/>
                    </a:stretch>
                  </pic:blipFill>
                  <pic:spPr>
                    <a:xfrm>
                      <a:off x="0" y="0"/>
                      <a:ext cx="5253990" cy="6799580"/>
                    </a:xfrm>
                    <a:prstGeom prst="rect">
                      <a:avLst/>
                    </a:prstGeom>
                  </pic:spPr>
                </pic:pic>
              </a:graphicData>
            </a:graphic>
          </wp:inline>
        </w:drawing>
      </w:r>
      <w:r>
        <w:rPr>
          <w:rFonts w:hint="eastAsia"/>
          <w:color w:val="auto"/>
          <w:highlight w:val="none"/>
          <w:lang w:eastAsia="zh-CN"/>
        </w:rPr>
        <w:drawing>
          <wp:inline distT="0" distB="0" distL="114300" distR="114300">
            <wp:extent cx="5253990" cy="6799580"/>
            <wp:effectExtent l="0" t="0" r="3810" b="1270"/>
            <wp:docPr id="493" name="图片 493" descr="汉圣化工-橡胶防护蜡企业标准 （2025版）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图片 493" descr="汉圣化工-橡胶防护蜡企业标准 （2025版）_04"/>
                    <pic:cNvPicPr>
                      <a:picLocks noChangeAspect="1"/>
                    </pic:cNvPicPr>
                  </pic:nvPicPr>
                  <pic:blipFill>
                    <a:blip r:embed="rId81"/>
                    <a:stretch>
                      <a:fillRect/>
                    </a:stretch>
                  </pic:blipFill>
                  <pic:spPr>
                    <a:xfrm>
                      <a:off x="0" y="0"/>
                      <a:ext cx="5253990" cy="6799580"/>
                    </a:xfrm>
                    <a:prstGeom prst="rect">
                      <a:avLst/>
                    </a:prstGeom>
                  </pic:spPr>
                </pic:pic>
              </a:graphicData>
            </a:graphic>
          </wp:inline>
        </w:drawing>
      </w:r>
      <w:r>
        <w:rPr>
          <w:rFonts w:hint="eastAsia"/>
          <w:color w:val="auto"/>
          <w:highlight w:val="none"/>
          <w:lang w:eastAsia="zh-CN"/>
        </w:rPr>
        <w:drawing>
          <wp:inline distT="0" distB="0" distL="114300" distR="114300">
            <wp:extent cx="5253990" cy="6799580"/>
            <wp:effectExtent l="0" t="0" r="3810" b="1270"/>
            <wp:docPr id="492" name="图片 492" descr="汉圣化工-橡胶防护蜡企业标准 （2025版）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492" descr="汉圣化工-橡胶防护蜡企业标准 （2025版）_05"/>
                    <pic:cNvPicPr>
                      <a:picLocks noChangeAspect="1"/>
                    </pic:cNvPicPr>
                  </pic:nvPicPr>
                  <pic:blipFill>
                    <a:blip r:embed="rId82"/>
                    <a:stretch>
                      <a:fillRect/>
                    </a:stretch>
                  </pic:blipFill>
                  <pic:spPr>
                    <a:xfrm>
                      <a:off x="0" y="0"/>
                      <a:ext cx="5253990" cy="6799580"/>
                    </a:xfrm>
                    <a:prstGeom prst="rect">
                      <a:avLst/>
                    </a:prstGeom>
                  </pic:spPr>
                </pic:pic>
              </a:graphicData>
            </a:graphic>
          </wp:inline>
        </w:drawing>
      </w:r>
      <w:r>
        <w:rPr>
          <w:rFonts w:hint="eastAsia"/>
          <w:color w:val="auto"/>
          <w:highlight w:val="none"/>
          <w:lang w:eastAsia="zh-CN"/>
        </w:rPr>
        <w:drawing>
          <wp:inline distT="0" distB="0" distL="114300" distR="114300">
            <wp:extent cx="5253990" cy="6799580"/>
            <wp:effectExtent l="0" t="0" r="3810" b="1270"/>
            <wp:docPr id="491" name="图片 491" descr="汉圣化工-橡胶防护蜡企业标准 （2025版）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图片 491" descr="汉圣化工-橡胶防护蜡企业标准 （2025版）_06"/>
                    <pic:cNvPicPr>
                      <a:picLocks noChangeAspect="1"/>
                    </pic:cNvPicPr>
                  </pic:nvPicPr>
                  <pic:blipFill>
                    <a:blip r:embed="rId83"/>
                    <a:stretch>
                      <a:fillRect/>
                    </a:stretch>
                  </pic:blipFill>
                  <pic:spPr>
                    <a:xfrm>
                      <a:off x="0" y="0"/>
                      <a:ext cx="5253990" cy="6799580"/>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506" name="图片 506" descr="GBT446-202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506" descr="GBT446-2023_01"/>
                    <pic:cNvPicPr>
                      <a:picLocks noChangeAspect="1"/>
                    </pic:cNvPicPr>
                  </pic:nvPicPr>
                  <pic:blipFill>
                    <a:blip r:embed="rId84"/>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505" name="图片 505" descr="GBT446-2023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505" descr="GBT446-2023_02"/>
                    <pic:cNvPicPr>
                      <a:picLocks noChangeAspect="1"/>
                    </pic:cNvPicPr>
                  </pic:nvPicPr>
                  <pic:blipFill>
                    <a:blip r:embed="rId85"/>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504" name="图片 504" descr="GBT446-2023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图片 504" descr="GBT446-2023_03"/>
                    <pic:cNvPicPr>
                      <a:picLocks noChangeAspect="1"/>
                    </pic:cNvPicPr>
                  </pic:nvPicPr>
                  <pic:blipFill>
                    <a:blip r:embed="rId86"/>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503" name="图片 503" descr="GBT446-2023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503" descr="GBT446-2023_04"/>
                    <pic:cNvPicPr>
                      <a:picLocks noChangeAspect="1"/>
                    </pic:cNvPicPr>
                  </pic:nvPicPr>
                  <pic:blipFill>
                    <a:blip r:embed="rId87"/>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502" name="图片 502" descr="GBT446-2023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502" descr="GBT446-2023_05"/>
                    <pic:cNvPicPr>
                      <a:picLocks noChangeAspect="1"/>
                    </pic:cNvPicPr>
                  </pic:nvPicPr>
                  <pic:blipFill>
                    <a:blip r:embed="rId88"/>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501" name="图片 501" descr="GBT446-2023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图片 501" descr="GBT446-2023_06"/>
                    <pic:cNvPicPr>
                      <a:picLocks noChangeAspect="1"/>
                    </pic:cNvPicPr>
                  </pic:nvPicPr>
                  <pic:blipFill>
                    <a:blip r:embed="rId89"/>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500" name="图片 500" descr="GBT446-2023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500" descr="GBT446-2023_07"/>
                    <pic:cNvPicPr>
                      <a:picLocks noChangeAspect="1"/>
                    </pic:cNvPicPr>
                  </pic:nvPicPr>
                  <pic:blipFill>
                    <a:blip r:embed="rId90"/>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499" name="图片 499" descr="GBT446-2023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499" descr="GBT446-2023_08"/>
                    <pic:cNvPicPr>
                      <a:picLocks noChangeAspect="1"/>
                    </pic:cNvPicPr>
                  </pic:nvPicPr>
                  <pic:blipFill>
                    <a:blip r:embed="rId91"/>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498" name="图片 498" descr="GBT446-2023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498" descr="GBT446-2023_09"/>
                    <pic:cNvPicPr>
                      <a:picLocks noChangeAspect="1"/>
                    </pic:cNvPicPr>
                  </pic:nvPicPr>
                  <pic:blipFill>
                    <a:blip r:embed="rId92"/>
                    <a:stretch>
                      <a:fillRect/>
                    </a:stretch>
                  </pic:blipFill>
                  <pic:spPr>
                    <a:xfrm>
                      <a:off x="0" y="0"/>
                      <a:ext cx="5260340" cy="7441565"/>
                    </a:xfrm>
                    <a:prstGeom prst="rect">
                      <a:avLst/>
                    </a:prstGeom>
                  </pic:spPr>
                </pic:pic>
              </a:graphicData>
            </a:graphic>
          </wp:inline>
        </w:drawing>
      </w:r>
      <w:r>
        <w:rPr>
          <w:rFonts w:hint="eastAsia"/>
          <w:color w:val="auto"/>
          <w:highlight w:val="none"/>
          <w:lang w:eastAsia="zh-CN"/>
        </w:rPr>
        <w:drawing>
          <wp:inline distT="0" distB="0" distL="114300" distR="114300">
            <wp:extent cx="5260340" cy="7441565"/>
            <wp:effectExtent l="0" t="0" r="16510" b="6985"/>
            <wp:docPr id="497" name="图片 497" descr="GBT446-2023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图片 497" descr="GBT446-2023_10"/>
                    <pic:cNvPicPr>
                      <a:picLocks noChangeAspect="1"/>
                    </pic:cNvPicPr>
                  </pic:nvPicPr>
                  <pic:blipFill>
                    <a:blip r:embed="rId93"/>
                    <a:stretch>
                      <a:fillRect/>
                    </a:stretch>
                  </pic:blipFill>
                  <pic:spPr>
                    <a:xfrm>
                      <a:off x="0" y="0"/>
                      <a:ext cx="5260340" cy="7441565"/>
                    </a:xfrm>
                    <a:prstGeom prst="rect">
                      <a:avLst/>
                    </a:prstGeom>
                  </pic:spPr>
                </pic:pic>
              </a:graphicData>
            </a:graphic>
          </wp:inline>
        </w:drawing>
      </w:r>
    </w:p>
    <w:p w14:paraId="13872726">
      <w:pPr>
        <w:pStyle w:val="3"/>
        <w:keepLines/>
        <w:overflowPunct/>
        <w:snapToGrid/>
        <w:spacing w:before="0" w:after="0" w:line="360" w:lineRule="exact"/>
        <w:rPr>
          <w:rFonts w:eastAsia="宋体"/>
          <w:color w:val="auto"/>
          <w:sz w:val="28"/>
          <w:szCs w:val="28"/>
          <w:highlight w:val="none"/>
        </w:rPr>
      </w:pPr>
      <w:r>
        <w:rPr>
          <w:rFonts w:eastAsia="宋体"/>
          <w:color w:val="auto"/>
          <w:sz w:val="28"/>
          <w:szCs w:val="28"/>
          <w:highlight w:val="none"/>
        </w:rPr>
        <w:t>附图1地理位置图</w:t>
      </w:r>
    </w:p>
    <w:p w14:paraId="5CA4F511">
      <w:pPr>
        <w:pStyle w:val="2"/>
        <w:rPr>
          <w:color w:val="auto"/>
          <w:highlight w:val="none"/>
        </w:rPr>
      </w:pPr>
      <w:r>
        <w:rPr>
          <w:rFonts w:ascii="宋体" w:hAnsi="宋体" w:eastAsia="宋体" w:cs="宋体"/>
          <w:color w:val="auto"/>
          <w:sz w:val="24"/>
          <w:szCs w:val="24"/>
          <w:highlight w:val="none"/>
          <w:lang w:eastAsia="zh-CN"/>
        </w:rPr>
        <w:drawing>
          <wp:anchor distT="0" distB="0" distL="114300" distR="114300" simplePos="0" relativeHeight="251675648" behindDoc="0" locked="0" layoutInCell="1" allowOverlap="1">
            <wp:simplePos x="0" y="0"/>
            <wp:positionH relativeFrom="column">
              <wp:posOffset>7200265</wp:posOffset>
            </wp:positionH>
            <wp:positionV relativeFrom="paragraph">
              <wp:posOffset>183515</wp:posOffset>
            </wp:positionV>
            <wp:extent cx="483870" cy="797560"/>
            <wp:effectExtent l="19050" t="19050" r="30480" b="21590"/>
            <wp:wrapNone/>
            <wp:docPr id="87" name="图片 172" descr="抚顺市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72" descr="抚顺市风玫瑰"/>
                    <pic:cNvPicPr>
                      <a:picLocks noChangeAspect="1"/>
                    </pic:cNvPicPr>
                  </pic:nvPicPr>
                  <pic:blipFill>
                    <a:blip r:embed="rId94"/>
                    <a:stretch>
                      <a:fillRect/>
                    </a:stretch>
                  </pic:blipFill>
                  <pic:spPr>
                    <a:xfrm>
                      <a:off x="0" y="0"/>
                      <a:ext cx="483870" cy="797560"/>
                    </a:xfrm>
                    <a:prstGeom prst="rect">
                      <a:avLst/>
                    </a:prstGeom>
                    <a:noFill/>
                    <a:ln w="19050" cap="flat" cmpd="sng">
                      <a:solidFill>
                        <a:srgbClr val="000000"/>
                      </a:solidFill>
                      <a:prstDash val="solid"/>
                      <a:miter/>
                      <a:headEnd type="none" w="med" len="med"/>
                      <a:tailEnd type="none" w="med" len="med"/>
                    </a:ln>
                  </pic:spPr>
                </pic:pic>
              </a:graphicData>
            </a:graphic>
          </wp:anchor>
        </w:drawing>
      </w: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3181350</wp:posOffset>
                </wp:positionV>
                <wp:extent cx="914400" cy="307340"/>
                <wp:effectExtent l="4445" t="420370" r="14605" b="15240"/>
                <wp:wrapNone/>
                <wp:docPr id="1488" name="矩形标注 1488"/>
                <wp:cNvGraphicFramePr/>
                <a:graphic xmlns:a="http://schemas.openxmlformats.org/drawingml/2006/main">
                  <a:graphicData uri="http://schemas.microsoft.com/office/word/2010/wordprocessingShape">
                    <wps:wsp>
                      <wps:cNvSpPr/>
                      <wps:spPr>
                        <a:xfrm>
                          <a:off x="0" y="0"/>
                          <a:ext cx="914400" cy="307340"/>
                        </a:xfrm>
                        <a:prstGeom prst="wedgeRectCallout">
                          <a:avLst>
                            <a:gd name="adj1" fmla="val 38541"/>
                            <a:gd name="adj2" fmla="val -18533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8A70A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87.75pt;margin-top:250.5pt;height:24.2pt;width:72pt;z-index:251661312;v-text-anchor:middle;mso-width-relative:page;mso-height-relative:page;" fillcolor="#FFFFFF [3212]" filled="t" stroked="t" coordsize="21600,21600" o:gfxdata="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SkN0j1gAAAAsBAAAPAAAAAAAAAAEAIAAAACIAAABkcnMvZG93bnJldi54bWxQSwEC&#10;FAAUAAAACACHTuJAj1RNfaECAABRBQAADgAAAAAAAAABACAAAAAlAQAAZHJzL2Uyb0RvYy54bWxQ&#10;SwUGAAAAAAYABgBZAQAAOAYAAAAA&#10;" adj="19125,-29231">
                <v:fill on="t" focussize="0,0"/>
                <v:stroke color="#000000 [3213]" joinstyle="round"/>
                <v:imagedata o:title=""/>
                <o:lock v:ext="edit" aspectratio="f"/>
                <v:textbox>
                  <w:txbxContent>
                    <w:p w14:paraId="6E8A70A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项目所在地</w:t>
                      </w:r>
                    </w:p>
                  </w:txbxContent>
                </v:textbox>
              </v:shape>
            </w:pict>
          </mc:Fallback>
        </mc:AlternateContent>
      </w: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1885950</wp:posOffset>
                </wp:positionH>
                <wp:positionV relativeFrom="paragraph">
                  <wp:posOffset>2600325</wp:posOffset>
                </wp:positionV>
                <wp:extent cx="114300" cy="104775"/>
                <wp:effectExtent l="0" t="0" r="19050" b="28575"/>
                <wp:wrapNone/>
                <wp:docPr id="1487" name="矩形 1487"/>
                <wp:cNvGraphicFramePr/>
                <a:graphic xmlns:a="http://schemas.openxmlformats.org/drawingml/2006/main">
                  <a:graphicData uri="http://schemas.microsoft.com/office/word/2010/wordprocessingShape">
                    <wps:wsp>
                      <wps:cNvSpPr/>
                      <wps:spPr>
                        <a:xfrm>
                          <a:off x="0" y="0"/>
                          <a:ext cx="114300" cy="104775"/>
                        </a:xfrm>
                        <a:prstGeom prst="rect">
                          <a:avLst/>
                        </a:prstGeom>
                        <a:solidFill>
                          <a:srgbClr val="FF0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8.5pt;margin-top:204.75pt;height:8.25pt;width:9pt;z-index:251660288;v-text-anchor:middle;mso-width-relative:page;mso-height-relative:page;" fillcolor="#FF0000" filled="t" stroked="t" coordsize="21600,21600" o:gfxdata="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4MNZXbAAAACwEAAA8AAAAAAAAAAQAgAAAAIgAAAGRycy9kb3ducmV2LnhtbFBL&#10;AQIUABQAAAAIAIdO4kBWGy4mZQIAAOEEAAAOAAAAAAAAAAEAIAAAACoBAABkcnMvZTJvRG9jLnht&#10;bFBLBQYAAAAABgAGAFkBAAABBgAAAAA=&#10;">
                <v:fill on="t" focussize="0,0"/>
                <v:stroke color="#000000 [3213]" joinstyle="round"/>
                <v:imagedata o:title=""/>
                <o:lock v:ext="edit" aspectratio="f"/>
              </v:rect>
            </w:pict>
          </mc:Fallback>
        </mc:AlternateContent>
      </w:r>
      <w:r>
        <w:rPr>
          <w:rFonts w:hint="eastAsia"/>
          <w:color w:val="auto"/>
          <w:highlight w:val="none"/>
        </w:rPr>
        <w:drawing>
          <wp:inline distT="0" distB="0" distL="114300" distR="114300">
            <wp:extent cx="7747635" cy="4810760"/>
            <wp:effectExtent l="0" t="0" r="5715" b="8890"/>
            <wp:docPr id="191" name="图片 191" descr="3ac79f3df8dcd1005bbe834d5aba2b17b9122f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3ac79f3df8dcd1005bbe834d5aba2b17b9122f70"/>
                    <pic:cNvPicPr>
                      <a:picLocks noChangeAspect="1"/>
                    </pic:cNvPicPr>
                  </pic:nvPicPr>
                  <pic:blipFill>
                    <a:blip r:embed="rId95"/>
                    <a:stretch>
                      <a:fillRect/>
                    </a:stretch>
                  </pic:blipFill>
                  <pic:spPr>
                    <a:xfrm>
                      <a:off x="0" y="0"/>
                      <a:ext cx="7747635" cy="4810760"/>
                    </a:xfrm>
                    <a:prstGeom prst="rect">
                      <a:avLst/>
                    </a:prstGeom>
                  </pic:spPr>
                </pic:pic>
              </a:graphicData>
            </a:graphic>
          </wp:inline>
        </w:drawing>
      </w:r>
    </w:p>
    <w:p w14:paraId="724A5812">
      <w:pPr>
        <w:pStyle w:val="2"/>
        <w:rPr>
          <w:color w:val="auto"/>
          <w:highlight w:val="none"/>
        </w:rPr>
      </w:pPr>
    </w:p>
    <w:p w14:paraId="00302B72">
      <w:pPr>
        <w:pStyle w:val="2"/>
        <w:rPr>
          <w:color w:val="auto"/>
          <w:highlight w:val="none"/>
        </w:rPr>
      </w:pPr>
    </w:p>
    <w:p w14:paraId="2A0911DA">
      <w:pPr>
        <w:rPr>
          <w:color w:val="auto"/>
          <w:highlight w:val="none"/>
        </w:rPr>
      </w:pPr>
    </w:p>
    <w:p w14:paraId="3A6BC53B">
      <w:pPr>
        <w:pStyle w:val="2"/>
        <w:rPr>
          <w:color w:val="auto"/>
          <w:highlight w:val="none"/>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6A6A21E1">
      <w:pPr>
        <w:pStyle w:val="3"/>
        <w:keepLines/>
        <w:overflowPunct/>
        <w:snapToGrid/>
        <w:spacing w:before="0" w:after="0" w:line="360" w:lineRule="exact"/>
        <w:rPr>
          <w:rFonts w:eastAsia="宋体"/>
          <w:color w:val="auto"/>
          <w:sz w:val="28"/>
          <w:szCs w:val="28"/>
          <w:highlight w:val="none"/>
        </w:rPr>
      </w:pPr>
      <w:r>
        <w:rPr>
          <w:rFonts w:eastAsia="宋体"/>
          <w:color w:val="auto"/>
          <w:sz w:val="28"/>
          <w:szCs w:val="28"/>
          <w:highlight w:val="none"/>
        </w:rPr>
        <w:t>附图</w:t>
      </w:r>
      <w:r>
        <w:rPr>
          <w:rFonts w:hint="eastAsia" w:eastAsia="宋体"/>
          <w:color w:val="auto"/>
          <w:sz w:val="28"/>
          <w:szCs w:val="28"/>
          <w:highlight w:val="none"/>
        </w:rPr>
        <w:t>2厂区</w:t>
      </w:r>
      <w:r>
        <w:rPr>
          <w:rFonts w:eastAsia="宋体"/>
          <w:color w:val="auto"/>
          <w:sz w:val="28"/>
          <w:szCs w:val="28"/>
          <w:highlight w:val="none"/>
        </w:rPr>
        <w:t>平面布置图</w:t>
      </w:r>
    </w:p>
    <w:p w14:paraId="0CBF5926">
      <w:pPr>
        <w:rPr>
          <w:rFonts w:hint="eastAsia" w:eastAsia="宋体"/>
          <w:color w:val="auto"/>
          <w:highlight w:val="none"/>
          <w:lang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color w:val="auto"/>
          <w:sz w:val="21"/>
          <w:highlight w:val="none"/>
        </w:rPr>
        <mc:AlternateContent>
          <mc:Choice Requires="wps">
            <w:drawing>
              <wp:anchor distT="0" distB="0" distL="114300" distR="114300" simplePos="0" relativeHeight="251707392" behindDoc="0" locked="0" layoutInCell="1" allowOverlap="1">
                <wp:simplePos x="0" y="0"/>
                <wp:positionH relativeFrom="column">
                  <wp:posOffset>4265295</wp:posOffset>
                </wp:positionH>
                <wp:positionV relativeFrom="paragraph">
                  <wp:posOffset>4297045</wp:posOffset>
                </wp:positionV>
                <wp:extent cx="107315" cy="122555"/>
                <wp:effectExtent l="21590" t="19050" r="23495" b="29845"/>
                <wp:wrapNone/>
                <wp:docPr id="133" name="矩形 133"/>
                <wp:cNvGraphicFramePr/>
                <a:graphic xmlns:a="http://schemas.openxmlformats.org/drawingml/2006/main">
                  <a:graphicData uri="http://schemas.microsoft.com/office/word/2010/wordprocessingShape">
                    <wps:wsp>
                      <wps:cNvSpPr/>
                      <wps:spPr>
                        <a:xfrm rot="20460000">
                          <a:off x="0" y="0"/>
                          <a:ext cx="107315" cy="122555"/>
                        </a:xfrm>
                        <a:prstGeom prst="rect">
                          <a:avLst/>
                        </a:prstGeom>
                        <a:solidFill>
                          <a:schemeClr val="tx1"/>
                        </a:solid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5.85pt;margin-top:338.35pt;height:9.65pt;width:8.45pt;rotation:-1245184f;z-index:251707392;v-text-anchor:middle;mso-width-relative:page;mso-height-relative:page;" fillcolor="#000000 [3213]" filled="t" stroked="t" coordsize="21600,21600" o:gfxdata="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HZt03DaAAAACwEAAA8AAAAAAAAAAQAgAAAAIgAAAGRycy9kb3du&#10;cmV2LnhtbFBLAQIUABQAAAAIAIdO4kB3H+ktbwIAAO4EAAAOAAAAAAAAAAEAIAAAACkBAABkcnMv&#10;ZTJvRG9jLnhtbFBLBQYAAAAABgAGAFkBAAAKBgAAAAA=&#10;">
                <v:fill on="t" focussize="0,0"/>
                <v:stroke color="#00B050 [2404]" joinstyle="round"/>
                <v:imagedata o:title=""/>
                <o:lock v:ext="edit" aspectratio="f"/>
              </v:rect>
            </w:pict>
          </mc:Fallback>
        </mc:AlternateContent>
      </w:r>
      <w:r>
        <w:rPr>
          <w:color w:val="auto"/>
          <w:highlight w:val="none"/>
        </w:rPr>
        <mc:AlternateContent>
          <mc:Choice Requires="wps">
            <w:drawing>
              <wp:anchor distT="0" distB="0" distL="114300" distR="114300" simplePos="0" relativeHeight="251738112" behindDoc="0" locked="0" layoutInCell="1" allowOverlap="1">
                <wp:simplePos x="0" y="0"/>
                <wp:positionH relativeFrom="column">
                  <wp:posOffset>6678930</wp:posOffset>
                </wp:positionH>
                <wp:positionV relativeFrom="paragraph">
                  <wp:posOffset>4323715</wp:posOffset>
                </wp:positionV>
                <wp:extent cx="323850" cy="0"/>
                <wp:effectExtent l="0" t="19050" r="0" b="19050"/>
                <wp:wrapNone/>
                <wp:docPr id="206" name="直接连接符 206"/>
                <wp:cNvGraphicFramePr/>
                <a:graphic xmlns:a="http://schemas.openxmlformats.org/drawingml/2006/main">
                  <a:graphicData uri="http://schemas.microsoft.com/office/word/2010/wordprocessingShape">
                    <wps:wsp>
                      <wps:cNvCnPr/>
                      <wps:spPr>
                        <a:xfrm>
                          <a:off x="0" y="0"/>
                          <a:ext cx="323850" cy="0"/>
                        </a:xfrm>
                        <a:prstGeom prst="line">
                          <a:avLst/>
                        </a:prstGeom>
                        <a:ln w="38100">
                          <a:solidFill>
                            <a:srgbClr val="00B05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25.9pt;margin-top:340.45pt;height:0pt;width:25.5pt;z-index:251738112;mso-width-relative:page;mso-height-relative:page;" filled="f" stroked="t" coordsize="21600,21600" o:gfxdata="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qiMmtkAAAANAQAADwAAAAAA&#10;AAABACAAAAAiAAAAZHJzL2Rvd25yZXYueG1sUEsBAhQAFAAAAAgAh07iQDnlVkLZAQAAngMAAA4A&#10;AAAAAAAAAQAgAAAAKAEAAGRycy9lMm9Eb2MueG1sUEsFBgAAAAAGAAYAWQEAAHMFAAAAAA==&#10;">
                <v:fill on="f" focussize="0,0"/>
                <v:stroke weight="3pt" color="#00B050 [3204]" joinstyle="round"/>
                <v:imagedata o:title=""/>
                <o:lock v:ext="edit" aspectratio="f"/>
              </v:line>
            </w:pict>
          </mc:Fallback>
        </mc:AlternateContent>
      </w:r>
      <w:r>
        <w:rPr>
          <w:color w:val="auto"/>
          <w:sz w:val="21"/>
          <w:highlight w:val="none"/>
        </w:rPr>
        <mc:AlternateContent>
          <mc:Choice Requires="wpg">
            <w:drawing>
              <wp:anchor distT="0" distB="0" distL="114300" distR="114300" simplePos="0" relativeHeight="251712512" behindDoc="0" locked="0" layoutInCell="1" allowOverlap="1">
                <wp:simplePos x="0" y="0"/>
                <wp:positionH relativeFrom="column">
                  <wp:posOffset>5297805</wp:posOffset>
                </wp:positionH>
                <wp:positionV relativeFrom="paragraph">
                  <wp:posOffset>4014470</wp:posOffset>
                </wp:positionV>
                <wp:extent cx="2323465" cy="1438910"/>
                <wp:effectExtent l="4445" t="5080" r="15240" b="22860"/>
                <wp:wrapNone/>
                <wp:docPr id="175" name="组合 175"/>
                <wp:cNvGraphicFramePr/>
                <a:graphic xmlns:a="http://schemas.openxmlformats.org/drawingml/2006/main">
                  <a:graphicData uri="http://schemas.microsoft.com/office/word/2010/wordprocessingGroup">
                    <wpg:wgp>
                      <wpg:cNvGrpSpPr/>
                      <wpg:grpSpPr>
                        <a:xfrm>
                          <a:off x="0" y="0"/>
                          <a:ext cx="2323465" cy="1438910"/>
                          <a:chOff x="10441" y="1955007"/>
                          <a:chExt cx="3659" cy="2266"/>
                        </a:xfrm>
                      </wpg:grpSpPr>
                      <wps:wsp>
                        <wps:cNvPr id="138" name="文本框 138"/>
                        <wps:cNvSpPr txBox="1"/>
                        <wps:spPr>
                          <a:xfrm>
                            <a:off x="10441" y="1955007"/>
                            <a:ext cx="3659" cy="2266"/>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F44FA2">
                              <w:pPr>
                                <w:jc w:val="center"/>
                                <w:rPr>
                                  <w:rFonts w:hint="eastAsia"/>
                                  <w:lang w:val="en-US" w:eastAsia="zh-CN"/>
                                </w:rPr>
                              </w:pPr>
                              <w:r>
                                <w:rPr>
                                  <w:rFonts w:hint="eastAsia"/>
                                  <w:lang w:val="en-US" w:eastAsia="zh-CN"/>
                                </w:rPr>
                                <w:t>图例</w:t>
                              </w:r>
                            </w:p>
                            <w:p w14:paraId="6227FCA1">
                              <w:pPr>
                                <w:jc w:val="right"/>
                                <w:rPr>
                                  <w:rFonts w:hint="eastAsia"/>
                                  <w:lang w:val="en-US" w:eastAsia="zh-CN"/>
                                </w:rPr>
                              </w:pPr>
                              <w:r>
                                <w:rPr>
                                  <w:rFonts w:hint="eastAsia"/>
                                  <w:lang w:val="en-US" w:eastAsia="zh-CN"/>
                                </w:rPr>
                                <w:t xml:space="preserve">   厂界</w:t>
                              </w:r>
                            </w:p>
                            <w:p w14:paraId="7909885B">
                              <w:pPr>
                                <w:jc w:val="right"/>
                                <w:rPr>
                                  <w:rFonts w:hint="eastAsia"/>
                                  <w:lang w:val="en-US" w:eastAsia="zh-CN"/>
                                </w:rPr>
                              </w:pPr>
                              <w:r>
                                <w:rPr>
                                  <w:rFonts w:hint="eastAsia"/>
                                  <w:lang w:val="en-US" w:eastAsia="zh-CN"/>
                                </w:rPr>
                                <w:t>原项目</w:t>
                              </w:r>
                            </w:p>
                            <w:p w14:paraId="39F4DA0C">
                              <w:pPr>
                                <w:jc w:val="right"/>
                                <w:rPr>
                                  <w:rFonts w:hint="eastAsia"/>
                                  <w:lang w:val="en-US" w:eastAsia="zh-CN"/>
                                </w:rPr>
                              </w:pPr>
                              <w:r>
                                <w:rPr>
                                  <w:rFonts w:hint="eastAsia"/>
                                  <w:lang w:val="en-US" w:eastAsia="zh-CN"/>
                                </w:rPr>
                                <w:t>本项目</w:t>
                              </w:r>
                            </w:p>
                            <w:p w14:paraId="52B8F82C">
                              <w:pPr>
                                <w:jc w:val="right"/>
                                <w:rPr>
                                  <w:rFonts w:hint="eastAsia"/>
                                  <w:lang w:val="en-US" w:eastAsia="zh-CN"/>
                                </w:rPr>
                              </w:pPr>
                              <w:r>
                                <w:rPr>
                                  <w:rFonts w:hint="eastAsia"/>
                                  <w:lang w:val="en-US" w:eastAsia="zh-CN"/>
                                </w:rPr>
                                <w:t>雨水总排排口</w:t>
                              </w:r>
                            </w:p>
                            <w:p w14:paraId="75B65481">
                              <w:pPr>
                                <w:jc w:val="right"/>
                                <w:rPr>
                                  <w:rFonts w:hint="eastAsia"/>
                                  <w:lang w:val="en-US" w:eastAsia="zh-CN"/>
                                </w:rPr>
                              </w:pPr>
                              <w:r>
                                <w:rPr>
                                  <w:rFonts w:hint="eastAsia"/>
                                  <w:lang w:val="en-US" w:eastAsia="zh-CN"/>
                                </w:rPr>
                                <w:t>污水总排口</w:t>
                              </w:r>
                            </w:p>
                            <w:p w14:paraId="4F2C8AD6">
                              <w:pPr>
                                <w:jc w:val="right"/>
                                <w:rPr>
                                  <w:rFonts w:hint="eastAsia"/>
                                  <w:lang w:val="en-US" w:eastAsia="zh-CN"/>
                                </w:rPr>
                              </w:pPr>
                              <w:r>
                                <w:rPr>
                                  <w:rFonts w:hint="eastAsia"/>
                                  <w:lang w:val="en-US" w:eastAsia="zh-CN"/>
                                </w:rPr>
                                <w:t>危废暂存点</w:t>
                              </w:r>
                            </w:p>
                            <w:p w14:paraId="6643DB4F">
                              <w:pPr>
                                <w:jc w:val="center"/>
                                <w:rPr>
                                  <w:rFonts w:hint="default"/>
                                  <w:lang w:val="en-US" w:eastAsia="zh-CN"/>
                                </w:rPr>
                              </w:pPr>
                              <w:r>
                                <w:rPr>
                                  <w:rFonts w:hint="eastAsia"/>
                                  <w:lang w:val="en-US" w:eastAsia="zh-CN"/>
                                </w:rPr>
                                <w:t>比例尺1：2000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46" name="组合 146"/>
                        <wpg:cNvGrpSpPr/>
                        <wpg:grpSpPr>
                          <a:xfrm>
                            <a:off x="12286" y="1955809"/>
                            <a:ext cx="855" cy="1186"/>
                            <a:chOff x="12286" y="1955809"/>
                            <a:chExt cx="855" cy="1186"/>
                          </a:xfrm>
                        </wpg:grpSpPr>
                        <wps:wsp>
                          <wps:cNvPr id="139" name="直接连接符 139"/>
                          <wps:cNvCnPr/>
                          <wps:spPr>
                            <a:xfrm>
                              <a:off x="12601" y="1955809"/>
                              <a:ext cx="510" cy="0"/>
                            </a:xfrm>
                            <a:prstGeom prst="line">
                              <a:avLst/>
                            </a:prstGeom>
                            <a:ln>
                              <a:solidFill>
                                <a:srgbClr val="00B050"/>
                              </a:solidFill>
                            </a:ln>
                          </wps:spPr>
                          <wps:style>
                            <a:lnRef idx="2">
                              <a:schemeClr val="accent1"/>
                            </a:lnRef>
                            <a:fillRef idx="0">
                              <a:srgbClr val="FFFFFF"/>
                            </a:fillRef>
                            <a:effectRef idx="0">
                              <a:srgbClr val="FFFFFF"/>
                            </a:effectRef>
                            <a:fontRef idx="minor">
                              <a:schemeClr val="tx1"/>
                            </a:fontRef>
                          </wps:style>
                          <wps:bodyPr/>
                        </wps:wsp>
                        <wps:wsp>
                          <wps:cNvPr id="140" name="直接连接符 140"/>
                          <wps:cNvCnPr/>
                          <wps:spPr>
                            <a:xfrm flipV="1">
                              <a:off x="12571" y="1956013"/>
                              <a:ext cx="570" cy="6"/>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wps:wsp>
                          <wps:cNvPr id="141" name="椭圆 141"/>
                          <wps:cNvSpPr/>
                          <wps:spPr>
                            <a:xfrm>
                              <a:off x="12286" y="1956181"/>
                              <a:ext cx="165" cy="165"/>
                            </a:xfrm>
                            <a:prstGeom prst="ellipse">
                              <a:avLst/>
                            </a:prstGeom>
                            <a:solidFill>
                              <a:srgbClr val="7030A0"/>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2" name="椭圆 142"/>
                          <wps:cNvSpPr/>
                          <wps:spPr>
                            <a:xfrm>
                              <a:off x="12286" y="1956496"/>
                              <a:ext cx="165" cy="165"/>
                            </a:xfrm>
                            <a:prstGeom prst="ellipse">
                              <a:avLst/>
                            </a:prstGeom>
                            <a:solidFill>
                              <a:srgbClr val="FFFF00"/>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3" name="矩形 143"/>
                          <wps:cNvSpPr/>
                          <wps:spPr>
                            <a:xfrm rot="20460000">
                              <a:off x="12310" y="1956802"/>
                              <a:ext cx="169" cy="193"/>
                            </a:xfrm>
                            <a:prstGeom prst="rect">
                              <a:avLst/>
                            </a:prstGeom>
                            <a:solidFill>
                              <a:schemeClr val="tx1"/>
                            </a:solid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417.15pt;margin-top:316.1pt;height:113.3pt;width:182.95pt;z-index:251712512;mso-width-relative:page;mso-height-relative:page;" coordorigin="10441,1955007" coordsize="3659,2266" o:gfxdata="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">
                <o:lock v:ext="edit" aspectratio="f"/>
                <v:shape id="_x0000_s1026" o:spid="_x0000_s1026" o:spt="202" type="#_x0000_t202" style="position:absolute;left:10441;top:1955007;height:2266;width:3659;" fillcolor="#FFFFFF [3201]" filled="t" stroked="t" coordsize="21600,21600" o:gfxdata="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vtCNugAAANw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7EF44FA2">
                        <w:pPr>
                          <w:jc w:val="center"/>
                          <w:rPr>
                            <w:rFonts w:hint="eastAsia"/>
                            <w:lang w:val="en-US" w:eastAsia="zh-CN"/>
                          </w:rPr>
                        </w:pPr>
                        <w:r>
                          <w:rPr>
                            <w:rFonts w:hint="eastAsia"/>
                            <w:lang w:val="en-US" w:eastAsia="zh-CN"/>
                          </w:rPr>
                          <w:t>图例</w:t>
                        </w:r>
                      </w:p>
                      <w:p w14:paraId="6227FCA1">
                        <w:pPr>
                          <w:jc w:val="right"/>
                          <w:rPr>
                            <w:rFonts w:hint="eastAsia"/>
                            <w:lang w:val="en-US" w:eastAsia="zh-CN"/>
                          </w:rPr>
                        </w:pPr>
                        <w:r>
                          <w:rPr>
                            <w:rFonts w:hint="eastAsia"/>
                            <w:lang w:val="en-US" w:eastAsia="zh-CN"/>
                          </w:rPr>
                          <w:t xml:space="preserve">   厂界</w:t>
                        </w:r>
                      </w:p>
                      <w:p w14:paraId="7909885B">
                        <w:pPr>
                          <w:jc w:val="right"/>
                          <w:rPr>
                            <w:rFonts w:hint="eastAsia"/>
                            <w:lang w:val="en-US" w:eastAsia="zh-CN"/>
                          </w:rPr>
                        </w:pPr>
                        <w:r>
                          <w:rPr>
                            <w:rFonts w:hint="eastAsia"/>
                            <w:lang w:val="en-US" w:eastAsia="zh-CN"/>
                          </w:rPr>
                          <w:t>原项目</w:t>
                        </w:r>
                      </w:p>
                      <w:p w14:paraId="39F4DA0C">
                        <w:pPr>
                          <w:jc w:val="right"/>
                          <w:rPr>
                            <w:rFonts w:hint="eastAsia"/>
                            <w:lang w:val="en-US" w:eastAsia="zh-CN"/>
                          </w:rPr>
                        </w:pPr>
                        <w:r>
                          <w:rPr>
                            <w:rFonts w:hint="eastAsia"/>
                            <w:lang w:val="en-US" w:eastAsia="zh-CN"/>
                          </w:rPr>
                          <w:t>本项目</w:t>
                        </w:r>
                      </w:p>
                      <w:p w14:paraId="52B8F82C">
                        <w:pPr>
                          <w:jc w:val="right"/>
                          <w:rPr>
                            <w:rFonts w:hint="eastAsia"/>
                            <w:lang w:val="en-US" w:eastAsia="zh-CN"/>
                          </w:rPr>
                        </w:pPr>
                        <w:r>
                          <w:rPr>
                            <w:rFonts w:hint="eastAsia"/>
                            <w:lang w:val="en-US" w:eastAsia="zh-CN"/>
                          </w:rPr>
                          <w:t>雨水总排排口</w:t>
                        </w:r>
                      </w:p>
                      <w:p w14:paraId="75B65481">
                        <w:pPr>
                          <w:jc w:val="right"/>
                          <w:rPr>
                            <w:rFonts w:hint="eastAsia"/>
                            <w:lang w:val="en-US" w:eastAsia="zh-CN"/>
                          </w:rPr>
                        </w:pPr>
                        <w:r>
                          <w:rPr>
                            <w:rFonts w:hint="eastAsia"/>
                            <w:lang w:val="en-US" w:eastAsia="zh-CN"/>
                          </w:rPr>
                          <w:t>污水总排口</w:t>
                        </w:r>
                      </w:p>
                      <w:p w14:paraId="4F2C8AD6">
                        <w:pPr>
                          <w:jc w:val="right"/>
                          <w:rPr>
                            <w:rFonts w:hint="eastAsia"/>
                            <w:lang w:val="en-US" w:eastAsia="zh-CN"/>
                          </w:rPr>
                        </w:pPr>
                        <w:r>
                          <w:rPr>
                            <w:rFonts w:hint="eastAsia"/>
                            <w:lang w:val="en-US" w:eastAsia="zh-CN"/>
                          </w:rPr>
                          <w:t>危废暂存点</w:t>
                        </w:r>
                      </w:p>
                      <w:p w14:paraId="6643DB4F">
                        <w:pPr>
                          <w:jc w:val="center"/>
                          <w:rPr>
                            <w:rFonts w:hint="default"/>
                            <w:lang w:val="en-US" w:eastAsia="zh-CN"/>
                          </w:rPr>
                        </w:pPr>
                        <w:r>
                          <w:rPr>
                            <w:rFonts w:hint="eastAsia"/>
                            <w:lang w:val="en-US" w:eastAsia="zh-CN"/>
                          </w:rPr>
                          <w:t>比例尺1：2000</w:t>
                        </w:r>
                      </w:p>
                    </w:txbxContent>
                  </v:textbox>
                </v:shape>
                <v:group id="_x0000_s1026" o:spid="_x0000_s1026" o:spt="203" style="position:absolute;left:12286;top:1955809;height:1186;width:855;" coordorigin="12286,1955809" coordsize="855,1186" o:gfxdata="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UZ/r0AAADcAAAADwAAAAAAAAABACAAAAAiAAAAZHJzL2Rvd25yZXYueG1s&#10;UEsBAhQAFAAAAAgAh07iQDMvBZ47AAAAOQAAABUAAAAAAAAAAQAgAAAADAEAAGRycy9ncm91cHNo&#10;YXBleG1sLnhtbFBLBQYAAAAABgAGAGABAADJAwAAAAA=&#10;">
                  <o:lock v:ext="edit" aspectratio="f"/>
                  <v:line id="_x0000_s1026" o:spid="_x0000_s1026" o:spt="20" style="position:absolute;left:12601;top:1955809;height:0;width:510;" filled="f" stroked="t" coordsize="21600,21600" o:gfxdata="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9uZBrsAAADc&#10;AAAADwAAAAAAAAABACAAAAAiAAAAZHJzL2Rvd25yZXYueG1sUEsBAhQAFAAAAAgAh07iQDMvBZ47&#10;AAAAOQAAABAAAAAAAAAAAQAgAAAACgEAAGRycy9zaGFwZXhtbC54bWxQSwUGAAAAAAYABgBbAQAA&#10;tAMAAAAA&#10;">
                    <v:fill on="f" focussize="0,0"/>
                    <v:stroke weight="2pt" color="#00B050 [3204]" joinstyle="round"/>
                    <v:imagedata o:title=""/>
                    <o:lock v:ext="edit" aspectratio="f"/>
                  </v:line>
                  <v:line id="_x0000_s1026" o:spid="_x0000_s1026" o:spt="20" style="position:absolute;left:12571;top:1956013;flip:y;height:6;width:570;" filled="f" stroked="t" coordsize="21600,21600" o:gfxdata="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YEkYvQAA&#10;ANwAAAAPAAAAAAAAAAEAIAAAACIAAABkcnMvZG93bnJldi54bWxQSwECFAAUAAAACACHTuJAMy8F&#10;njsAAAA5AAAAEAAAAAAAAAABACAAAAAMAQAAZHJzL3NoYXBleG1sLnhtbFBLBQYAAAAABgAGAFsB&#10;AAC2AwAAAAA=&#10;">
                    <v:fill on="f" focussize="0,0"/>
                    <v:stroke weight="2pt" color="#FF0000 [3204]" joinstyle="round"/>
                    <v:imagedata o:title=""/>
                    <o:lock v:ext="edit" aspectratio="f"/>
                  </v:line>
                  <v:shape id="_x0000_s1026" o:spid="_x0000_s1026" o:spt="3" type="#_x0000_t3" style="position:absolute;left:12286;top:1956181;height:165;width:165;v-text-anchor:middle;" fillcolor="#7030A0" filled="t" stroked="t" coordsize="21600,21600" o:gfxdata="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bTCEvQAA&#10;ANwAAAAPAAAAAAAAAAEAIAAAACIAAABkcnMvZG93bnJldi54bWxQSwECFAAUAAAACACHTuJAMy8F&#10;njsAAAA5AAAAEAAAAAAAAAABACAAAAAMAQAAZHJzL3NoYXBleG1sLnhtbFBLBQYAAAAABgAGAFsB&#10;AAC2AwAAAAA=&#10;">
                    <v:fill on="t" focussize="0,0"/>
                    <v:stroke color="#000000 [3213]" joinstyle="round"/>
                    <v:imagedata o:title=""/>
                    <o:lock v:ext="edit" aspectratio="f"/>
                  </v:shape>
                  <v:shape id="_x0000_s1026" o:spid="_x0000_s1026" o:spt="3" type="#_x0000_t3" style="position:absolute;left:12286;top:1956496;height:165;width:165;v-text-anchor:middle;" fillcolor="#FFFF00" filled="t" stroked="t" coordsize="21600,21600" o:gfxdata="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yGYfugAAANwA&#10;AAAPAAAAAAAAAAEAIAAAACIAAABkcnMvZG93bnJldi54bWxQSwECFAAUAAAACACHTuJAMy8FnjsA&#10;AAA5AAAAEAAAAAAAAAABACAAAAAJAQAAZHJzL3NoYXBleG1sLnhtbFBLBQYAAAAABgAGAFsBAACz&#10;AwAAAAA=&#10;">
                    <v:fill on="t" focussize="0,0"/>
                    <v:stroke color="#000000 [3213]" joinstyle="round"/>
                    <v:imagedata o:title=""/>
                    <o:lock v:ext="edit" aspectratio="f"/>
                  </v:shape>
                  <v:rect id="_x0000_s1026" o:spid="_x0000_s1026" o:spt="1" style="position:absolute;left:12310;top:1956802;height:193;width:169;rotation:-1245184f;v-text-anchor:middle;" fillcolor="#000000 [3213]" filled="t" stroked="t" coordsize="21600,21600" o:gfxdata="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9PU32/&#10;AAAA3AAAAA8AAAAAAAAAAQAgAAAAIgAAAGRycy9kb3ducmV2LnhtbFBLAQIUABQAAAAIAIdO4kAz&#10;LwWeOwAAADkAAAAQAAAAAAAAAAEAIAAAAA4BAABkcnMvc2hhcGV4bWwueG1sUEsFBgAAAAAGAAYA&#10;WwEAALgDAAAAAA==&#10;">
                    <v:fill on="t" focussize="0,0"/>
                    <v:stroke color="#00B050 [2404]" joinstyle="round"/>
                    <v:imagedata o:title=""/>
                    <o:lock v:ext="edit" aspectratio="f"/>
                  </v:rect>
                </v:group>
              </v:group>
            </w:pict>
          </mc:Fallback>
        </mc:AlternateContent>
      </w:r>
      <w:r>
        <w:rPr>
          <w:color w:val="auto"/>
          <w:sz w:val="21"/>
          <w:highlight w:val="none"/>
        </w:rPr>
        <mc:AlternateContent>
          <mc:Choice Requires="wps">
            <w:drawing>
              <wp:anchor distT="0" distB="0" distL="114300" distR="114300" simplePos="0" relativeHeight="251708416" behindDoc="0" locked="0" layoutInCell="1" allowOverlap="1">
                <wp:simplePos x="0" y="0"/>
                <wp:positionH relativeFrom="column">
                  <wp:posOffset>802005</wp:posOffset>
                </wp:positionH>
                <wp:positionV relativeFrom="paragraph">
                  <wp:posOffset>2169160</wp:posOffset>
                </wp:positionV>
                <wp:extent cx="104775" cy="104775"/>
                <wp:effectExtent l="4445" t="4445" r="5080" b="5080"/>
                <wp:wrapNone/>
                <wp:docPr id="137" name="椭圆 137"/>
                <wp:cNvGraphicFramePr/>
                <a:graphic xmlns:a="http://schemas.openxmlformats.org/drawingml/2006/main">
                  <a:graphicData uri="http://schemas.microsoft.com/office/word/2010/wordprocessingShape">
                    <wps:wsp>
                      <wps:cNvSpPr/>
                      <wps:spPr>
                        <a:xfrm>
                          <a:off x="0" y="0"/>
                          <a:ext cx="104775" cy="104775"/>
                        </a:xfrm>
                        <a:prstGeom prst="ellipse">
                          <a:avLst/>
                        </a:prstGeom>
                        <a:solidFill>
                          <a:srgbClr val="7030A0"/>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15pt;margin-top:170.8pt;height:8.25pt;width:8.25pt;z-index:251708416;v-text-anchor:middle;mso-width-relative:page;mso-height-relative:page;" fillcolor="#7030A0" filled="t" stroked="t" coordsize="21600,21600" o:gfxdata="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5T7wENkAAAALAQAADwAAAAAAAAABACAAAAAiAAAAZHJzL2Rvd25yZXYueG1sUEsB&#10;AhQAFAAAAAgAh07iQAfH3iVmAgAA4gQAAA4AAAAAAAAAAQAgAAAAKAEAAGRycy9lMm9Eb2MueG1s&#10;UEsFBgAAAAAGAAYAWQEAAAAGAAAAAA==&#10;">
                <v:fill on="t" focussize="0,0"/>
                <v:stroke color="#000000 [3213]" joinstyle="round"/>
                <v:imagedata o:title=""/>
                <o:lock v:ext="edit" aspectratio="f"/>
              </v:shape>
            </w:pict>
          </mc:Fallback>
        </mc:AlternateContent>
      </w:r>
      <w:r>
        <w:rPr>
          <w:color w:val="auto"/>
          <w:sz w:val="21"/>
          <w:highlight w:val="none"/>
        </w:rPr>
        <mc:AlternateContent>
          <mc:Choice Requires="wps">
            <w:drawing>
              <wp:anchor distT="0" distB="0" distL="114300" distR="114300" simplePos="0" relativeHeight="251707392" behindDoc="0" locked="0" layoutInCell="1" allowOverlap="1">
                <wp:simplePos x="0" y="0"/>
                <wp:positionH relativeFrom="column">
                  <wp:posOffset>916305</wp:posOffset>
                </wp:positionH>
                <wp:positionV relativeFrom="paragraph">
                  <wp:posOffset>2102485</wp:posOffset>
                </wp:positionV>
                <wp:extent cx="104775" cy="104775"/>
                <wp:effectExtent l="4445" t="4445" r="5080" b="5080"/>
                <wp:wrapNone/>
                <wp:docPr id="136" name="椭圆 136"/>
                <wp:cNvGraphicFramePr/>
                <a:graphic xmlns:a="http://schemas.openxmlformats.org/drawingml/2006/main">
                  <a:graphicData uri="http://schemas.microsoft.com/office/word/2010/wordprocessingShape">
                    <wps:wsp>
                      <wps:cNvSpPr/>
                      <wps:spPr>
                        <a:xfrm>
                          <a:off x="0" y="0"/>
                          <a:ext cx="104775" cy="104775"/>
                        </a:xfrm>
                        <a:prstGeom prst="ellipse">
                          <a:avLst/>
                        </a:prstGeom>
                        <a:solidFill>
                          <a:srgbClr val="FFFF00"/>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2.15pt;margin-top:165.55pt;height:8.25pt;width:8.25pt;z-index:251707392;v-text-anchor:middle;mso-width-relative:page;mso-height-relative:page;" fillcolor="#FFFF00" filled="t" stroked="t" coordsize="21600,21600" o:gfxdata="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g/G8U1wAAAAsBAAAPAAAAAAAAAAEAIAAAACIAAABkcnMvZG93bnJldi54bWxQSwECFAAU&#10;AAAACACHTuJA4VhtLmQCAADiBAAADgAAAAAAAAABACAAAAAmAQAAZHJzL2Uyb0RvYy54bWxQSwUG&#10;AAAAAAYABgBZAQAA/AUAAAAA&#10;">
                <v:fill on="t" focussize="0,0"/>
                <v:stroke color="#000000 [3213]" joinstyle="round"/>
                <v:imagedata o:title=""/>
                <o:lock v:ext="edit" aspectratio="f"/>
              </v:shape>
            </w:pict>
          </mc:Fallback>
        </mc:AlternateContent>
      </w:r>
      <w:r>
        <w:rPr>
          <w:color w:val="auto"/>
          <w:sz w:val="21"/>
          <w:highlight w:val="none"/>
        </w:rPr>
        <mc:AlternateContent>
          <mc:Choice Requires="wps">
            <w:drawing>
              <wp:anchor distT="0" distB="0" distL="114300" distR="114300" simplePos="0" relativeHeight="251706368" behindDoc="0" locked="0" layoutInCell="1" allowOverlap="1">
                <wp:simplePos x="0" y="0"/>
                <wp:positionH relativeFrom="column">
                  <wp:posOffset>3520440</wp:posOffset>
                </wp:positionH>
                <wp:positionV relativeFrom="paragraph">
                  <wp:posOffset>4606925</wp:posOffset>
                </wp:positionV>
                <wp:extent cx="880110" cy="448945"/>
                <wp:effectExtent l="0" t="0" r="0" b="0"/>
                <wp:wrapNone/>
                <wp:docPr id="130" name="文本框 130"/>
                <wp:cNvGraphicFramePr/>
                <a:graphic xmlns:a="http://schemas.openxmlformats.org/drawingml/2006/main">
                  <a:graphicData uri="http://schemas.microsoft.com/office/word/2010/wordprocessingShape">
                    <wps:wsp>
                      <wps:cNvSpPr txBox="1"/>
                      <wps:spPr>
                        <a:xfrm rot="20580000">
                          <a:off x="0" y="0"/>
                          <a:ext cx="880110" cy="448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179D9">
                            <w:pPr>
                              <w:rPr>
                                <w:rFonts w:hint="eastAsia"/>
                                <w:lang w:val="en-US" w:eastAsia="zh-CN"/>
                              </w:rPr>
                            </w:pPr>
                            <w:r>
                              <w:rPr>
                                <w:rFonts w:hint="eastAsia"/>
                                <w:lang w:val="en-US" w:eastAsia="zh-CN"/>
                              </w:rPr>
                              <w:t>罐组区</w:t>
                            </w:r>
                          </w:p>
                          <w:p w14:paraId="24BB009F">
                            <w:pPr>
                              <w:rPr>
                                <w:rFonts w:hint="default" w:eastAsia="宋体"/>
                                <w:lang w:val="en-US" w:eastAsia="zh-CN"/>
                              </w:rPr>
                            </w:pPr>
                            <w:r>
                              <w:rPr>
                                <w:rFonts w:hint="eastAsia"/>
                                <w:lang w:val="en-US" w:eastAsia="zh-CN"/>
                              </w:rPr>
                              <w:t>11×23m</w:t>
                            </w:r>
                            <w:r>
                              <w:rPr>
                                <w:rFonts w:hint="eastAsia"/>
                                <w:vertAlign w:val="superscript"/>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2pt;margin-top:362.75pt;height:35.35pt;width:69.3pt;rotation:-1114112f;z-index:251706368;mso-width-relative:page;mso-height-relative:page;" filled="f" stroked="f" coordsize="21600,21600" o:gfxdata="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6KNDbAAAACwEAAA8AAAAAAAAAAQAg&#10;AAAAIgAAAGRycy9kb3ducmV2LnhtbFBLAQIUABQAAAAIAIdO4kAAqtT2RAIAAHgEAAAOAAAAAAAA&#10;AAEAIAAAACoBAABkcnMvZTJvRG9jLnhtbFBLBQYAAAAABgAGAFkBAADgBQAAAAA=&#10;">
                <v:fill on="f" focussize="0,0"/>
                <v:stroke on="f" weight="0.5pt"/>
                <v:imagedata o:title=""/>
                <o:lock v:ext="edit" aspectratio="f"/>
                <v:textbox>
                  <w:txbxContent>
                    <w:p w14:paraId="5A4179D9">
                      <w:pPr>
                        <w:rPr>
                          <w:rFonts w:hint="eastAsia"/>
                          <w:lang w:val="en-US" w:eastAsia="zh-CN"/>
                        </w:rPr>
                      </w:pPr>
                      <w:r>
                        <w:rPr>
                          <w:rFonts w:hint="eastAsia"/>
                          <w:lang w:val="en-US" w:eastAsia="zh-CN"/>
                        </w:rPr>
                        <w:t>罐组区</w:t>
                      </w:r>
                    </w:p>
                    <w:p w14:paraId="24BB009F">
                      <w:pPr>
                        <w:rPr>
                          <w:rFonts w:hint="default" w:eastAsia="宋体"/>
                          <w:lang w:val="en-US" w:eastAsia="zh-CN"/>
                        </w:rPr>
                      </w:pPr>
                      <w:r>
                        <w:rPr>
                          <w:rFonts w:hint="eastAsia"/>
                          <w:lang w:val="en-US" w:eastAsia="zh-CN"/>
                        </w:rPr>
                        <w:t>11×23m</w:t>
                      </w:r>
                      <w:r>
                        <w:rPr>
                          <w:rFonts w:hint="eastAsia"/>
                          <w:vertAlign w:val="superscript"/>
                          <w:lang w:val="en-US" w:eastAsia="zh-CN"/>
                        </w:rPr>
                        <w:t>3</w:t>
                      </w:r>
                    </w:p>
                  </w:txbxContent>
                </v:textbox>
              </v:shape>
            </w:pict>
          </mc:Fallback>
        </mc:AlternateContent>
      </w:r>
      <w:r>
        <w:rPr>
          <w:color w:val="auto"/>
          <w:sz w:val="21"/>
          <w:highlight w:val="none"/>
        </w:rPr>
        <mc:AlternateContent>
          <mc:Choice Requires="wps">
            <w:drawing>
              <wp:anchor distT="0" distB="0" distL="114300" distR="114300" simplePos="0" relativeHeight="251704320" behindDoc="0" locked="0" layoutInCell="1" allowOverlap="1">
                <wp:simplePos x="0" y="0"/>
                <wp:positionH relativeFrom="column">
                  <wp:posOffset>2901315</wp:posOffset>
                </wp:positionH>
                <wp:positionV relativeFrom="paragraph">
                  <wp:posOffset>4445000</wp:posOffset>
                </wp:positionV>
                <wp:extent cx="880110" cy="448945"/>
                <wp:effectExtent l="0" t="0" r="0" b="0"/>
                <wp:wrapNone/>
                <wp:docPr id="129" name="文本框 129"/>
                <wp:cNvGraphicFramePr/>
                <a:graphic xmlns:a="http://schemas.openxmlformats.org/drawingml/2006/main">
                  <a:graphicData uri="http://schemas.microsoft.com/office/word/2010/wordprocessingShape">
                    <wps:wsp>
                      <wps:cNvSpPr txBox="1"/>
                      <wps:spPr>
                        <a:xfrm rot="20580000">
                          <a:off x="0" y="0"/>
                          <a:ext cx="880110" cy="448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E774F">
                            <w:pPr>
                              <w:rPr>
                                <w:rFonts w:hint="eastAsia"/>
                                <w:lang w:val="en-US" w:eastAsia="zh-CN"/>
                              </w:rPr>
                            </w:pPr>
                            <w:r>
                              <w:rPr>
                                <w:rFonts w:hint="eastAsia"/>
                                <w:lang w:val="en-US" w:eastAsia="zh-CN"/>
                              </w:rPr>
                              <w:t>罐组区</w:t>
                            </w:r>
                          </w:p>
                          <w:p w14:paraId="4BEF021B">
                            <w:pPr>
                              <w:rPr>
                                <w:rFonts w:hint="default" w:eastAsia="宋体"/>
                                <w:lang w:val="en-US" w:eastAsia="zh-CN"/>
                              </w:rPr>
                            </w:pPr>
                            <w:r>
                              <w:rPr>
                                <w:rFonts w:hint="eastAsia"/>
                                <w:lang w:val="en-US" w:eastAsia="zh-CN"/>
                              </w:rPr>
                              <w:t>11×23m</w:t>
                            </w:r>
                            <w:r>
                              <w:rPr>
                                <w:rFonts w:hint="eastAsia"/>
                                <w:vertAlign w:val="superscript"/>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8.45pt;margin-top:350pt;height:35.35pt;width:69.3pt;rotation:-1114112f;z-index:251704320;mso-width-relative:page;mso-height-relative:page;" filled="f" stroked="f" coordsize="21600,21600" o:gfxdata="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JQp219oAAAALAQAADwAAAAAAAAABACAA&#10;AAAiAAAAZHJzL2Rvd25yZXYueG1sUEsBAhQAFAAAAAgAh07iQB6fOxFEAgAAeAQAAA4AAAAAAAAA&#10;AQAgAAAAKQEAAGRycy9lMm9Eb2MueG1sUEsFBgAAAAAGAAYAWQEAAN8FAAAAAA==&#10;">
                <v:fill on="f" focussize="0,0"/>
                <v:stroke on="f" weight="0.5pt"/>
                <v:imagedata o:title=""/>
                <o:lock v:ext="edit" aspectratio="f"/>
                <v:textbox>
                  <w:txbxContent>
                    <w:p w14:paraId="62AE774F">
                      <w:pPr>
                        <w:rPr>
                          <w:rFonts w:hint="eastAsia"/>
                          <w:lang w:val="en-US" w:eastAsia="zh-CN"/>
                        </w:rPr>
                      </w:pPr>
                      <w:r>
                        <w:rPr>
                          <w:rFonts w:hint="eastAsia"/>
                          <w:lang w:val="en-US" w:eastAsia="zh-CN"/>
                        </w:rPr>
                        <w:t>罐组区</w:t>
                      </w:r>
                    </w:p>
                    <w:p w14:paraId="4BEF021B">
                      <w:pPr>
                        <w:rPr>
                          <w:rFonts w:hint="default" w:eastAsia="宋体"/>
                          <w:lang w:val="en-US" w:eastAsia="zh-CN"/>
                        </w:rPr>
                      </w:pPr>
                      <w:r>
                        <w:rPr>
                          <w:rFonts w:hint="eastAsia"/>
                          <w:lang w:val="en-US" w:eastAsia="zh-CN"/>
                        </w:rPr>
                        <w:t>11×23m</w:t>
                      </w:r>
                      <w:r>
                        <w:rPr>
                          <w:rFonts w:hint="eastAsia"/>
                          <w:vertAlign w:val="superscript"/>
                          <w:lang w:val="en-US" w:eastAsia="zh-CN"/>
                        </w:rPr>
                        <w:t>3</w:t>
                      </w:r>
                    </w:p>
                  </w:txbxContent>
                </v:textbox>
              </v:shape>
            </w:pict>
          </mc:Fallback>
        </mc:AlternateContent>
      </w:r>
      <w:r>
        <w:rPr>
          <w:color w:val="auto"/>
          <w:sz w:val="21"/>
          <w:highlight w:val="none"/>
        </w:rPr>
        <mc:AlternateContent>
          <mc:Choice Requires="wps">
            <w:drawing>
              <wp:anchor distT="0" distB="0" distL="114300" distR="114300" simplePos="0" relativeHeight="251703296" behindDoc="0" locked="0" layoutInCell="1" allowOverlap="1">
                <wp:simplePos x="0" y="0"/>
                <wp:positionH relativeFrom="column">
                  <wp:posOffset>2643505</wp:posOffset>
                </wp:positionH>
                <wp:positionV relativeFrom="paragraph">
                  <wp:posOffset>4161790</wp:posOffset>
                </wp:positionV>
                <wp:extent cx="737235" cy="421005"/>
                <wp:effectExtent l="0" t="0" r="0" b="0"/>
                <wp:wrapNone/>
                <wp:docPr id="128" name="文本框 128"/>
                <wp:cNvGraphicFramePr/>
                <a:graphic xmlns:a="http://schemas.openxmlformats.org/drawingml/2006/main">
                  <a:graphicData uri="http://schemas.microsoft.com/office/word/2010/wordprocessingShape">
                    <wps:wsp>
                      <wps:cNvSpPr txBox="1"/>
                      <wps:spPr>
                        <a:xfrm rot="20580000">
                          <a:off x="0" y="0"/>
                          <a:ext cx="737235" cy="421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94815">
                            <w:pPr>
                              <w:rPr>
                                <w:rFonts w:hint="eastAsia"/>
                                <w:lang w:val="en-US" w:eastAsia="zh-CN"/>
                              </w:rPr>
                            </w:pPr>
                            <w:r>
                              <w:rPr>
                                <w:rFonts w:hint="eastAsia"/>
                                <w:lang w:val="en-US" w:eastAsia="zh-CN"/>
                              </w:rPr>
                              <w:t>装载平台</w:t>
                            </w:r>
                          </w:p>
                          <w:p w14:paraId="518E7D06">
                            <w:pPr>
                              <w:rPr>
                                <w:rFonts w:hint="default" w:eastAsia="宋体"/>
                                <w:lang w:val="en-US" w:eastAsia="zh-CN"/>
                              </w:rPr>
                            </w:pPr>
                            <w:r>
                              <w:rPr>
                                <w:rFonts w:hint="eastAsia"/>
                                <w:lang w:val="en-US" w:eastAsia="zh-CN"/>
                              </w:rPr>
                              <w:t>雨棚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15pt;margin-top:327.7pt;height:33.15pt;width:58.05pt;rotation:-1114112f;z-index:251703296;mso-width-relative:page;mso-height-relative:page;" filled="f" stroked="f" coordsize="21600,21600" o:gfxdata="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pilfddwAAAALAQAADwAAAAAAAAAB&#10;ACAAAAAiAAAAZHJzL2Rvd25yZXYueG1sUEsBAhQAFAAAAAgAh07iQIi758JFAgAAeAQAAA4AAAAA&#10;AAAAAQAgAAAAKwEAAGRycy9lMm9Eb2MueG1sUEsFBgAAAAAGAAYAWQEAAOIFAAAAAA==&#10;">
                <v:fill on="f" focussize="0,0"/>
                <v:stroke on="f" weight="0.5pt"/>
                <v:imagedata o:title=""/>
                <o:lock v:ext="edit" aspectratio="f"/>
                <v:textbox>
                  <w:txbxContent>
                    <w:p w14:paraId="04894815">
                      <w:pPr>
                        <w:rPr>
                          <w:rFonts w:hint="eastAsia"/>
                          <w:lang w:val="en-US" w:eastAsia="zh-CN"/>
                        </w:rPr>
                      </w:pPr>
                      <w:r>
                        <w:rPr>
                          <w:rFonts w:hint="eastAsia"/>
                          <w:lang w:val="en-US" w:eastAsia="zh-CN"/>
                        </w:rPr>
                        <w:t>装载平台</w:t>
                      </w:r>
                    </w:p>
                    <w:p w14:paraId="518E7D06">
                      <w:pPr>
                        <w:rPr>
                          <w:rFonts w:hint="default" w:eastAsia="宋体"/>
                          <w:lang w:val="en-US" w:eastAsia="zh-CN"/>
                        </w:rPr>
                      </w:pPr>
                      <w:r>
                        <w:rPr>
                          <w:rFonts w:hint="eastAsia"/>
                          <w:lang w:val="en-US" w:eastAsia="zh-CN"/>
                        </w:rPr>
                        <w:t>雨棚</w:t>
                      </w:r>
                    </w:p>
                  </w:txbxContent>
                </v:textbox>
              </v:shape>
            </w:pict>
          </mc:Fallback>
        </mc:AlternateContent>
      </w:r>
      <w:r>
        <w:rPr>
          <w:color w:val="auto"/>
          <w:sz w:val="21"/>
          <w:highlight w:val="none"/>
        </w:rPr>
        <mc:AlternateContent>
          <mc:Choice Requires="wps">
            <w:drawing>
              <wp:anchor distT="0" distB="0" distL="114300" distR="114300" simplePos="0" relativeHeight="251702272" behindDoc="0" locked="0" layoutInCell="1" allowOverlap="1">
                <wp:simplePos x="0" y="0"/>
                <wp:positionH relativeFrom="column">
                  <wp:posOffset>2748280</wp:posOffset>
                </wp:positionH>
                <wp:positionV relativeFrom="paragraph">
                  <wp:posOffset>2473325</wp:posOffset>
                </wp:positionV>
                <wp:extent cx="1161415" cy="286385"/>
                <wp:effectExtent l="0" t="0" r="0" b="0"/>
                <wp:wrapNone/>
                <wp:docPr id="127" name="文本框 127"/>
                <wp:cNvGraphicFramePr/>
                <a:graphic xmlns:a="http://schemas.openxmlformats.org/drawingml/2006/main">
                  <a:graphicData uri="http://schemas.microsoft.com/office/word/2010/wordprocessingShape">
                    <wps:wsp>
                      <wps:cNvSpPr txBox="1"/>
                      <wps:spPr>
                        <a:xfrm rot="20580000">
                          <a:off x="0" y="0"/>
                          <a:ext cx="1161415" cy="286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90128">
                            <w:pPr>
                              <w:rPr>
                                <w:rFonts w:hint="default" w:eastAsia="宋体"/>
                                <w:lang w:val="en-US" w:eastAsia="zh-CN"/>
                              </w:rPr>
                            </w:pPr>
                            <w:r>
                              <w:rPr>
                                <w:rFonts w:hint="eastAsia"/>
                                <w:lang w:val="en-US" w:eastAsia="zh-CN"/>
                              </w:rPr>
                              <w:t>原材料储存雨棚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4pt;margin-top:194.75pt;height:22.55pt;width:91.45pt;rotation:-1114112f;z-index:251702272;mso-width-relative:page;mso-height-relative:page;" filled="f" stroked="f" coordsize="21600,21600" o:gfxdata="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ZnSXc2wAAAAsBAAAPAAAAAAAAAAEA&#10;IAAAACIAAABkcnMvZG93bnJldi54bWxQSwECFAAUAAAACACHTuJAKX9rCkUCAAB5BAAADgAAAAAA&#10;AAABACAAAAAqAQAAZHJzL2Uyb0RvYy54bWxQSwUGAAAAAAYABgBZAQAA4QUAAAAA&#10;">
                <v:fill on="f" focussize="0,0"/>
                <v:stroke on="f" weight="0.5pt"/>
                <v:imagedata o:title=""/>
                <o:lock v:ext="edit" aspectratio="f"/>
                <v:textbox>
                  <w:txbxContent>
                    <w:p w14:paraId="77B90128">
                      <w:pPr>
                        <w:rPr>
                          <w:rFonts w:hint="default" w:eastAsia="宋体"/>
                          <w:lang w:val="en-US" w:eastAsia="zh-CN"/>
                        </w:rPr>
                      </w:pPr>
                      <w:r>
                        <w:rPr>
                          <w:rFonts w:hint="eastAsia"/>
                          <w:lang w:val="en-US" w:eastAsia="zh-CN"/>
                        </w:rPr>
                        <w:t>原材料储存雨棚</w:t>
                      </w:r>
                    </w:p>
                  </w:txbxContent>
                </v:textbox>
              </v:shape>
            </w:pict>
          </mc:Fallback>
        </mc:AlternateContent>
      </w:r>
      <w:r>
        <w:rPr>
          <w:color w:val="auto"/>
          <w:sz w:val="21"/>
          <w:highlight w:val="none"/>
        </w:rPr>
        <mc:AlternateContent>
          <mc:Choice Requires="wps">
            <w:drawing>
              <wp:anchor distT="0" distB="0" distL="114300" distR="114300" simplePos="0" relativeHeight="251659264" behindDoc="0" locked="0" layoutInCell="1" allowOverlap="1">
                <wp:simplePos x="0" y="0"/>
                <wp:positionH relativeFrom="column">
                  <wp:posOffset>716280</wp:posOffset>
                </wp:positionH>
                <wp:positionV relativeFrom="paragraph">
                  <wp:posOffset>995680</wp:posOffset>
                </wp:positionV>
                <wp:extent cx="4010660" cy="3866515"/>
                <wp:effectExtent l="31750" t="31750" r="34290" b="45085"/>
                <wp:wrapNone/>
                <wp:docPr id="114" name="任意多边形 114"/>
                <wp:cNvGraphicFramePr/>
                <a:graphic xmlns:a="http://schemas.openxmlformats.org/drawingml/2006/main">
                  <a:graphicData uri="http://schemas.microsoft.com/office/word/2010/wordprocessingShape">
                    <wps:wsp>
                      <wps:cNvSpPr/>
                      <wps:spPr>
                        <a:xfrm>
                          <a:off x="0" y="0"/>
                          <a:ext cx="4010660" cy="3866515"/>
                        </a:xfrm>
                        <a:custGeom>
                          <a:avLst/>
                          <a:gdLst>
                            <a:gd name="connisteX0" fmla="*/ 0 w 4048125"/>
                            <a:gd name="connsiteY0" fmla="*/ 1143000 h 3829050"/>
                            <a:gd name="connisteX1" fmla="*/ 3228975 w 4048125"/>
                            <a:gd name="connsiteY1" fmla="*/ 0 h 3829050"/>
                            <a:gd name="connisteX2" fmla="*/ 3657600 w 4048125"/>
                            <a:gd name="connsiteY2" fmla="*/ 1057275 h 3829050"/>
                            <a:gd name="connisteX3" fmla="*/ 3190875 w 4048125"/>
                            <a:gd name="connsiteY3" fmla="*/ 1219200 h 3829050"/>
                            <a:gd name="connisteX4" fmla="*/ 4048125 w 4048125"/>
                            <a:gd name="connsiteY4" fmla="*/ 3629025 h 3829050"/>
                            <a:gd name="connisteX5" fmla="*/ 2809875 w 4048125"/>
                            <a:gd name="connsiteY5" fmla="*/ 3819525 h 3829050"/>
                            <a:gd name="connisteX6" fmla="*/ 2447925 w 4048125"/>
                            <a:gd name="connsiteY6" fmla="*/ 3829050 h 3829050"/>
                            <a:gd name="connisteX7" fmla="*/ 2076450 w 4048125"/>
                            <a:gd name="connsiteY7" fmla="*/ 3743325 h 3829050"/>
                            <a:gd name="connisteX8" fmla="*/ 1504950 w 4048125"/>
                            <a:gd name="connsiteY8" fmla="*/ 3381375 h 3829050"/>
                            <a:gd name="connisteX9" fmla="*/ 0 w 4048125"/>
                            <a:gd name="connsiteY9" fmla="*/ 1143000 h 38290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Lst>
                          <a:rect l="l" t="t" r="r" b="b"/>
                          <a:pathLst>
                            <a:path w="4048125" h="3829050">
                              <a:moveTo>
                                <a:pt x="0" y="1143000"/>
                              </a:moveTo>
                              <a:lnTo>
                                <a:pt x="3228975" y="0"/>
                              </a:lnTo>
                              <a:lnTo>
                                <a:pt x="3657600" y="1057275"/>
                              </a:lnTo>
                              <a:lnTo>
                                <a:pt x="3190875" y="1219200"/>
                              </a:lnTo>
                              <a:lnTo>
                                <a:pt x="4048125" y="3629025"/>
                              </a:lnTo>
                              <a:lnTo>
                                <a:pt x="2809875" y="3819525"/>
                              </a:lnTo>
                              <a:lnTo>
                                <a:pt x="2447925" y="3829050"/>
                              </a:lnTo>
                              <a:lnTo>
                                <a:pt x="2076450" y="3743325"/>
                              </a:lnTo>
                              <a:lnTo>
                                <a:pt x="1504950" y="3381375"/>
                              </a:lnTo>
                              <a:lnTo>
                                <a:pt x="0" y="1143000"/>
                              </a:lnTo>
                              <a:close/>
                            </a:path>
                          </a:pathLst>
                        </a:custGeom>
                        <a:solidFill>
                          <a:schemeClr val="bg1"/>
                        </a:solidFill>
                        <a:ln w="63500">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56.4pt;margin-top:78.4pt;height:304.45pt;width:315.8pt;z-index:251659264;mso-width-relative:page;mso-height-relative:page;" fillcolor="#FFFFFF [3212]" filled="t" stroked="t" coordsize="4048125,3829050" o:gfxdata="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" path="m0,1143000l3228975,0,3657600,1057275,3190875,1219200,4048125,3629025,2809875,3819525,2447925,3829050,2076450,3743325,1504950,3381375,0,1143000xe">
                <v:path o:connectlocs="0,1154183;3199091,0;3623749,1067619;3161343,1231129;4010660,3664532;2783869,3856896;2425269,3866515;2057232,3779951;1491021,3414459;0,1154183" o:connectangles="0,0,0,0,0,0,0,0,0,0"/>
                <v:fill on="t" focussize="0,0"/>
                <v:stroke weight="5pt" color="#00B050 [2404]" joinstyle="round"/>
                <v:imagedata o:title=""/>
                <o:lock v:ext="edit" aspectratio="f"/>
              </v:shape>
            </w:pict>
          </mc:Fallback>
        </mc:AlternateContent>
      </w:r>
      <w:r>
        <w:rPr>
          <w:color w:val="auto"/>
          <w:sz w:val="21"/>
          <w:highlight w:val="none"/>
        </w:rPr>
        <mc:AlternateContent>
          <mc:Choice Requires="wps">
            <w:drawing>
              <wp:anchor distT="0" distB="0" distL="114300" distR="114300" simplePos="0" relativeHeight="251701248" behindDoc="0" locked="0" layoutInCell="1" allowOverlap="1">
                <wp:simplePos x="0" y="0"/>
                <wp:positionH relativeFrom="column">
                  <wp:posOffset>3345815</wp:posOffset>
                </wp:positionH>
                <wp:positionV relativeFrom="paragraph">
                  <wp:posOffset>3905250</wp:posOffset>
                </wp:positionV>
                <wp:extent cx="880110" cy="295910"/>
                <wp:effectExtent l="0" t="0" r="0" b="0"/>
                <wp:wrapNone/>
                <wp:docPr id="126" name="文本框 126"/>
                <wp:cNvGraphicFramePr/>
                <a:graphic xmlns:a="http://schemas.openxmlformats.org/drawingml/2006/main">
                  <a:graphicData uri="http://schemas.microsoft.com/office/word/2010/wordprocessingShape">
                    <wps:wsp>
                      <wps:cNvSpPr txBox="1"/>
                      <wps:spPr>
                        <a:xfrm rot="20580000">
                          <a:off x="0" y="0"/>
                          <a:ext cx="88011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3602A0">
                            <w:pPr>
                              <w:rPr>
                                <w:rFonts w:hint="default" w:eastAsia="宋体"/>
                                <w:lang w:val="en-US" w:eastAsia="zh-CN"/>
                              </w:rPr>
                            </w:pPr>
                            <w:r>
                              <w:rPr>
                                <w:rFonts w:hint="eastAsia"/>
                                <w:lang w:val="en-US" w:eastAsia="zh-CN"/>
                              </w:rPr>
                              <w:t>生产车间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45pt;margin-top:307.5pt;height:23.3pt;width:69.3pt;rotation:-1114112f;z-index:251701248;mso-width-relative:page;mso-height-relative:page;" filled="f" stroked="f" coordsize="21600,21600" o:gfxdata="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v6MV72gAAAAsBAAAPAAAAAAAAAAEAIAAA&#10;ACIAAABkcnMvZG93bnJldi54bWxQSwECFAAUAAAACACHTuJAWifwSEMCAAB4BAAADgAAAAAAAAAB&#10;ACAAAAApAQAAZHJzL2Uyb0RvYy54bWxQSwUGAAAAAAYABgBZAQAA3gUAAAAA&#10;">
                <v:fill on="f" focussize="0,0"/>
                <v:stroke on="f" weight="0.5pt"/>
                <v:imagedata o:title=""/>
                <o:lock v:ext="edit" aspectratio="f"/>
                <v:textbox>
                  <w:txbxContent>
                    <w:p w14:paraId="113602A0">
                      <w:pPr>
                        <w:rPr>
                          <w:rFonts w:hint="default" w:eastAsia="宋体"/>
                          <w:lang w:val="en-US" w:eastAsia="zh-CN"/>
                        </w:rPr>
                      </w:pPr>
                      <w:r>
                        <w:rPr>
                          <w:rFonts w:hint="eastAsia"/>
                          <w:lang w:val="en-US" w:eastAsia="zh-CN"/>
                        </w:rPr>
                        <w:t>生产车间</w:t>
                      </w:r>
                    </w:p>
                  </w:txbxContent>
                </v:textbox>
              </v:shape>
            </w:pict>
          </mc:Fallback>
        </mc:AlternateContent>
      </w:r>
      <w:r>
        <w:rPr>
          <w:color w:val="auto"/>
          <w:sz w:val="21"/>
          <w:highlight w:val="none"/>
        </w:rPr>
        <mc:AlternateContent>
          <mc:Choice Requires="wps">
            <w:drawing>
              <wp:anchor distT="0" distB="0" distL="114300" distR="114300" simplePos="0" relativeHeight="251700224" behindDoc="0" locked="0" layoutInCell="1" allowOverlap="1">
                <wp:simplePos x="0" y="0"/>
                <wp:positionH relativeFrom="column">
                  <wp:posOffset>3288030</wp:posOffset>
                </wp:positionH>
                <wp:positionV relativeFrom="paragraph">
                  <wp:posOffset>3117850</wp:posOffset>
                </wp:positionV>
                <wp:extent cx="466725" cy="295910"/>
                <wp:effectExtent l="0" t="0" r="0" b="0"/>
                <wp:wrapNone/>
                <wp:docPr id="125" name="文本框 125"/>
                <wp:cNvGraphicFramePr/>
                <a:graphic xmlns:a="http://schemas.openxmlformats.org/drawingml/2006/main">
                  <a:graphicData uri="http://schemas.microsoft.com/office/word/2010/wordprocessingShape">
                    <wps:wsp>
                      <wps:cNvSpPr txBox="1"/>
                      <wps:spPr>
                        <a:xfrm rot="20580000">
                          <a:off x="0" y="0"/>
                          <a:ext cx="466725"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11B7A">
                            <w:pPr>
                              <w:rPr>
                                <w:rFonts w:hint="default" w:eastAsia="宋体"/>
                                <w:lang w:val="en-US" w:eastAsia="zh-CN"/>
                              </w:rPr>
                            </w:pPr>
                            <w:r>
                              <w:rPr>
                                <w:rFonts w:hint="eastAsia"/>
                                <w:lang w:val="en-US" w:eastAsia="zh-CN"/>
                              </w:rPr>
                              <w:t>库房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9pt;margin-top:245.5pt;height:23.3pt;width:36.75pt;rotation:-1114112f;z-index:251700224;mso-width-relative:page;mso-height-relative:page;" filled="f" stroked="f" coordsize="21600,21600" o:gfxdata="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XkOIQ2wAAAAsBAAAPAAAAAAAAAAEA&#10;IAAAACIAAABkcnMvZG93bnJldi54bWxQSwECFAAUAAAACACHTuJA6mjh4kUCAAB4BAAADgAAAAAA&#10;AAABACAAAAAqAQAAZHJzL2Uyb0RvYy54bWxQSwUGAAAAAAYABgBZAQAA4QUAAAAA&#10;">
                <v:fill on="f" focussize="0,0"/>
                <v:stroke on="f" weight="0.5pt"/>
                <v:imagedata o:title=""/>
                <o:lock v:ext="edit" aspectratio="f"/>
                <v:textbox>
                  <w:txbxContent>
                    <w:p w14:paraId="23411B7A">
                      <w:pPr>
                        <w:rPr>
                          <w:rFonts w:hint="default" w:eastAsia="宋体"/>
                          <w:lang w:val="en-US" w:eastAsia="zh-CN"/>
                        </w:rPr>
                      </w:pPr>
                      <w:r>
                        <w:rPr>
                          <w:rFonts w:hint="eastAsia"/>
                          <w:lang w:val="en-US" w:eastAsia="zh-CN"/>
                        </w:rPr>
                        <w:t>库房</w:t>
                      </w:r>
                    </w:p>
                  </w:txbxContent>
                </v:textbox>
              </v:shape>
            </w:pict>
          </mc:Fallback>
        </mc:AlternateContent>
      </w:r>
      <w:r>
        <w:rPr>
          <w:color w:val="auto"/>
          <w:sz w:val="21"/>
          <w:highlight w:val="none"/>
        </w:rPr>
        <mc:AlternateContent>
          <mc:Choice Requires="wps">
            <w:drawing>
              <wp:anchor distT="0" distB="0" distL="114300" distR="114300" simplePos="0" relativeHeight="251699200" behindDoc="0" locked="0" layoutInCell="1" allowOverlap="1">
                <wp:simplePos x="0" y="0"/>
                <wp:positionH relativeFrom="column">
                  <wp:posOffset>2130425</wp:posOffset>
                </wp:positionH>
                <wp:positionV relativeFrom="paragraph">
                  <wp:posOffset>3727450</wp:posOffset>
                </wp:positionV>
                <wp:extent cx="973455" cy="791845"/>
                <wp:effectExtent l="0" t="0" r="0" b="0"/>
                <wp:wrapNone/>
                <wp:docPr id="124" name="文本框 124"/>
                <wp:cNvGraphicFramePr/>
                <a:graphic xmlns:a="http://schemas.openxmlformats.org/drawingml/2006/main">
                  <a:graphicData uri="http://schemas.microsoft.com/office/word/2010/wordprocessingShape">
                    <wps:wsp>
                      <wps:cNvSpPr txBox="1"/>
                      <wps:spPr>
                        <a:xfrm rot="20580000">
                          <a:off x="0" y="0"/>
                          <a:ext cx="973455" cy="791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2F3AF">
                            <w:pPr>
                              <w:rPr>
                                <w:rFonts w:hint="default"/>
                                <w:lang w:val="en-US" w:eastAsia="zh-CN"/>
                              </w:rPr>
                            </w:pPr>
                            <w:r>
                              <w:rPr>
                                <w:rFonts w:hint="eastAsia"/>
                                <w:lang w:val="en-US" w:eastAsia="zh-CN"/>
                              </w:rPr>
                              <w:t>罐区A</w:t>
                            </w:r>
                          </w:p>
                          <w:p w14:paraId="46C8279D">
                            <w:pPr>
                              <w:rPr>
                                <w:rFonts w:hint="default" w:ascii="Times New Roman" w:hAnsi="Times New Roman" w:cs="Times New Roman"/>
                                <w:vertAlign w:val="superscript"/>
                                <w:lang w:val="en-US" w:eastAsia="zh-CN"/>
                              </w:rPr>
                            </w:pPr>
                            <w:r>
                              <w:rPr>
                                <w:rFonts w:hint="eastAsia" w:cs="Times New Roman"/>
                                <w:lang w:val="en-US" w:eastAsia="zh-CN"/>
                              </w:rPr>
                              <w:t>6</w:t>
                            </w:r>
                            <w:r>
                              <w:rPr>
                                <w:rFonts w:hint="default" w:ascii="Times New Roman" w:hAnsi="Times New Roman" w:cs="Times New Roman"/>
                                <w:lang w:val="en-US" w:eastAsia="zh-CN"/>
                              </w:rPr>
                              <w:t>×</w:t>
                            </w:r>
                            <w:r>
                              <w:rPr>
                                <w:rFonts w:hint="eastAsia" w:cs="Times New Roman"/>
                                <w:lang w:val="en-US" w:eastAsia="zh-CN"/>
                              </w:rPr>
                              <w:t>2650</w:t>
                            </w:r>
                            <w:r>
                              <w:rPr>
                                <w:rFonts w:hint="default" w:ascii="Times New Roman" w:hAnsi="Times New Roman" w:cs="Times New Roman"/>
                                <w:lang w:val="en-US" w:eastAsia="zh-CN"/>
                              </w:rPr>
                              <w:t>m</w:t>
                            </w:r>
                            <w:r>
                              <w:rPr>
                                <w:rFonts w:hint="default" w:ascii="Times New Roman" w:hAnsi="Times New Roman" w:cs="Times New Roman"/>
                                <w:vertAlign w:val="superscript"/>
                                <w:lang w:val="en-US" w:eastAsia="zh-CN"/>
                              </w:rPr>
                              <w:t>3</w:t>
                            </w:r>
                          </w:p>
                          <w:p w14:paraId="6DCEE826">
                            <w:pPr>
                              <w:rPr>
                                <w:rFonts w:hint="default" w:ascii="Times New Roman" w:hAnsi="Times New Roman" w:eastAsia="宋体" w:cs="Times New Roman"/>
                                <w:lang w:val="en-US" w:eastAsia="zh-CN"/>
                              </w:rPr>
                            </w:pPr>
                            <w:r>
                              <w:rPr>
                                <w:rFonts w:hint="eastAsia" w:cs="Times New Roman"/>
                                <w:lang w:val="en-US" w:eastAsia="zh-CN"/>
                              </w:rPr>
                              <w:t>5</w:t>
                            </w:r>
                            <w:r>
                              <w:rPr>
                                <w:rFonts w:hint="default" w:ascii="Times New Roman" w:hAnsi="Times New Roman" w:cs="Times New Roman"/>
                                <w:lang w:val="en-US" w:eastAsia="zh-CN"/>
                              </w:rPr>
                              <w:t>×</w:t>
                            </w:r>
                            <w:r>
                              <w:rPr>
                                <w:rFonts w:hint="eastAsia" w:cs="Times New Roman"/>
                                <w:lang w:val="en-US" w:eastAsia="zh-CN"/>
                              </w:rPr>
                              <w:t>2000</w:t>
                            </w:r>
                            <w:r>
                              <w:rPr>
                                <w:rFonts w:hint="default" w:ascii="Times New Roman" w:hAnsi="Times New Roman" w:cs="Times New Roman"/>
                                <w:lang w:val="en-US" w:eastAsia="zh-CN"/>
                              </w:rPr>
                              <w:t>m</w:t>
                            </w:r>
                            <w:r>
                              <w:rPr>
                                <w:rFonts w:hint="default" w:ascii="Times New Roman" w:hAnsi="Times New Roman" w:cs="Times New Roman"/>
                                <w:vertAlign w:val="superscript"/>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75pt;margin-top:293.5pt;height:62.35pt;width:76.65pt;rotation:-1114112f;z-index:251699200;mso-width-relative:page;mso-height-relative:page;" filled="f" stroked="f" coordsize="21600,21600" o:gfxdata="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SSYULNsAAAALAQAADwAAAAAAAAAB&#10;ACAAAAAiAAAAZHJzL2Rvd25yZXYueG1sUEsBAhQAFAAAAAgAh07iQJC1qGJGAgAAeAQAAA4AAAAA&#10;AAAAAQAgAAAAKgEAAGRycy9lMm9Eb2MueG1sUEsFBgAAAAAGAAYAWQEAAOIFAAAAAA==&#10;">
                <v:fill on="f" focussize="0,0"/>
                <v:stroke on="f" weight="0.5pt"/>
                <v:imagedata o:title=""/>
                <o:lock v:ext="edit" aspectratio="f"/>
                <v:textbox>
                  <w:txbxContent>
                    <w:p w14:paraId="0F72F3AF">
                      <w:pPr>
                        <w:rPr>
                          <w:rFonts w:hint="default"/>
                          <w:lang w:val="en-US" w:eastAsia="zh-CN"/>
                        </w:rPr>
                      </w:pPr>
                      <w:r>
                        <w:rPr>
                          <w:rFonts w:hint="eastAsia"/>
                          <w:lang w:val="en-US" w:eastAsia="zh-CN"/>
                        </w:rPr>
                        <w:t>罐区A</w:t>
                      </w:r>
                    </w:p>
                    <w:p w14:paraId="46C8279D">
                      <w:pPr>
                        <w:rPr>
                          <w:rFonts w:hint="default" w:ascii="Times New Roman" w:hAnsi="Times New Roman" w:cs="Times New Roman"/>
                          <w:vertAlign w:val="superscript"/>
                          <w:lang w:val="en-US" w:eastAsia="zh-CN"/>
                        </w:rPr>
                      </w:pPr>
                      <w:r>
                        <w:rPr>
                          <w:rFonts w:hint="eastAsia" w:cs="Times New Roman"/>
                          <w:lang w:val="en-US" w:eastAsia="zh-CN"/>
                        </w:rPr>
                        <w:t>6</w:t>
                      </w:r>
                      <w:r>
                        <w:rPr>
                          <w:rFonts w:hint="default" w:ascii="Times New Roman" w:hAnsi="Times New Roman" w:cs="Times New Roman"/>
                          <w:lang w:val="en-US" w:eastAsia="zh-CN"/>
                        </w:rPr>
                        <w:t>×</w:t>
                      </w:r>
                      <w:r>
                        <w:rPr>
                          <w:rFonts w:hint="eastAsia" w:cs="Times New Roman"/>
                          <w:lang w:val="en-US" w:eastAsia="zh-CN"/>
                        </w:rPr>
                        <w:t>2650</w:t>
                      </w:r>
                      <w:r>
                        <w:rPr>
                          <w:rFonts w:hint="default" w:ascii="Times New Roman" w:hAnsi="Times New Roman" w:cs="Times New Roman"/>
                          <w:lang w:val="en-US" w:eastAsia="zh-CN"/>
                        </w:rPr>
                        <w:t>m</w:t>
                      </w:r>
                      <w:r>
                        <w:rPr>
                          <w:rFonts w:hint="default" w:ascii="Times New Roman" w:hAnsi="Times New Roman" w:cs="Times New Roman"/>
                          <w:vertAlign w:val="superscript"/>
                          <w:lang w:val="en-US" w:eastAsia="zh-CN"/>
                        </w:rPr>
                        <w:t>3</w:t>
                      </w:r>
                    </w:p>
                    <w:p w14:paraId="6DCEE826">
                      <w:pPr>
                        <w:rPr>
                          <w:rFonts w:hint="default" w:ascii="Times New Roman" w:hAnsi="Times New Roman" w:eastAsia="宋体" w:cs="Times New Roman"/>
                          <w:lang w:val="en-US" w:eastAsia="zh-CN"/>
                        </w:rPr>
                      </w:pPr>
                      <w:r>
                        <w:rPr>
                          <w:rFonts w:hint="eastAsia" w:cs="Times New Roman"/>
                          <w:lang w:val="en-US" w:eastAsia="zh-CN"/>
                        </w:rPr>
                        <w:t>5</w:t>
                      </w:r>
                      <w:r>
                        <w:rPr>
                          <w:rFonts w:hint="default" w:ascii="Times New Roman" w:hAnsi="Times New Roman" w:cs="Times New Roman"/>
                          <w:lang w:val="en-US" w:eastAsia="zh-CN"/>
                        </w:rPr>
                        <w:t>×</w:t>
                      </w:r>
                      <w:r>
                        <w:rPr>
                          <w:rFonts w:hint="eastAsia" w:cs="Times New Roman"/>
                          <w:lang w:val="en-US" w:eastAsia="zh-CN"/>
                        </w:rPr>
                        <w:t>2000</w:t>
                      </w:r>
                      <w:r>
                        <w:rPr>
                          <w:rFonts w:hint="default" w:ascii="Times New Roman" w:hAnsi="Times New Roman" w:cs="Times New Roman"/>
                          <w:lang w:val="en-US" w:eastAsia="zh-CN"/>
                        </w:rPr>
                        <w:t>m</w:t>
                      </w:r>
                      <w:r>
                        <w:rPr>
                          <w:rFonts w:hint="default" w:ascii="Times New Roman" w:hAnsi="Times New Roman" w:cs="Times New Roman"/>
                          <w:vertAlign w:val="superscript"/>
                          <w:lang w:val="en-US" w:eastAsia="zh-CN"/>
                        </w:rPr>
                        <w:t>3</w:t>
                      </w:r>
                    </w:p>
                  </w:txbxContent>
                </v:textbox>
              </v:shape>
            </w:pict>
          </mc:Fallback>
        </mc:AlternateContent>
      </w:r>
      <w:r>
        <w:rPr>
          <w:color w:val="auto"/>
          <w:sz w:val="21"/>
          <w:highlight w:val="none"/>
        </w:rPr>
        <mc:AlternateContent>
          <mc:Choice Requires="wps">
            <w:drawing>
              <wp:anchor distT="0" distB="0" distL="114300" distR="114300" simplePos="0" relativeHeight="251698176" behindDoc="0" locked="0" layoutInCell="1" allowOverlap="1">
                <wp:simplePos x="0" y="0"/>
                <wp:positionH relativeFrom="column">
                  <wp:posOffset>1768475</wp:posOffset>
                </wp:positionH>
                <wp:positionV relativeFrom="paragraph">
                  <wp:posOffset>3117850</wp:posOffset>
                </wp:positionV>
                <wp:extent cx="973455" cy="791845"/>
                <wp:effectExtent l="0" t="0" r="0" b="0"/>
                <wp:wrapNone/>
                <wp:docPr id="123" name="文本框 123"/>
                <wp:cNvGraphicFramePr/>
                <a:graphic xmlns:a="http://schemas.openxmlformats.org/drawingml/2006/main">
                  <a:graphicData uri="http://schemas.microsoft.com/office/word/2010/wordprocessingShape">
                    <wps:wsp>
                      <wps:cNvSpPr txBox="1"/>
                      <wps:spPr>
                        <a:xfrm rot="20580000">
                          <a:off x="0" y="0"/>
                          <a:ext cx="973455" cy="791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15465">
                            <w:pPr>
                              <w:rPr>
                                <w:rFonts w:hint="eastAsia"/>
                                <w:lang w:val="en-US" w:eastAsia="zh-CN"/>
                              </w:rPr>
                            </w:pPr>
                            <w:r>
                              <w:rPr>
                                <w:rFonts w:hint="eastAsia"/>
                                <w:lang w:val="en-US" w:eastAsia="zh-CN"/>
                              </w:rPr>
                              <w:t>罐区B</w:t>
                            </w:r>
                          </w:p>
                          <w:p w14:paraId="450DE5DD">
                            <w:pPr>
                              <w:rPr>
                                <w:rFonts w:hint="default" w:ascii="Times New Roman" w:hAnsi="Times New Roman" w:cs="Times New Roman"/>
                                <w:vertAlign w:val="superscript"/>
                                <w:lang w:val="en-US" w:eastAsia="zh-CN"/>
                              </w:rPr>
                            </w:pPr>
                            <w:r>
                              <w:rPr>
                                <w:rFonts w:hint="default" w:ascii="Times New Roman" w:hAnsi="Times New Roman" w:cs="Times New Roman"/>
                                <w:lang w:val="en-US" w:eastAsia="zh-CN"/>
                              </w:rPr>
                              <w:t>3×340m</w:t>
                            </w:r>
                            <w:r>
                              <w:rPr>
                                <w:rFonts w:hint="default" w:ascii="Times New Roman" w:hAnsi="Times New Roman" w:cs="Times New Roman"/>
                                <w:vertAlign w:val="superscript"/>
                                <w:lang w:val="en-US" w:eastAsia="zh-CN"/>
                              </w:rPr>
                              <w:t>3</w:t>
                            </w:r>
                          </w:p>
                          <w:p w14:paraId="11BD8809">
                            <w:pPr>
                              <w:rPr>
                                <w:rFonts w:hint="default" w:ascii="Times New Roman" w:hAnsi="Times New Roman" w:eastAsia="宋体" w:cs="Times New Roman"/>
                                <w:lang w:val="en-US" w:eastAsia="zh-CN"/>
                              </w:rPr>
                            </w:pPr>
                            <w:r>
                              <w:rPr>
                                <w:rFonts w:hint="default" w:ascii="Times New Roman" w:hAnsi="Times New Roman" w:cs="Times New Roman"/>
                                <w:lang w:val="en-US" w:eastAsia="zh-CN"/>
                              </w:rPr>
                              <w:t>10×1</w:t>
                            </w:r>
                            <w:r>
                              <w:rPr>
                                <w:rFonts w:hint="eastAsia" w:ascii="Times New Roman" w:hAnsi="Times New Roman" w:cs="Times New Roman"/>
                                <w:lang w:val="en-US" w:eastAsia="zh-CN"/>
                              </w:rPr>
                              <w:t>37</w:t>
                            </w:r>
                            <w:r>
                              <w:rPr>
                                <w:rFonts w:hint="default" w:ascii="Times New Roman" w:hAnsi="Times New Roman" w:cs="Times New Roman"/>
                                <w:lang w:val="en-US" w:eastAsia="zh-CN"/>
                              </w:rPr>
                              <w:t>m</w:t>
                            </w:r>
                            <w:r>
                              <w:rPr>
                                <w:rFonts w:hint="default" w:ascii="Times New Roman" w:hAnsi="Times New Roman" w:cs="Times New Roman"/>
                                <w:vertAlign w:val="superscript"/>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9.25pt;margin-top:245.5pt;height:62.35pt;width:76.65pt;rotation:-1114112f;z-index:251698176;mso-width-relative:page;mso-height-relative:page;" filled="f" stroked="f" coordsize="21600,21600" o:gfxdata="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b8mS3cAAAACwEAAA8AAAAAAAAA&#10;AQAgAAAAIgAAAGRycy9kb3ducmV2LnhtbFBLAQIUABQAAAAIAIdO4kAtjxrYRgIAAHgEAAAOAAAA&#10;AAAAAAEAIAAAACsBAABkcnMvZTJvRG9jLnhtbFBLBQYAAAAABgAGAFkBAADjBQAAAAA=&#10;">
                <v:fill on="f" focussize="0,0"/>
                <v:stroke on="f" weight="0.5pt"/>
                <v:imagedata o:title=""/>
                <o:lock v:ext="edit" aspectratio="f"/>
                <v:textbox>
                  <w:txbxContent>
                    <w:p w14:paraId="06015465">
                      <w:pPr>
                        <w:rPr>
                          <w:rFonts w:hint="eastAsia"/>
                          <w:lang w:val="en-US" w:eastAsia="zh-CN"/>
                        </w:rPr>
                      </w:pPr>
                      <w:r>
                        <w:rPr>
                          <w:rFonts w:hint="eastAsia"/>
                          <w:lang w:val="en-US" w:eastAsia="zh-CN"/>
                        </w:rPr>
                        <w:t>罐区B</w:t>
                      </w:r>
                    </w:p>
                    <w:p w14:paraId="450DE5DD">
                      <w:pPr>
                        <w:rPr>
                          <w:rFonts w:hint="default" w:ascii="Times New Roman" w:hAnsi="Times New Roman" w:cs="Times New Roman"/>
                          <w:vertAlign w:val="superscript"/>
                          <w:lang w:val="en-US" w:eastAsia="zh-CN"/>
                        </w:rPr>
                      </w:pPr>
                      <w:r>
                        <w:rPr>
                          <w:rFonts w:hint="default" w:ascii="Times New Roman" w:hAnsi="Times New Roman" w:cs="Times New Roman"/>
                          <w:lang w:val="en-US" w:eastAsia="zh-CN"/>
                        </w:rPr>
                        <w:t>3×340m</w:t>
                      </w:r>
                      <w:r>
                        <w:rPr>
                          <w:rFonts w:hint="default" w:ascii="Times New Roman" w:hAnsi="Times New Roman" w:cs="Times New Roman"/>
                          <w:vertAlign w:val="superscript"/>
                          <w:lang w:val="en-US" w:eastAsia="zh-CN"/>
                        </w:rPr>
                        <w:t>3</w:t>
                      </w:r>
                    </w:p>
                    <w:p w14:paraId="11BD8809">
                      <w:pPr>
                        <w:rPr>
                          <w:rFonts w:hint="default" w:ascii="Times New Roman" w:hAnsi="Times New Roman" w:eastAsia="宋体" w:cs="Times New Roman"/>
                          <w:lang w:val="en-US" w:eastAsia="zh-CN"/>
                        </w:rPr>
                      </w:pPr>
                      <w:r>
                        <w:rPr>
                          <w:rFonts w:hint="default" w:ascii="Times New Roman" w:hAnsi="Times New Roman" w:cs="Times New Roman"/>
                          <w:lang w:val="en-US" w:eastAsia="zh-CN"/>
                        </w:rPr>
                        <w:t>10×1</w:t>
                      </w:r>
                      <w:r>
                        <w:rPr>
                          <w:rFonts w:hint="eastAsia" w:ascii="Times New Roman" w:hAnsi="Times New Roman" w:cs="Times New Roman"/>
                          <w:lang w:val="en-US" w:eastAsia="zh-CN"/>
                        </w:rPr>
                        <w:t>37</w:t>
                      </w:r>
                      <w:r>
                        <w:rPr>
                          <w:rFonts w:hint="default" w:ascii="Times New Roman" w:hAnsi="Times New Roman" w:cs="Times New Roman"/>
                          <w:lang w:val="en-US" w:eastAsia="zh-CN"/>
                        </w:rPr>
                        <w:t>m</w:t>
                      </w:r>
                      <w:r>
                        <w:rPr>
                          <w:rFonts w:hint="default" w:ascii="Times New Roman" w:hAnsi="Times New Roman" w:cs="Times New Roman"/>
                          <w:vertAlign w:val="superscript"/>
                          <w:lang w:val="en-US" w:eastAsia="zh-CN"/>
                        </w:rPr>
                        <w:t>3</w:t>
                      </w:r>
                    </w:p>
                  </w:txbxContent>
                </v:textbox>
              </v:shape>
            </w:pict>
          </mc:Fallback>
        </mc:AlternateContent>
      </w:r>
      <w:r>
        <w:rPr>
          <w:color w:val="auto"/>
          <w:sz w:val="21"/>
          <w:highlight w:val="none"/>
        </w:rPr>
        <mc:AlternateContent>
          <mc:Choice Requires="wps">
            <w:drawing>
              <wp:anchor distT="0" distB="0" distL="114300" distR="114300" simplePos="0" relativeHeight="251697152" behindDoc="0" locked="0" layoutInCell="1" allowOverlap="1">
                <wp:simplePos x="0" y="0"/>
                <wp:positionH relativeFrom="column">
                  <wp:posOffset>1208405</wp:posOffset>
                </wp:positionH>
                <wp:positionV relativeFrom="paragraph">
                  <wp:posOffset>2811780</wp:posOffset>
                </wp:positionV>
                <wp:extent cx="605155" cy="295910"/>
                <wp:effectExtent l="0" t="0" r="0" b="0"/>
                <wp:wrapNone/>
                <wp:docPr id="121" name="文本框 121"/>
                <wp:cNvGraphicFramePr/>
                <a:graphic xmlns:a="http://schemas.openxmlformats.org/drawingml/2006/main">
                  <a:graphicData uri="http://schemas.microsoft.com/office/word/2010/wordprocessingShape">
                    <wps:wsp>
                      <wps:cNvSpPr txBox="1"/>
                      <wps:spPr>
                        <a:xfrm rot="20580000">
                          <a:off x="0" y="0"/>
                          <a:ext cx="605155"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6CC52">
                            <w:pPr>
                              <w:rPr>
                                <w:rFonts w:hint="default" w:eastAsia="宋体"/>
                                <w:lang w:val="en-US" w:eastAsia="zh-CN"/>
                              </w:rPr>
                            </w:pPr>
                            <w:r>
                              <w:rPr>
                                <w:rFonts w:hint="eastAsia"/>
                                <w:lang w:val="en-US" w:eastAsia="zh-CN"/>
                              </w:rPr>
                              <w:t>办公楼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15pt;margin-top:221.4pt;height:23.3pt;width:47.65pt;rotation:-1114112f;z-index:251697152;mso-width-relative:page;mso-height-relative:page;" filled="f" stroked="f" coordsize="21600,21600" o:gfxdata="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2ZR882gAAAAsBAAAPAAAAAAAAAAEA&#10;IAAAACIAAABkcnMvZG93bnJldi54bWxQSwECFAAUAAAACACHTuJAwVhlH0YCAAB4BAAADgAAAAAA&#10;AAABACAAAAApAQAAZHJzL2Uyb0RvYy54bWxQSwUGAAAAAAYABgBZAQAA4QUAAAAA&#10;">
                <v:fill on="f" focussize="0,0"/>
                <v:stroke on="f" weight="0.5pt"/>
                <v:imagedata o:title=""/>
                <o:lock v:ext="edit" aspectratio="f"/>
                <v:textbox>
                  <w:txbxContent>
                    <w:p w14:paraId="6316CC52">
                      <w:pPr>
                        <w:rPr>
                          <w:rFonts w:hint="default" w:eastAsia="宋体"/>
                          <w:lang w:val="en-US" w:eastAsia="zh-CN"/>
                        </w:rPr>
                      </w:pPr>
                      <w:r>
                        <w:rPr>
                          <w:rFonts w:hint="eastAsia"/>
                          <w:lang w:val="en-US" w:eastAsia="zh-CN"/>
                        </w:rPr>
                        <w:t>办公楼</w:t>
                      </w:r>
                    </w:p>
                  </w:txbxContent>
                </v:textbox>
              </v:shape>
            </w:pict>
          </mc:Fallback>
        </mc:AlternateContent>
      </w:r>
      <w:r>
        <w:rPr>
          <w:color w:val="auto"/>
          <w:sz w:val="21"/>
          <w:highlight w:val="none"/>
        </w:rPr>
        <mc:AlternateContent>
          <mc:Choice Requires="wps">
            <w:drawing>
              <wp:anchor distT="0" distB="0" distL="114300" distR="114300" simplePos="0" relativeHeight="251696128" behindDoc="0" locked="0" layoutInCell="1" allowOverlap="1">
                <wp:simplePos x="0" y="0"/>
                <wp:positionH relativeFrom="column">
                  <wp:posOffset>1550670</wp:posOffset>
                </wp:positionH>
                <wp:positionV relativeFrom="paragraph">
                  <wp:posOffset>2569845</wp:posOffset>
                </wp:positionV>
                <wp:extent cx="631190" cy="295910"/>
                <wp:effectExtent l="0" t="0" r="0" b="0"/>
                <wp:wrapNone/>
                <wp:docPr id="119" name="文本框 119"/>
                <wp:cNvGraphicFramePr/>
                <a:graphic xmlns:a="http://schemas.openxmlformats.org/drawingml/2006/main">
                  <a:graphicData uri="http://schemas.microsoft.com/office/word/2010/wordprocessingShape">
                    <wps:wsp>
                      <wps:cNvSpPr txBox="1"/>
                      <wps:spPr>
                        <a:xfrm rot="20580000">
                          <a:off x="0" y="0"/>
                          <a:ext cx="63119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75B6F">
                            <w:pPr>
                              <w:rPr>
                                <w:rFonts w:hint="default" w:eastAsia="宋体"/>
                                <w:lang w:val="en-US" w:eastAsia="zh-CN"/>
                              </w:rPr>
                            </w:pPr>
                            <w:r>
                              <w:rPr>
                                <w:rFonts w:hint="eastAsia"/>
                                <w:lang w:val="en-US" w:eastAsia="zh-CN"/>
                              </w:rPr>
                              <w:t>事故池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2.1pt;margin-top:202.35pt;height:23.3pt;width:49.7pt;rotation:-1114112f;z-index:251696128;mso-width-relative:page;mso-height-relative:page;" filled="f" stroked="f" coordsize="21600,21600" o:gfxdata="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AgEMdsAAAALAQAADwAAAAAAAAABACAA&#10;AAAiAAAAZHJzL2Rvd25yZXYueG1sUEsBAhQAFAAAAAgAh07iQFcma0NDAgAAeAQAAA4AAAAAAAAA&#10;AQAgAAAAKgEAAGRycy9lMm9Eb2MueG1sUEsFBgAAAAAGAAYAWQEAAN8FAAAAAA==&#10;">
                <v:fill on="f" focussize="0,0"/>
                <v:stroke on="f" weight="0.5pt"/>
                <v:imagedata o:title=""/>
                <o:lock v:ext="edit" aspectratio="f"/>
                <v:textbox>
                  <w:txbxContent>
                    <w:p w14:paraId="70575B6F">
                      <w:pPr>
                        <w:rPr>
                          <w:rFonts w:hint="default" w:eastAsia="宋体"/>
                          <w:lang w:val="en-US" w:eastAsia="zh-CN"/>
                        </w:rPr>
                      </w:pPr>
                      <w:r>
                        <w:rPr>
                          <w:rFonts w:hint="eastAsia"/>
                          <w:lang w:val="en-US" w:eastAsia="zh-CN"/>
                        </w:rPr>
                        <w:t>事故池</w:t>
                      </w:r>
                    </w:p>
                  </w:txbxContent>
                </v:textbox>
              </v:shape>
            </w:pict>
          </mc:Fallback>
        </mc:AlternateContent>
      </w:r>
      <w:r>
        <w:rPr>
          <w:color w:val="auto"/>
          <w:sz w:val="21"/>
          <w:highlight w:val="none"/>
        </w:rPr>
        <mc:AlternateContent>
          <mc:Choice Requires="wps">
            <w:drawing>
              <wp:anchor distT="0" distB="0" distL="114300" distR="114300" simplePos="0" relativeHeight="251695104" behindDoc="0" locked="0" layoutInCell="1" allowOverlap="1">
                <wp:simplePos x="0" y="0"/>
                <wp:positionH relativeFrom="column">
                  <wp:posOffset>1915160</wp:posOffset>
                </wp:positionH>
                <wp:positionV relativeFrom="paragraph">
                  <wp:posOffset>2197100</wp:posOffset>
                </wp:positionV>
                <wp:extent cx="1089025" cy="438150"/>
                <wp:effectExtent l="0" t="0" r="0" b="0"/>
                <wp:wrapNone/>
                <wp:docPr id="118" name="文本框 118"/>
                <wp:cNvGraphicFramePr/>
                <a:graphic xmlns:a="http://schemas.openxmlformats.org/drawingml/2006/main">
                  <a:graphicData uri="http://schemas.microsoft.com/office/word/2010/wordprocessingShape">
                    <wps:wsp>
                      <wps:cNvSpPr txBox="1"/>
                      <wps:spPr>
                        <a:xfrm rot="20400000">
                          <a:off x="0" y="0"/>
                          <a:ext cx="1089025" cy="4381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41C4B">
                            <w:pPr>
                              <w:rPr>
                                <w:rFonts w:hint="default" w:eastAsia="宋体"/>
                                <w:lang w:val="en-US" w:eastAsia="zh-CN"/>
                              </w:rPr>
                            </w:pPr>
                            <w:r>
                              <w:rPr>
                                <w:rFonts w:hint="eastAsia"/>
                                <w:lang w:val="en-US" w:eastAsia="zh-CN"/>
                              </w:rPr>
                              <w:t>动力车间（内含导热油炉）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0.8pt;margin-top:173pt;height:34.5pt;width:85.75pt;rotation:-1310720f;z-index:251695104;mso-width-relative:page;mso-height-relative:page;" filled="f" stroked="f" coordsize="21600,21600" o:gfxdata="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M9sevaAAAACwEAAA8AAAAAAAAAAQAg&#10;AAAAIgAAAGRycy9kb3ducmV2LnhtbFBLAQIUABQAAAAIAIdO4kASiz/DRQIAAHkEAAAOAAAAAAAA&#10;AAEAIAAAACkBAABkcnMvZTJvRG9jLnhtbFBLBQYAAAAABgAGAFkBAADgBQAAAAA=&#10;">
                <v:fill on="f" focussize="0,0"/>
                <v:stroke on="f" weight="0.5pt"/>
                <v:imagedata o:title=""/>
                <o:lock v:ext="edit" aspectratio="f"/>
                <v:textbox>
                  <w:txbxContent>
                    <w:p w14:paraId="35D41C4B">
                      <w:pPr>
                        <w:rPr>
                          <w:rFonts w:hint="default" w:eastAsia="宋体"/>
                          <w:lang w:val="en-US" w:eastAsia="zh-CN"/>
                        </w:rPr>
                      </w:pPr>
                      <w:r>
                        <w:rPr>
                          <w:rFonts w:hint="eastAsia"/>
                          <w:lang w:val="en-US" w:eastAsia="zh-CN"/>
                        </w:rPr>
                        <w:t>动力车间（内含导热油炉）</w:t>
                      </w:r>
                    </w:p>
                  </w:txbxContent>
                </v:textbox>
              </v:shape>
            </w:pict>
          </mc:Fallback>
        </mc:AlternateContent>
      </w:r>
      <w:r>
        <w:rPr>
          <w:color w:val="auto"/>
          <w:sz w:val="21"/>
          <w:highlight w:val="none"/>
        </w:rPr>
        <mc:AlternateContent>
          <mc:Choice Requires="wps">
            <w:drawing>
              <wp:anchor distT="0" distB="0" distL="114300" distR="114300" simplePos="0" relativeHeight="251693056" behindDoc="0" locked="0" layoutInCell="1" allowOverlap="1">
                <wp:simplePos x="0" y="0"/>
                <wp:positionH relativeFrom="column">
                  <wp:posOffset>2459355</wp:posOffset>
                </wp:positionH>
                <wp:positionV relativeFrom="paragraph">
                  <wp:posOffset>1631950</wp:posOffset>
                </wp:positionV>
                <wp:extent cx="466725" cy="295910"/>
                <wp:effectExtent l="0" t="0" r="0" b="0"/>
                <wp:wrapNone/>
                <wp:docPr id="117" name="文本框 117"/>
                <wp:cNvGraphicFramePr/>
                <a:graphic xmlns:a="http://schemas.openxmlformats.org/drawingml/2006/main">
                  <a:graphicData uri="http://schemas.microsoft.com/office/word/2010/wordprocessingShape">
                    <wps:wsp>
                      <wps:cNvSpPr txBox="1"/>
                      <wps:spPr>
                        <a:xfrm rot="20580000">
                          <a:off x="2945130" y="1784350"/>
                          <a:ext cx="466725"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2753F">
                            <w:pPr>
                              <w:rPr>
                                <w:rFonts w:hint="eastAsia" w:eastAsia="宋体"/>
                                <w:lang w:val="en-US" w:eastAsia="zh-CN"/>
                              </w:rPr>
                            </w:pPr>
                            <w:r>
                              <w:rPr>
                                <w:rFonts w:hint="eastAsia"/>
                                <w:lang w:val="en-US" w:eastAsia="zh-CN"/>
                              </w:rPr>
                              <w:t>门卫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65pt;margin-top:128.5pt;height:23.3pt;width:36.75pt;rotation:-1114112f;z-index:251693056;mso-width-relative:page;mso-height-relative:page;" filled="f" stroked="f" coordsize="21600,21600" o:gfxdata="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JMqL2NoAAAALAQAA&#10;DwAAAAAAAAABACAAAAAiAAAAZHJzL2Rvd25yZXYueG1sUEsBAhQAFAAAAAgAh07iQB5YSWBQAgAA&#10;hAQAAA4AAAAAAAAAAQAgAAAAKQEAAGRycy9lMm9Eb2MueG1sUEsFBgAAAAAGAAYAWQEAAOsFAAAA&#10;AA==&#10;">
                <v:fill on="f" focussize="0,0"/>
                <v:stroke on="f" weight="0.5pt"/>
                <v:imagedata o:title=""/>
                <o:lock v:ext="edit" aspectratio="f"/>
                <v:textbox>
                  <w:txbxContent>
                    <w:p w14:paraId="6FF2753F">
                      <w:pPr>
                        <w:rPr>
                          <w:rFonts w:hint="eastAsia" w:eastAsia="宋体"/>
                          <w:lang w:val="en-US" w:eastAsia="zh-CN"/>
                        </w:rPr>
                      </w:pPr>
                      <w:r>
                        <w:rPr>
                          <w:rFonts w:hint="eastAsia"/>
                          <w:lang w:val="en-US" w:eastAsia="zh-CN"/>
                        </w:rPr>
                        <w:t>门卫</w:t>
                      </w:r>
                    </w:p>
                  </w:txbxContent>
                </v:textbox>
              </v:shape>
            </w:pict>
          </mc:Fallback>
        </mc:AlternateContent>
      </w:r>
      <w:r>
        <w:rPr>
          <w:rFonts w:hint="eastAsia" w:eastAsia="宋体"/>
          <w:color w:val="auto"/>
          <w:sz w:val="28"/>
          <w:szCs w:val="28"/>
          <w:highlight w:val="none"/>
          <w:lang w:eastAsia="zh-CN"/>
        </w:rPr>
        <w:drawing>
          <wp:anchor distT="0" distB="0" distL="114300" distR="114300" simplePos="0" relativeHeight="251694080" behindDoc="1" locked="0" layoutInCell="1" allowOverlap="1">
            <wp:simplePos x="0" y="0"/>
            <wp:positionH relativeFrom="column">
              <wp:posOffset>142875</wp:posOffset>
            </wp:positionH>
            <wp:positionV relativeFrom="paragraph">
              <wp:posOffset>158115</wp:posOffset>
            </wp:positionV>
            <wp:extent cx="7663180" cy="5388610"/>
            <wp:effectExtent l="0" t="0" r="13970" b="2540"/>
            <wp:wrapNone/>
            <wp:docPr id="116" name="图片 116"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111"/>
                    <pic:cNvPicPr>
                      <a:picLocks noChangeAspect="1"/>
                    </pic:cNvPicPr>
                  </pic:nvPicPr>
                  <pic:blipFill>
                    <a:blip r:embed="rId96"/>
                    <a:stretch>
                      <a:fillRect/>
                    </a:stretch>
                  </pic:blipFill>
                  <pic:spPr>
                    <a:xfrm>
                      <a:off x="0" y="0"/>
                      <a:ext cx="7663180" cy="5388610"/>
                    </a:xfrm>
                    <a:prstGeom prst="rect">
                      <a:avLst/>
                    </a:prstGeom>
                  </pic:spPr>
                </pic:pic>
              </a:graphicData>
            </a:graphic>
          </wp:anchor>
        </w:drawing>
      </w:r>
      <w:r>
        <w:rPr>
          <w:color w:val="auto"/>
          <w:sz w:val="21"/>
          <w:highlight w:val="none"/>
        </w:rPr>
        <mc:AlternateContent>
          <mc:Choice Requires="wps">
            <w:drawing>
              <wp:anchor distT="0" distB="0" distL="114300" distR="114300" simplePos="0" relativeHeight="251692032" behindDoc="0" locked="0" layoutInCell="1" allowOverlap="1">
                <wp:simplePos x="0" y="0"/>
                <wp:positionH relativeFrom="column">
                  <wp:posOffset>3566160</wp:posOffset>
                </wp:positionH>
                <wp:positionV relativeFrom="paragraph">
                  <wp:posOffset>4692650</wp:posOffset>
                </wp:positionV>
                <wp:extent cx="330200" cy="92710"/>
                <wp:effectExtent l="10795" t="58420" r="20955" b="58420"/>
                <wp:wrapNone/>
                <wp:docPr id="105" name="矩形 105"/>
                <wp:cNvGraphicFramePr/>
                <a:graphic xmlns:a="http://schemas.openxmlformats.org/drawingml/2006/main">
                  <a:graphicData uri="http://schemas.microsoft.com/office/word/2010/wordprocessingShape">
                    <wps:wsp>
                      <wps:cNvSpPr/>
                      <wps:spPr>
                        <a:xfrm rot="20400000">
                          <a:off x="0" y="0"/>
                          <a:ext cx="330200" cy="92710"/>
                        </a:xfrm>
                        <a:prstGeom prst="rect">
                          <a:avLst/>
                        </a:prstGeom>
                        <a:noFill/>
                        <a:ln w="952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0.8pt;margin-top:369.5pt;height:7.3pt;width:26pt;rotation:-1310720f;z-index:251692032;v-text-anchor:middle;mso-width-relative:page;mso-height-relative:page;" filled="f" stroked="t" coordsize="21600,21600" o:gfxdata="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Y6G5vbAAAACwEAAA8AAAAAAAAAAQAgAAAAIgAAAGRycy9kb3ducmV2LnhtbFBL&#10;AQIUABQAAAAIAIdO4kDIZgYkZQIAAMQEAAAOAAAAAAAAAAEAIAAAACoBAABkcnMvZTJvRG9jLnht&#10;bFBLBQYAAAAABgAGAFkBAAABBgAAAAA=&#10;">
                <v:fill on="f" focussize="0,0"/>
                <v:stroke color="#FF000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91008" behindDoc="0" locked="0" layoutInCell="1" allowOverlap="1">
                <wp:simplePos x="0" y="0"/>
                <wp:positionH relativeFrom="column">
                  <wp:posOffset>3308350</wp:posOffset>
                </wp:positionH>
                <wp:positionV relativeFrom="paragraph">
                  <wp:posOffset>4451350</wp:posOffset>
                </wp:positionV>
                <wp:extent cx="142240" cy="334010"/>
                <wp:effectExtent l="57785" t="19050" r="66675" b="27940"/>
                <wp:wrapNone/>
                <wp:docPr id="104" name="矩形 104"/>
                <wp:cNvGraphicFramePr/>
                <a:graphic xmlns:a="http://schemas.openxmlformats.org/drawingml/2006/main">
                  <a:graphicData uri="http://schemas.microsoft.com/office/word/2010/wordprocessingShape">
                    <wps:wsp>
                      <wps:cNvSpPr/>
                      <wps:spPr>
                        <a:xfrm rot="20400000">
                          <a:off x="0" y="0"/>
                          <a:ext cx="142240" cy="334010"/>
                        </a:xfrm>
                        <a:prstGeom prst="rect">
                          <a:avLst/>
                        </a:prstGeom>
                        <a:noFill/>
                        <a:ln w="952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0.5pt;margin-top:350.5pt;height:26.3pt;width:11.2pt;rotation:-1310720f;z-index:251691008;v-text-anchor:middle;mso-width-relative:page;mso-height-relative:page;" filled="f" stroked="t" coordsize="21600,21600" o:gfxdata="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hnEIP3AAAAAsBAAAPAAAAAAAAAAEAIAAAACIAAABkcnMvZG93bnJldi54bWxQ&#10;SwECFAAUAAAACACHTuJAJzkYWmUCAADFBAAADgAAAAAAAAABACAAAAArAQAAZHJzL2Uyb0RvYy54&#10;bWxQSwUGAAAAAAYABgBZAQAAAgYAAAAA&#10;">
                <v:fill on="f" focussize="0,0"/>
                <v:stroke color="#FF000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89984" behindDoc="0" locked="0" layoutInCell="1" allowOverlap="1">
                <wp:simplePos x="0" y="0"/>
                <wp:positionH relativeFrom="column">
                  <wp:posOffset>2892425</wp:posOffset>
                </wp:positionH>
                <wp:positionV relativeFrom="paragraph">
                  <wp:posOffset>4209415</wp:posOffset>
                </wp:positionV>
                <wp:extent cx="193675" cy="336550"/>
                <wp:effectExtent l="53975" t="27305" r="57150" b="36195"/>
                <wp:wrapNone/>
                <wp:docPr id="103" name="矩形 103"/>
                <wp:cNvGraphicFramePr/>
                <a:graphic xmlns:a="http://schemas.openxmlformats.org/drawingml/2006/main">
                  <a:graphicData uri="http://schemas.microsoft.com/office/word/2010/wordprocessingShape">
                    <wps:wsp>
                      <wps:cNvSpPr/>
                      <wps:spPr>
                        <a:xfrm rot="20460000">
                          <a:off x="0" y="0"/>
                          <a:ext cx="193675" cy="336550"/>
                        </a:xfrm>
                        <a:prstGeom prst="rect">
                          <a:avLst/>
                        </a:prstGeom>
                        <a:noFill/>
                        <a:ln w="952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7.75pt;margin-top:331.45pt;height:26.5pt;width:15.25pt;rotation:-1245184f;z-index:251689984;v-text-anchor:middle;mso-width-relative:page;mso-height-relative:page;" filled="f" stroked="t" coordsize="21600,21600" o:gfxdata="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Mr+Spd0AAAALAQAADwAAAAAAAAABACAAAAAiAAAAZHJzL2Rvd25yZXYu&#10;eG1sUEsBAhQAFAAAAAgAh07iQA4ehWZoAgAAxQQAAA4AAAAAAAAAAQAgAAAALAEAAGRycy9lMm9E&#10;b2MueG1sUEsFBgAAAAAGAAYAWQEAAAYGAAAAAA==&#10;">
                <v:fill on="f" focussize="0,0"/>
                <v:stroke color="#FF000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88960" behindDoc="0" locked="0" layoutInCell="1" allowOverlap="1">
                <wp:simplePos x="0" y="0"/>
                <wp:positionH relativeFrom="column">
                  <wp:posOffset>2122805</wp:posOffset>
                </wp:positionH>
                <wp:positionV relativeFrom="paragraph">
                  <wp:posOffset>3719830</wp:posOffset>
                </wp:positionV>
                <wp:extent cx="844550" cy="654050"/>
                <wp:effectExtent l="4445" t="4445" r="8255" b="8255"/>
                <wp:wrapNone/>
                <wp:docPr id="102" name="任意多边形 102"/>
                <wp:cNvGraphicFramePr/>
                <a:graphic xmlns:a="http://schemas.openxmlformats.org/drawingml/2006/main">
                  <a:graphicData uri="http://schemas.microsoft.com/office/word/2010/wordprocessingShape">
                    <wps:wsp>
                      <wps:cNvSpPr/>
                      <wps:spPr>
                        <a:xfrm>
                          <a:off x="3265805" y="4634230"/>
                          <a:ext cx="844550" cy="654050"/>
                        </a:xfrm>
                        <a:custGeom>
                          <a:avLst/>
                          <a:gdLst>
                            <a:gd name="connisteX0" fmla="*/ 0 w 844550"/>
                            <a:gd name="connsiteY0" fmla="*/ 247650 h 654050"/>
                            <a:gd name="connisteX1" fmla="*/ 711200 w 844550"/>
                            <a:gd name="connsiteY1" fmla="*/ 0 h 654050"/>
                            <a:gd name="connisteX2" fmla="*/ 844550 w 844550"/>
                            <a:gd name="connsiteY2" fmla="*/ 381000 h 654050"/>
                            <a:gd name="connisteX3" fmla="*/ 184150 w 844550"/>
                            <a:gd name="connsiteY3" fmla="*/ 654050 h 654050"/>
                            <a:gd name="connisteX4" fmla="*/ 50800 w 844550"/>
                            <a:gd name="connsiteY4" fmla="*/ 431800 h 654050"/>
                            <a:gd name="connisteX5" fmla="*/ 0 w 844550"/>
                            <a:gd name="connsiteY5" fmla="*/ 247650 h 6540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844550" h="654050">
                              <a:moveTo>
                                <a:pt x="0" y="247650"/>
                              </a:moveTo>
                              <a:lnTo>
                                <a:pt x="711200" y="0"/>
                              </a:lnTo>
                              <a:lnTo>
                                <a:pt x="844550" y="381000"/>
                              </a:lnTo>
                              <a:lnTo>
                                <a:pt x="184150" y="654050"/>
                              </a:lnTo>
                              <a:lnTo>
                                <a:pt x="50800" y="431800"/>
                              </a:lnTo>
                              <a:lnTo>
                                <a:pt x="0" y="247650"/>
                              </a:lnTo>
                              <a:close/>
                            </a:path>
                          </a:pathLst>
                        </a:custGeom>
                        <a:no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67.15pt;margin-top:292.9pt;height:51.5pt;width:66.5pt;z-index:251688960;mso-width-relative:page;mso-height-relative:page;" filled="f" stroked="t" coordsize="844550,654050" o:gfxdata="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FSSRA/aAAAA&#10;CwEAAA8AAAAAAAAAAQAgAAAAIgAAAGRycy9kb3ducmV2LnhtbFBLAQIUABQAAAAIAIdO4kCwhuu4&#10;OAMAAAcJAAAOAAAAAAAAAAEAIAAAACkBAABkcnMvZTJvRG9jLnhtbFBLBQYAAAAABgAGAFkBAADT&#10;BgAAAAA=&#10;" path="m0,247650l711200,0,844550,381000,184150,654050,50800,431800,0,247650xe">
                <v:path o:connectlocs="0,247650;711200,0;844550,381000;184150,654050;50800,431800;0,247650" o:connectangles="0,0,0,0,0,0"/>
                <v:fill on="f" focussize="0,0"/>
                <v:stroke color="#00B050 [2404]" joinstyle="round"/>
                <v:imagedata o:title=""/>
                <o:lock v:ext="edit" aspectratio="f"/>
              </v:shape>
            </w:pict>
          </mc:Fallback>
        </mc:AlternateContent>
      </w:r>
      <w:r>
        <w:rPr>
          <w:color w:val="auto"/>
          <w:sz w:val="21"/>
          <w:highlight w:val="none"/>
        </w:rPr>
        <mc:AlternateContent>
          <mc:Choice Requires="wps">
            <w:drawing>
              <wp:anchor distT="0" distB="0" distL="114300" distR="114300" simplePos="0" relativeHeight="251687936" behindDoc="0" locked="0" layoutInCell="1" allowOverlap="1">
                <wp:simplePos x="0" y="0"/>
                <wp:positionH relativeFrom="column">
                  <wp:posOffset>1652905</wp:posOffset>
                </wp:positionH>
                <wp:positionV relativeFrom="paragraph">
                  <wp:posOffset>2994660</wp:posOffset>
                </wp:positionV>
                <wp:extent cx="1136650" cy="908050"/>
                <wp:effectExtent l="4445" t="4445" r="20955" b="20955"/>
                <wp:wrapNone/>
                <wp:docPr id="99" name="任意多边形 99"/>
                <wp:cNvGraphicFramePr/>
                <a:graphic xmlns:a="http://schemas.openxmlformats.org/drawingml/2006/main">
                  <a:graphicData uri="http://schemas.microsoft.com/office/word/2010/wordprocessingShape">
                    <wps:wsp>
                      <wps:cNvSpPr/>
                      <wps:spPr>
                        <a:xfrm>
                          <a:off x="2795905" y="3909060"/>
                          <a:ext cx="1136650" cy="908050"/>
                        </a:xfrm>
                        <a:custGeom>
                          <a:avLst/>
                          <a:gdLst>
                            <a:gd name="connisteX0" fmla="*/ 44450 w 1136650"/>
                            <a:gd name="connsiteY0" fmla="*/ 323850 h 908050"/>
                            <a:gd name="connisteX1" fmla="*/ 889000 w 1136650"/>
                            <a:gd name="connsiteY1" fmla="*/ 0 h 908050"/>
                            <a:gd name="connisteX2" fmla="*/ 1136650 w 1136650"/>
                            <a:gd name="connsiteY2" fmla="*/ 641350 h 908050"/>
                            <a:gd name="connisteX3" fmla="*/ 374650 w 1136650"/>
                            <a:gd name="connsiteY3" fmla="*/ 908050 h 908050"/>
                            <a:gd name="connisteX4" fmla="*/ 69850 w 1136650"/>
                            <a:gd name="connsiteY4" fmla="*/ 520700 h 908050"/>
                            <a:gd name="connisteX5" fmla="*/ 0 w 1136650"/>
                            <a:gd name="connsiteY5" fmla="*/ 330200 h 908050"/>
                            <a:gd name="connisteX6" fmla="*/ 44450 w 1136650"/>
                            <a:gd name="connsiteY6" fmla="*/ 323850 h 9080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1136650" h="908050">
                              <a:moveTo>
                                <a:pt x="44450" y="323850"/>
                              </a:moveTo>
                              <a:lnTo>
                                <a:pt x="889000" y="0"/>
                              </a:lnTo>
                              <a:lnTo>
                                <a:pt x="1136650" y="641350"/>
                              </a:lnTo>
                              <a:lnTo>
                                <a:pt x="374650" y="908050"/>
                              </a:lnTo>
                              <a:lnTo>
                                <a:pt x="69850" y="520700"/>
                              </a:lnTo>
                              <a:lnTo>
                                <a:pt x="0" y="330200"/>
                              </a:lnTo>
                              <a:lnTo>
                                <a:pt x="44450" y="323850"/>
                              </a:lnTo>
                              <a:close/>
                            </a:path>
                          </a:pathLst>
                        </a:custGeom>
                        <a:no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30.15pt;margin-top:235.8pt;height:71.5pt;width:89.5pt;z-index:251687936;mso-width-relative:page;mso-height-relative:page;" filled="f" stroked="t" coordsize="1136650,908050" o:gfxdata="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" path="m44450,323850l889000,0,1136650,641350,374650,908050,69850,520700,0,330200,44450,323850xe">
                <v:path o:connectlocs="44450,323850;889000,0;1136650,641350;374650,908050;69850,520700;0,330200;44450,323850" o:connectangles="0,0,0,0,0,0,0"/>
                <v:fill on="f" focussize="0,0"/>
                <v:stroke color="#00B050 [2404]" joinstyle="round"/>
                <v:imagedata o:title=""/>
                <o:lock v:ext="edit" aspectratio="f"/>
              </v:shape>
            </w:pict>
          </mc:Fallback>
        </mc:AlternateContent>
      </w:r>
      <w:r>
        <w:rPr>
          <w:color w:val="auto"/>
          <w:sz w:val="21"/>
          <w:highlight w:val="none"/>
        </w:rPr>
        <mc:AlternateContent>
          <mc:Choice Requires="wps">
            <w:drawing>
              <wp:anchor distT="0" distB="0" distL="114300" distR="114300" simplePos="0" relativeHeight="251686912" behindDoc="0" locked="0" layoutInCell="1" allowOverlap="1">
                <wp:simplePos x="0" y="0"/>
                <wp:positionH relativeFrom="column">
                  <wp:posOffset>3328670</wp:posOffset>
                </wp:positionH>
                <wp:positionV relativeFrom="paragraph">
                  <wp:posOffset>3609975</wp:posOffset>
                </wp:positionV>
                <wp:extent cx="959485" cy="1007110"/>
                <wp:effectExtent l="142875" t="133350" r="154940" b="135890"/>
                <wp:wrapNone/>
                <wp:docPr id="98" name="矩形 98"/>
                <wp:cNvGraphicFramePr/>
                <a:graphic xmlns:a="http://schemas.openxmlformats.org/drawingml/2006/main">
                  <a:graphicData uri="http://schemas.microsoft.com/office/word/2010/wordprocessingShape">
                    <wps:wsp>
                      <wps:cNvSpPr/>
                      <wps:spPr>
                        <a:xfrm rot="20460000">
                          <a:off x="0" y="0"/>
                          <a:ext cx="959485" cy="1007110"/>
                        </a:xfrm>
                        <a:prstGeom prst="rect">
                          <a:avLst/>
                        </a:prstGeom>
                        <a:noFill/>
                        <a:ln w="952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2.1pt;margin-top:284.25pt;height:79.3pt;width:75.55pt;rotation:-1245184f;z-index:251686912;v-text-anchor:middle;mso-width-relative:page;mso-height-relative:page;" filled="f" stroked="t" coordsize="21600,21600" o:gfxdata="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Idt833QAAAAsBAAAPAAAAAAAAAAEAIAAAACIAAABkcnMvZG93bnJldi54&#10;bWxQSwECFAAUAAAACACHTuJAesY86WcCAADEBAAADgAAAAAAAAABACAAAAAsAQAAZHJzL2Uyb0Rv&#10;Yy54bWxQSwUGAAAAAAYABgBZAQAABQYAAAAA&#10;">
                <v:fill on="f" focussize="0,0"/>
                <v:stroke color="#FF000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85888" behindDoc="0" locked="0" layoutInCell="1" allowOverlap="1">
                <wp:simplePos x="0" y="0"/>
                <wp:positionH relativeFrom="column">
                  <wp:posOffset>2976245</wp:posOffset>
                </wp:positionH>
                <wp:positionV relativeFrom="paragraph">
                  <wp:posOffset>2966720</wp:posOffset>
                </wp:positionV>
                <wp:extent cx="987425" cy="566420"/>
                <wp:effectExtent l="69850" t="149860" r="85725" b="160020"/>
                <wp:wrapNone/>
                <wp:docPr id="97" name="矩形 97"/>
                <wp:cNvGraphicFramePr/>
                <a:graphic xmlns:a="http://schemas.openxmlformats.org/drawingml/2006/main">
                  <a:graphicData uri="http://schemas.microsoft.com/office/word/2010/wordprocessingShape">
                    <wps:wsp>
                      <wps:cNvSpPr/>
                      <wps:spPr>
                        <a:xfrm rot="20460000">
                          <a:off x="0" y="0"/>
                          <a:ext cx="987425" cy="566420"/>
                        </a:xfrm>
                        <a:prstGeom prst="rect">
                          <a:avLst/>
                        </a:prstGeom>
                        <a:no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4.35pt;margin-top:233.6pt;height:44.6pt;width:77.75pt;rotation:-1245184f;z-index:251685888;v-text-anchor:middle;mso-width-relative:page;mso-height-relative:page;" filled="f" stroked="t" coordsize="21600,21600" o:gfxdata="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NQz/vdoAAAALAQAADwAAAAAAAAABACAAAAAiAAAAZHJzL2Rvd25yZXYueG1s&#10;UEsBAhQAFAAAAAgAh07iQDE1ODFoAgAAwwQAAA4AAAAAAAAAAQAgAAAAKQEAAGRycy9lMm9Eb2Mu&#10;eG1sUEsFBgAAAAAGAAYAWQEAAAMGAAAAAA==&#10;">
                <v:fill on="f" focussize="0,0"/>
                <v:stroke color="#00B05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84864" behindDoc="0" locked="0" layoutInCell="1" allowOverlap="1">
                <wp:simplePos x="0" y="0"/>
                <wp:positionH relativeFrom="column">
                  <wp:posOffset>2795905</wp:posOffset>
                </wp:positionH>
                <wp:positionV relativeFrom="paragraph">
                  <wp:posOffset>2482215</wp:posOffset>
                </wp:positionV>
                <wp:extent cx="986155" cy="264795"/>
                <wp:effectExtent l="20955" t="158115" r="21590" b="167640"/>
                <wp:wrapNone/>
                <wp:docPr id="96" name="矩形 96"/>
                <wp:cNvGraphicFramePr/>
                <a:graphic xmlns:a="http://schemas.openxmlformats.org/drawingml/2006/main">
                  <a:graphicData uri="http://schemas.microsoft.com/office/word/2010/wordprocessingShape">
                    <wps:wsp>
                      <wps:cNvSpPr/>
                      <wps:spPr>
                        <a:xfrm rot="20460000">
                          <a:off x="0" y="0"/>
                          <a:ext cx="986155" cy="264795"/>
                        </a:xfrm>
                        <a:prstGeom prst="rect">
                          <a:avLst/>
                        </a:prstGeom>
                        <a:noFill/>
                        <a:ln w="952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0.15pt;margin-top:195.45pt;height:20.85pt;width:77.65pt;rotation:-1245184f;z-index:251684864;v-text-anchor:middle;mso-width-relative:page;mso-height-relative:page;" filled="f" stroked="t" coordsize="21600,21600" o:gfxdata="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GaR7y3dAAAACwEAAA8AAAAAAAAAAQAgAAAAIgAAAGRycy9kb3ducmV2Lnht&#10;bFBLAQIUABQAAAAIAIdO4kAX4Mq6ZgIAAMMEAAAOAAAAAAAAAAEAIAAAACwBAABkcnMvZTJvRG9j&#10;LnhtbFBLBQYAAAAABgAGAFkBAAAEBgAAAAA=&#10;">
                <v:fill on="f" focussize="0,0"/>
                <v:stroke color="#FF000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83840" behindDoc="0" locked="0" layoutInCell="1" allowOverlap="1">
                <wp:simplePos x="0" y="0"/>
                <wp:positionH relativeFrom="column">
                  <wp:posOffset>2086610</wp:posOffset>
                </wp:positionH>
                <wp:positionV relativeFrom="paragraph">
                  <wp:posOffset>2716530</wp:posOffset>
                </wp:positionV>
                <wp:extent cx="319405" cy="219075"/>
                <wp:effectExtent l="31750" t="50800" r="48895" b="53975"/>
                <wp:wrapNone/>
                <wp:docPr id="95" name="矩形 95"/>
                <wp:cNvGraphicFramePr/>
                <a:graphic xmlns:a="http://schemas.openxmlformats.org/drawingml/2006/main">
                  <a:graphicData uri="http://schemas.microsoft.com/office/word/2010/wordprocessingShape">
                    <wps:wsp>
                      <wps:cNvSpPr/>
                      <wps:spPr>
                        <a:xfrm rot="20460000">
                          <a:off x="0" y="0"/>
                          <a:ext cx="319405" cy="219075"/>
                        </a:xfrm>
                        <a:prstGeom prst="rect">
                          <a:avLst/>
                        </a:prstGeom>
                        <a:no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4.3pt;margin-top:213.9pt;height:17.25pt;width:25.15pt;rotation:-1245184f;z-index:251683840;v-text-anchor:middle;mso-width-relative:page;mso-height-relative:page;" filled="f" stroked="t" coordsize="21600,21600" o:gfxdata="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miRK/bAAAACwEAAA8AAAAAAAAAAQAgAAAAIgAAAGRycy9kb3ducmV2Lnht&#10;bFBLAQIUABQAAAAIAIdO4kBpAS2QaAIAAMMEAAAOAAAAAAAAAAEAIAAAACoBAABkcnMvZTJvRG9j&#10;LnhtbFBLBQYAAAAABgAGAFkBAAAEBgAAAAA=&#10;">
                <v:fill on="f" focussize="0,0"/>
                <v:stroke color="#00B05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82816" behindDoc="0" locked="0" layoutInCell="1" allowOverlap="1">
                <wp:simplePos x="0" y="0"/>
                <wp:positionH relativeFrom="column">
                  <wp:posOffset>1844675</wp:posOffset>
                </wp:positionH>
                <wp:positionV relativeFrom="paragraph">
                  <wp:posOffset>2842260</wp:posOffset>
                </wp:positionV>
                <wp:extent cx="131445" cy="221615"/>
                <wp:effectExtent l="37465" t="20320" r="40640" b="24765"/>
                <wp:wrapNone/>
                <wp:docPr id="94" name="矩形 94"/>
                <wp:cNvGraphicFramePr/>
                <a:graphic xmlns:a="http://schemas.openxmlformats.org/drawingml/2006/main">
                  <a:graphicData uri="http://schemas.microsoft.com/office/word/2010/wordprocessingShape">
                    <wps:wsp>
                      <wps:cNvSpPr/>
                      <wps:spPr>
                        <a:xfrm rot="20460000">
                          <a:off x="0" y="0"/>
                          <a:ext cx="131445" cy="221615"/>
                        </a:xfrm>
                        <a:prstGeom prst="rect">
                          <a:avLst/>
                        </a:prstGeom>
                        <a:no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25pt;margin-top:223.8pt;height:17.45pt;width:10.35pt;rotation:-1245184f;z-index:251682816;v-text-anchor:middle;mso-width-relative:page;mso-height-relative:page;" filled="f" stroked="t" coordsize="21600,21600" o:gfxdata="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43GYPNsAAAALAQAADwAAAAAAAAABACAAAAAiAAAAZHJzL2Rvd25yZXYueG1s&#10;UEsBAhQAFAAAAAgAh07iQJNLxKVnAgAAwwQAAA4AAAAAAAAAAQAgAAAAKgEAAGRycy9lMm9Eb2Mu&#10;eG1sUEsFBgAAAAAGAAYAWQEAAAMGAAAAAA==&#10;">
                <v:fill on="f" focussize="0,0"/>
                <v:stroke color="#00B05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81792" behindDoc="0" locked="0" layoutInCell="1" allowOverlap="1">
                <wp:simplePos x="0" y="0"/>
                <wp:positionH relativeFrom="column">
                  <wp:posOffset>1438275</wp:posOffset>
                </wp:positionH>
                <wp:positionV relativeFrom="paragraph">
                  <wp:posOffset>3049905</wp:posOffset>
                </wp:positionV>
                <wp:extent cx="163195" cy="111125"/>
                <wp:effectExtent l="18415" t="28575" r="27940" b="31750"/>
                <wp:wrapNone/>
                <wp:docPr id="93" name="矩形 93"/>
                <wp:cNvGraphicFramePr/>
                <a:graphic xmlns:a="http://schemas.openxmlformats.org/drawingml/2006/main">
                  <a:graphicData uri="http://schemas.microsoft.com/office/word/2010/wordprocessingShape">
                    <wps:wsp>
                      <wps:cNvSpPr/>
                      <wps:spPr>
                        <a:xfrm rot="20460000">
                          <a:off x="0" y="0"/>
                          <a:ext cx="163195" cy="111125"/>
                        </a:xfrm>
                        <a:prstGeom prst="rect">
                          <a:avLst/>
                        </a:prstGeom>
                        <a:no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25pt;margin-top:240.15pt;height:8.75pt;width:12.85pt;rotation:-1245184f;z-index:251681792;v-text-anchor:middle;mso-width-relative:page;mso-height-relative:page;" filled="f" stroked="t" coordsize="21600,21600" o:gfxdata="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BaxOdsAAAALAQAADwAAAAAAAAABACAAAAAiAAAAZHJzL2Rvd25yZXYueG1s&#10;UEsBAhQAFAAAAAgAh07iQAxQdkJnAgAAwwQAAA4AAAAAAAAAAQAgAAAAKgEAAGRycy9lMm9Eb2Mu&#10;eG1sUEsFBgAAAAAGAAYAWQEAAAMGAAAAAA==&#10;">
                <v:fill on="f" focussize="0,0"/>
                <v:stroke color="#00B05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80768" behindDoc="0" locked="0" layoutInCell="1" allowOverlap="1">
                <wp:simplePos x="0" y="0"/>
                <wp:positionH relativeFrom="column">
                  <wp:posOffset>1576705</wp:posOffset>
                </wp:positionH>
                <wp:positionV relativeFrom="paragraph">
                  <wp:posOffset>2943860</wp:posOffset>
                </wp:positionV>
                <wp:extent cx="190500" cy="107950"/>
                <wp:effectExtent l="17145" t="33020" r="20955" b="49530"/>
                <wp:wrapNone/>
                <wp:docPr id="92" name="矩形 92"/>
                <wp:cNvGraphicFramePr/>
                <a:graphic xmlns:a="http://schemas.openxmlformats.org/drawingml/2006/main">
                  <a:graphicData uri="http://schemas.microsoft.com/office/word/2010/wordprocessingShape">
                    <wps:wsp>
                      <wps:cNvSpPr/>
                      <wps:spPr>
                        <a:xfrm rot="20460000">
                          <a:off x="0" y="0"/>
                          <a:ext cx="190500" cy="107950"/>
                        </a:xfrm>
                        <a:prstGeom prst="rect">
                          <a:avLst/>
                        </a:prstGeom>
                        <a:no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15pt;margin-top:231.8pt;height:8.5pt;width:15pt;rotation:-1245184f;z-index:251680768;v-text-anchor:middle;mso-width-relative:page;mso-height-relative:page;" filled="f" stroked="t" coordsize="21600,21600" o:gfxdata="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KR8PA9oAAAALAQAADwAAAAAAAAABACAAAAAiAAAAZHJzL2Rvd25yZXYueG1sUEsB&#10;AhQAFAAAAAgAh07iQEuP/BdlAgAAwwQAAA4AAAAAAAAAAQAgAAAAKQEAAGRycy9lMm9Eb2MueG1s&#10;UEsFBgAAAAAGAAYAWQEAAAAGAAAAAA==&#10;">
                <v:fill on="f" focussize="0,0"/>
                <v:stroke color="#00B050 [2404]" joinstyle="round"/>
                <v:imagedata o:title=""/>
                <o:lock v:ext="edit" aspectratio="f"/>
              </v:rect>
            </w:pict>
          </mc:Fallback>
        </mc:AlternateContent>
      </w:r>
      <w:r>
        <w:rPr>
          <w:color w:val="auto"/>
          <w:sz w:val="21"/>
          <w:highlight w:val="none"/>
        </w:rPr>
        <mc:AlternateContent>
          <mc:Choice Requires="wps">
            <w:drawing>
              <wp:anchor distT="0" distB="0" distL="114300" distR="114300" simplePos="0" relativeHeight="251679744" behindDoc="0" locked="0" layoutInCell="1" allowOverlap="1">
                <wp:simplePos x="0" y="0"/>
                <wp:positionH relativeFrom="column">
                  <wp:posOffset>2389505</wp:posOffset>
                </wp:positionH>
                <wp:positionV relativeFrom="paragraph">
                  <wp:posOffset>1793240</wp:posOffset>
                </wp:positionV>
                <wp:extent cx="76200" cy="128270"/>
                <wp:effectExtent l="23495" t="13970" r="33655" b="29210"/>
                <wp:wrapNone/>
                <wp:docPr id="90" name="矩形 90"/>
                <wp:cNvGraphicFramePr/>
                <a:graphic xmlns:a="http://schemas.openxmlformats.org/drawingml/2006/main">
                  <a:graphicData uri="http://schemas.microsoft.com/office/word/2010/wordprocessingShape">
                    <wps:wsp>
                      <wps:cNvSpPr/>
                      <wps:spPr>
                        <a:xfrm rot="20460000">
                          <a:off x="3215005" y="3018790"/>
                          <a:ext cx="76200" cy="128270"/>
                        </a:xfrm>
                        <a:prstGeom prst="rect">
                          <a:avLst/>
                        </a:prstGeom>
                        <a:noFill/>
                        <a:ln w="9525">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8.15pt;margin-top:141.2pt;height:10.1pt;width:6pt;rotation:-1245184f;z-index:251679744;v-text-anchor:middle;mso-width-relative:page;mso-height-relative:page;" filled="f" stroked="t" coordsize="21600,21600" o:gfxdata="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CK1i9dkAAAALAQAADwAAAAAAAAABACAAAAAiAAAAZHJzL2Rv&#10;d25yZXYueG1sUEsBAhQAFAAAAAgAh07iQPWBYL5yAgAAzgQAAA4AAAAAAAAAAQAgAAAAKAEAAGRy&#10;cy9lMm9Eb2MueG1sUEsFBgAAAAAGAAYAWQEAAAwGAAAAAA==&#10;">
                <v:fill on="f" focussize="0,0"/>
                <v:stroke color="#00B050 [2404]" joinstyle="round"/>
                <v:imagedata o:title=""/>
                <o:lock v:ext="edit" aspectratio="f"/>
              </v:rect>
            </w:pict>
          </mc:Fallback>
        </mc:AlternateContent>
      </w:r>
    </w:p>
    <w:p w14:paraId="31B9A488">
      <w:pPr>
        <w:pStyle w:val="3"/>
        <w:keepLines/>
        <w:overflowPunct/>
        <w:snapToGrid/>
        <w:spacing w:before="0" w:after="0" w:line="360" w:lineRule="exact"/>
        <w:rPr>
          <w:rFonts w:eastAsia="宋体"/>
          <w:color w:val="auto"/>
          <w:sz w:val="28"/>
          <w:szCs w:val="28"/>
          <w:highlight w:val="none"/>
        </w:rPr>
      </w:pPr>
      <w:r>
        <w:rPr>
          <w:rFonts w:eastAsia="宋体"/>
          <w:color w:val="auto"/>
          <w:sz w:val="28"/>
          <w:szCs w:val="28"/>
          <w:highlight w:val="none"/>
        </w:rPr>
        <w:t>附图</w:t>
      </w:r>
      <w:r>
        <w:rPr>
          <w:rFonts w:hint="eastAsia" w:eastAsia="宋体"/>
          <w:color w:val="auto"/>
          <w:sz w:val="28"/>
          <w:szCs w:val="28"/>
          <w:highlight w:val="none"/>
          <w:lang w:val="en-US" w:eastAsia="zh-CN"/>
        </w:rPr>
        <w:t>3环境影响评价范围、</w:t>
      </w:r>
      <w:r>
        <w:rPr>
          <w:rFonts w:hint="eastAsia" w:eastAsia="宋体"/>
          <w:color w:val="auto"/>
          <w:sz w:val="28"/>
          <w:szCs w:val="28"/>
          <w:highlight w:val="none"/>
        </w:rPr>
        <w:t>环境敏感目标及</w:t>
      </w:r>
      <w:r>
        <w:rPr>
          <w:rFonts w:eastAsia="宋体"/>
          <w:color w:val="auto"/>
          <w:sz w:val="28"/>
          <w:szCs w:val="28"/>
          <w:highlight w:val="none"/>
        </w:rPr>
        <w:t>四邻关系图</w:t>
      </w:r>
    </w:p>
    <w:p w14:paraId="179EA420">
      <w:pP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8404860" cy="3295015"/>
            <wp:effectExtent l="0" t="0" r="15240" b="635"/>
            <wp:docPr id="148" name="图片 148"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111"/>
                    <pic:cNvPicPr>
                      <a:picLocks noChangeAspect="1"/>
                    </pic:cNvPicPr>
                  </pic:nvPicPr>
                  <pic:blipFill>
                    <a:blip r:embed="rId97"/>
                    <a:stretch>
                      <a:fillRect/>
                    </a:stretch>
                  </pic:blipFill>
                  <pic:spPr>
                    <a:xfrm>
                      <a:off x="0" y="0"/>
                      <a:ext cx="8404860" cy="3295015"/>
                    </a:xfrm>
                    <a:prstGeom prst="rect">
                      <a:avLst/>
                    </a:prstGeom>
                  </pic:spPr>
                </pic:pic>
              </a:graphicData>
            </a:graphic>
          </wp:inline>
        </w:drawing>
      </w:r>
      <w:r>
        <w:rPr>
          <w:color w:val="auto"/>
          <w:sz w:val="24"/>
          <w:highlight w:val="none"/>
        </w:rPr>
        <mc:AlternateContent>
          <mc:Choice Requires="wpg">
            <w:drawing>
              <wp:anchor distT="0" distB="0" distL="114300" distR="114300" simplePos="0" relativeHeight="251720704" behindDoc="0" locked="0" layoutInCell="1" allowOverlap="1">
                <wp:simplePos x="0" y="0"/>
                <wp:positionH relativeFrom="column">
                  <wp:posOffset>6148705</wp:posOffset>
                </wp:positionH>
                <wp:positionV relativeFrom="paragraph">
                  <wp:posOffset>2015490</wp:posOffset>
                </wp:positionV>
                <wp:extent cx="2171700" cy="1200150"/>
                <wp:effectExtent l="4445" t="4445" r="14605" b="14605"/>
                <wp:wrapNone/>
                <wp:docPr id="172" name="组合 172"/>
                <wp:cNvGraphicFramePr/>
                <a:graphic xmlns:a="http://schemas.openxmlformats.org/drawingml/2006/main">
                  <a:graphicData uri="http://schemas.microsoft.com/office/word/2010/wordprocessingGroup">
                    <wpg:wgp>
                      <wpg:cNvGrpSpPr/>
                      <wpg:grpSpPr>
                        <a:xfrm>
                          <a:off x="0" y="0"/>
                          <a:ext cx="2171700" cy="1200150"/>
                          <a:chOff x="11766" y="1964108"/>
                          <a:chExt cx="3420" cy="1890"/>
                        </a:xfrm>
                      </wpg:grpSpPr>
                      <wps:wsp>
                        <wps:cNvPr id="165" name="文本框 165"/>
                        <wps:cNvSpPr txBox="1"/>
                        <wps:spPr>
                          <a:xfrm>
                            <a:off x="11766" y="1964108"/>
                            <a:ext cx="3420" cy="18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3739975">
                              <w:pPr>
                                <w:jc w:val="center"/>
                                <w:rPr>
                                  <w:rFonts w:hint="eastAsia"/>
                                  <w:lang w:val="en-US" w:eastAsia="zh-CN"/>
                                </w:rPr>
                              </w:pPr>
                              <w:r>
                                <w:rPr>
                                  <w:rFonts w:hint="eastAsia"/>
                                  <w:lang w:val="en-US" w:eastAsia="zh-CN"/>
                                </w:rPr>
                                <w:t>图例</w:t>
                              </w:r>
                            </w:p>
                            <w:p w14:paraId="2908EF97">
                              <w:pPr>
                                <w:jc w:val="right"/>
                                <w:rPr>
                                  <w:rFonts w:hint="eastAsia"/>
                                  <w:lang w:val="en-US" w:eastAsia="zh-CN"/>
                                </w:rPr>
                              </w:pPr>
                              <w:r>
                                <w:rPr>
                                  <w:rFonts w:hint="eastAsia"/>
                                  <w:lang w:val="en-US" w:eastAsia="zh-CN"/>
                                </w:rPr>
                                <w:t>大气环境影响评价范围</w:t>
                              </w:r>
                            </w:p>
                            <w:p w14:paraId="32A21579">
                              <w:pPr>
                                <w:jc w:val="right"/>
                                <w:rPr>
                                  <w:rFonts w:hint="eastAsia"/>
                                  <w:lang w:val="en-US" w:eastAsia="zh-CN"/>
                                </w:rPr>
                              </w:pPr>
                              <w:r>
                                <w:rPr>
                                  <w:rFonts w:hint="eastAsia"/>
                                  <w:lang w:val="en-US" w:eastAsia="zh-CN"/>
                                </w:rPr>
                                <w:t>声环境影响评价范围（50m）</w:t>
                              </w:r>
                            </w:p>
                            <w:p w14:paraId="3C8FDE34">
                              <w:pPr>
                                <w:jc w:val="right"/>
                                <w:rPr>
                                  <w:rFonts w:hint="eastAsia"/>
                                  <w:lang w:val="en-US" w:eastAsia="zh-CN"/>
                                </w:rPr>
                              </w:pPr>
                              <w:r>
                                <w:rPr>
                                  <w:rFonts w:hint="eastAsia"/>
                                  <w:lang w:val="en-US" w:eastAsia="zh-CN"/>
                                </w:rPr>
                                <w:t>环境敏感目标</w:t>
                              </w:r>
                            </w:p>
                            <w:p w14:paraId="31D1C0D2">
                              <w:pPr>
                                <w:jc w:val="right"/>
                                <w:rPr>
                                  <w:rFonts w:hint="eastAsia"/>
                                  <w:lang w:val="en-US" w:eastAsia="zh-CN"/>
                                </w:rPr>
                              </w:pPr>
                              <w:r>
                                <w:rPr>
                                  <w:rFonts w:hint="eastAsia"/>
                                  <w:lang w:val="en-US" w:eastAsia="zh-CN"/>
                                </w:rPr>
                                <w:t>项目所在地</w:t>
                              </w:r>
                            </w:p>
                            <w:p w14:paraId="3AF288D8">
                              <w:pPr>
                                <w:jc w:val="center"/>
                                <w:rPr>
                                  <w:rFonts w:hint="default"/>
                                  <w:lang w:val="en-US" w:eastAsia="zh-CN"/>
                                </w:rPr>
                              </w:pPr>
                              <w:r>
                                <w:rPr>
                                  <w:rFonts w:hint="eastAsia"/>
                                  <w:lang w:val="en-US" w:eastAsia="zh-CN"/>
                                </w:rPr>
                                <w:t>比例尺1:5000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70" name="组合 170"/>
                        <wpg:cNvGrpSpPr/>
                        <wpg:grpSpPr>
                          <a:xfrm>
                            <a:off x="11796" y="1964555"/>
                            <a:ext cx="2069" cy="930"/>
                            <a:chOff x="11796" y="1964555"/>
                            <a:chExt cx="2069" cy="930"/>
                          </a:xfrm>
                        </wpg:grpSpPr>
                        <wps:wsp>
                          <wps:cNvPr id="166" name="直接连接符 166"/>
                          <wps:cNvCnPr/>
                          <wps:spPr>
                            <a:xfrm>
                              <a:off x="12021" y="1964555"/>
                              <a:ext cx="645" cy="0"/>
                            </a:xfrm>
                            <a:prstGeom prst="line">
                              <a:avLst/>
                            </a:prstGeom>
                            <a:ln>
                              <a:solidFill>
                                <a:srgbClr val="FFFF00"/>
                              </a:solidFill>
                            </a:ln>
                          </wps:spPr>
                          <wps:style>
                            <a:lnRef idx="2">
                              <a:schemeClr val="accent1"/>
                            </a:lnRef>
                            <a:fillRef idx="0">
                              <a:srgbClr val="FFFFFF"/>
                            </a:fillRef>
                            <a:effectRef idx="0">
                              <a:srgbClr val="FFFFFF"/>
                            </a:effectRef>
                            <a:fontRef idx="minor">
                              <a:schemeClr val="tx1"/>
                            </a:fontRef>
                          </wps:style>
                          <wps:bodyPr/>
                        </wps:wsp>
                        <wps:wsp>
                          <wps:cNvPr id="168" name="任意多边形 168"/>
                          <wps:cNvSpPr/>
                          <wps:spPr>
                            <a:xfrm>
                              <a:off x="13367" y="1965009"/>
                              <a:ext cx="353" cy="282"/>
                            </a:xfrm>
                            <a:custGeom>
                              <a:avLst/>
                              <a:gdLst>
                                <a:gd name="connisteX0" fmla="*/ 0 w 594995"/>
                                <a:gd name="connsiteY0" fmla="*/ 47625 h 845185"/>
                                <a:gd name="connisteX1" fmla="*/ 469900 w 594995"/>
                                <a:gd name="connsiteY1" fmla="*/ 0 h 845185"/>
                                <a:gd name="connisteX2" fmla="*/ 594995 w 594995"/>
                                <a:gd name="connsiteY2" fmla="*/ 797560 h 845185"/>
                                <a:gd name="connisteX3" fmla="*/ 178435 w 594995"/>
                                <a:gd name="connsiteY3" fmla="*/ 845185 h 845185"/>
                                <a:gd name="connisteX4" fmla="*/ 0 w 594995"/>
                                <a:gd name="connsiteY4" fmla="*/ 47625 h 84518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594995" h="845185">
                                  <a:moveTo>
                                    <a:pt x="0" y="47625"/>
                                  </a:moveTo>
                                  <a:lnTo>
                                    <a:pt x="469900" y="0"/>
                                  </a:lnTo>
                                  <a:lnTo>
                                    <a:pt x="594995" y="797560"/>
                                  </a:lnTo>
                                  <a:lnTo>
                                    <a:pt x="178435" y="845185"/>
                                  </a:lnTo>
                                  <a:lnTo>
                                    <a:pt x="0" y="47625"/>
                                  </a:lnTo>
                                  <a:close/>
                                </a:path>
                              </a:pathLst>
                            </a:custGeom>
                            <a:solidFill>
                              <a:srgbClr val="FFFF00">
                                <a:alpha val="25000"/>
                              </a:srgbClr>
                            </a:solidFill>
                            <a:ln w="952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wps:wsp>
                          <wps:cNvPr id="167" name="直接连接符 167"/>
                          <wps:cNvCnPr/>
                          <wps:spPr>
                            <a:xfrm>
                              <a:off x="13371" y="1965485"/>
                              <a:ext cx="495"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wps:wsp>
                          <wps:cNvPr id="169" name="直接连接符 169"/>
                          <wps:cNvCnPr/>
                          <wps:spPr>
                            <a:xfrm>
                              <a:off x="11796" y="1964855"/>
                              <a:ext cx="405" cy="14"/>
                            </a:xfrm>
                            <a:prstGeom prst="line">
                              <a:avLst/>
                            </a:prstGeom>
                            <a:ln>
                              <a:solidFill>
                                <a:srgbClr val="00B050"/>
                              </a:solidFill>
                            </a:ln>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id="_x0000_s1026" o:spid="_x0000_s1026" o:spt="203" style="position:absolute;left:0pt;margin-left:484.15pt;margin-top:158.7pt;height:94.5pt;width:171pt;z-index:251720704;mso-width-relative:page;mso-height-relative:page;" coordorigin="11766,1964108" coordsize="3420,1890" o:gfxdata="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">
                <o:lock v:ext="edit" aspectratio="f"/>
                <v:shape id="_x0000_s1026" o:spid="_x0000_s1026" o:spt="202" type="#_x0000_t202" style="position:absolute;left:11766;top:1964108;height:1890;width:3420;" fillcolor="#FFFFFF [3201]" filled="t" stroked="t" coordsize="21600,21600" o:gfxdata="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QxQDr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53739975">
                        <w:pPr>
                          <w:jc w:val="center"/>
                          <w:rPr>
                            <w:rFonts w:hint="eastAsia"/>
                            <w:lang w:val="en-US" w:eastAsia="zh-CN"/>
                          </w:rPr>
                        </w:pPr>
                        <w:r>
                          <w:rPr>
                            <w:rFonts w:hint="eastAsia"/>
                            <w:lang w:val="en-US" w:eastAsia="zh-CN"/>
                          </w:rPr>
                          <w:t>图例</w:t>
                        </w:r>
                      </w:p>
                      <w:p w14:paraId="2908EF97">
                        <w:pPr>
                          <w:jc w:val="right"/>
                          <w:rPr>
                            <w:rFonts w:hint="eastAsia"/>
                            <w:lang w:val="en-US" w:eastAsia="zh-CN"/>
                          </w:rPr>
                        </w:pPr>
                        <w:r>
                          <w:rPr>
                            <w:rFonts w:hint="eastAsia"/>
                            <w:lang w:val="en-US" w:eastAsia="zh-CN"/>
                          </w:rPr>
                          <w:t>大气环境影响评价范围</w:t>
                        </w:r>
                      </w:p>
                      <w:p w14:paraId="32A21579">
                        <w:pPr>
                          <w:jc w:val="right"/>
                          <w:rPr>
                            <w:rFonts w:hint="eastAsia"/>
                            <w:lang w:val="en-US" w:eastAsia="zh-CN"/>
                          </w:rPr>
                        </w:pPr>
                        <w:r>
                          <w:rPr>
                            <w:rFonts w:hint="eastAsia"/>
                            <w:lang w:val="en-US" w:eastAsia="zh-CN"/>
                          </w:rPr>
                          <w:t>声环境影响评价范围（50m）</w:t>
                        </w:r>
                      </w:p>
                      <w:p w14:paraId="3C8FDE34">
                        <w:pPr>
                          <w:jc w:val="right"/>
                          <w:rPr>
                            <w:rFonts w:hint="eastAsia"/>
                            <w:lang w:val="en-US" w:eastAsia="zh-CN"/>
                          </w:rPr>
                        </w:pPr>
                        <w:r>
                          <w:rPr>
                            <w:rFonts w:hint="eastAsia"/>
                            <w:lang w:val="en-US" w:eastAsia="zh-CN"/>
                          </w:rPr>
                          <w:t>环境敏感目标</w:t>
                        </w:r>
                      </w:p>
                      <w:p w14:paraId="31D1C0D2">
                        <w:pPr>
                          <w:jc w:val="right"/>
                          <w:rPr>
                            <w:rFonts w:hint="eastAsia"/>
                            <w:lang w:val="en-US" w:eastAsia="zh-CN"/>
                          </w:rPr>
                        </w:pPr>
                        <w:r>
                          <w:rPr>
                            <w:rFonts w:hint="eastAsia"/>
                            <w:lang w:val="en-US" w:eastAsia="zh-CN"/>
                          </w:rPr>
                          <w:t>项目所在地</w:t>
                        </w:r>
                      </w:p>
                      <w:p w14:paraId="3AF288D8">
                        <w:pPr>
                          <w:jc w:val="center"/>
                          <w:rPr>
                            <w:rFonts w:hint="default"/>
                            <w:lang w:val="en-US" w:eastAsia="zh-CN"/>
                          </w:rPr>
                        </w:pPr>
                        <w:r>
                          <w:rPr>
                            <w:rFonts w:hint="eastAsia"/>
                            <w:lang w:val="en-US" w:eastAsia="zh-CN"/>
                          </w:rPr>
                          <w:t>比例尺1:5000</w:t>
                        </w:r>
                      </w:p>
                    </w:txbxContent>
                  </v:textbox>
                </v:shape>
                <v:group id="_x0000_s1026" o:spid="_x0000_s1026" o:spt="203" style="position:absolute;left:11796;top:1964555;height:930;width:2069;" coordorigin="11796,1964555" coordsize="2069,930" o:gfxdata="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VnO6svwAAANwAAAAPAAAAAAAAAAEAIAAAACIAAABkcnMvZG93bnJldi54&#10;bWxQSwECFAAUAAAACACHTuJAMy8FnjsAAAA5AAAAFQAAAAAAAAABACAAAAAOAQAAZHJzL2dyb3Vw&#10;c2hhcGV4bWwueG1sUEsFBgAAAAAGAAYAYAEAAMsDAAAAAA==&#10;">
                  <o:lock v:ext="edit" aspectratio="f"/>
                  <v:line id="_x0000_s1026" o:spid="_x0000_s1026" o:spt="20" style="position:absolute;left:12021;top:1964555;height:0;width:645;" filled="f" stroked="t" coordsize="21600,21600" o:gfxdata="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684irsAAADc&#10;AAAADwAAAAAAAAABACAAAAAiAAAAZHJzL2Rvd25yZXYueG1sUEsBAhQAFAAAAAgAh07iQDMvBZ47&#10;AAAAOQAAABAAAAAAAAAAAQAgAAAACgEAAGRycy9zaGFwZXhtbC54bWxQSwUGAAAAAAYABgBbAQAA&#10;tAMAAAAA&#10;">
                    <v:fill on="f" focussize="0,0"/>
                    <v:stroke weight="2pt" color="#FFFF00 [3204]" joinstyle="round"/>
                    <v:imagedata o:title=""/>
                    <o:lock v:ext="edit" aspectratio="f"/>
                  </v:line>
                  <v:shape id="_x0000_s1026" o:spid="_x0000_s1026" o:spt="100" style="position:absolute;left:13367;top:1965009;height:282;width:353;" fillcolor="#FFFF00" filled="t" stroked="t" coordsize="594995,845185" o:gfxdata="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7vWir4A&#10;AADcAAAADwAAAAAAAAABACAAAAAiAAAAZHJzL2Rvd25yZXYueG1sUEsBAhQAFAAAAAgAh07iQDMv&#10;BZ47AAAAOQAAABAAAAAAAAAAAQAgAAAADQEAAGRycy9zaGFwZXhtbC54bWxQSwUGAAAAAAYABgBb&#10;AQAAtwMAAAAA&#10;" path="m0,47625l469900,0,594995,797560,178435,845185,0,47625xe">
                    <v:path o:connectlocs="0,15;278,0;353,266;105,282;0,15" o:connectangles="0,0,0,0,0"/>
                    <v:fill on="t" opacity="16384f" focussize="0,0"/>
                    <v:stroke color="#FF0000 [2404]" joinstyle="round"/>
                    <v:imagedata o:title=""/>
                    <o:lock v:ext="edit" aspectratio="f"/>
                  </v:shape>
                  <v:line id="_x0000_s1026" o:spid="_x0000_s1026" o:spt="20" style="position:absolute;left:13371;top:1965485;height:0;width:495;" filled="f" stroked="t" coordsize="21600,21600" o:gfxdata="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R0lS8AAAA&#10;3AAAAA8AAAAAAAAAAQAgAAAAIgAAAGRycy9kb3ducmV2LnhtbFBLAQIUABQAAAAIAIdO4kAzLwWe&#10;OwAAADkAAAAQAAAAAAAAAAEAIAAAAAsBAABkcnMvc2hhcGV4bWwueG1sUEsFBgAAAAAGAAYAWwEA&#10;ALUDAAAAAA==&#10;">
                    <v:fill on="f" focussize="0,0"/>
                    <v:stroke weight="2pt" color="#FF0000 [3204]" joinstyle="round"/>
                    <v:imagedata o:title=""/>
                    <o:lock v:ext="edit" aspectratio="f"/>
                  </v:line>
                  <v:line id="_x0000_s1026" o:spid="_x0000_s1026" o:spt="20" style="position:absolute;left:11796;top:1964855;height:14;width:405;" filled="f" stroked="t" coordsize="21600,21600" o:gfxdata="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othu8AAAA&#10;3AAAAA8AAAAAAAAAAQAgAAAAIgAAAGRycy9kb3ducmV2LnhtbFBLAQIUABQAAAAIAIdO4kAzLwWe&#10;OwAAADkAAAAQAAAAAAAAAAEAIAAAAAsBAABkcnMvc2hhcGV4bWwueG1sUEsFBgAAAAAGAAYAWwEA&#10;ALUDAAAAAA==&#10;">
                    <v:fill on="f" focussize="0,0"/>
                    <v:stroke weight="2pt" color="#00B050 [3204]" joinstyle="round"/>
                    <v:imagedata o:title=""/>
                    <o:lock v:ext="edit" aspectratio="f"/>
                  </v:line>
                </v:group>
              </v:group>
            </w:pict>
          </mc:Fallback>
        </mc:AlternateContent>
      </w:r>
      <w:r>
        <w:rPr>
          <w:color w:val="auto"/>
          <w:sz w:val="24"/>
          <w:highlight w:val="none"/>
        </w:rPr>
        <mc:AlternateContent>
          <mc:Choice Requires="wps">
            <w:drawing>
              <wp:anchor distT="0" distB="0" distL="114300" distR="114300" simplePos="0" relativeHeight="251719680" behindDoc="0" locked="0" layoutInCell="1" allowOverlap="1">
                <wp:simplePos x="0" y="0"/>
                <wp:positionH relativeFrom="column">
                  <wp:posOffset>823595</wp:posOffset>
                </wp:positionH>
                <wp:positionV relativeFrom="paragraph">
                  <wp:posOffset>255270</wp:posOffset>
                </wp:positionV>
                <wp:extent cx="545465" cy="298450"/>
                <wp:effectExtent l="4445" t="4445" r="21590" b="20955"/>
                <wp:wrapNone/>
                <wp:docPr id="163" name="文本框 163"/>
                <wp:cNvGraphicFramePr/>
                <a:graphic xmlns:a="http://schemas.openxmlformats.org/drawingml/2006/main">
                  <a:graphicData uri="http://schemas.microsoft.com/office/word/2010/wordprocessingShape">
                    <wps:wsp>
                      <wps:cNvSpPr txBox="1"/>
                      <wps:spPr>
                        <a:xfrm>
                          <a:off x="0" y="0"/>
                          <a:ext cx="545465" cy="298450"/>
                        </a:xfrm>
                        <a:prstGeom prst="rect">
                          <a:avLst/>
                        </a:prstGeom>
                        <a:solidFill>
                          <a:schemeClr val="bg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4C313C6">
                            <w:pPr>
                              <w:rPr>
                                <w:rFonts w:hint="default"/>
                                <w:b/>
                                <w:bCs/>
                                <w:color w:val="FF0000"/>
                                <w:lang w:val="en-US" w:eastAsia="zh-CN"/>
                              </w:rPr>
                            </w:pPr>
                            <w:r>
                              <w:rPr>
                                <w:rFonts w:hint="eastAsia"/>
                                <w:b/>
                                <w:bCs/>
                                <w:color w:val="FF0000"/>
                                <w:lang w:val="en-US" w:eastAsia="zh-CN"/>
                              </w:rPr>
                              <w:t>500m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85pt;margin-top:20.1pt;height:23.5pt;width:42.95pt;z-index:251719680;mso-width-relative:page;mso-height-relative:page;" fillcolor="#FFFFFF [3212]" filled="t" stroked="t" coordsize="21600,21600" o:gfxdata="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XEnJzW&#10;AAAACQEAAA8AAAAAAAAAAQAgAAAAIgAAAGRycy9kb3ducmV2LnhtbFBLAQIUABQAAAAIAIdO4kAX&#10;7rdtWwIAALoEAAAOAAAAAAAAAAEAIAAAACUBAABkcnMvZTJvRG9jLnhtbFBLBQYAAAAABgAGAFkB&#10;AADyBQAAAAA=&#10;">
                <v:fill on="t" focussize="0,0"/>
                <v:stroke weight="0.5pt" color="#000000 [3204]" joinstyle="round"/>
                <v:imagedata o:title=""/>
                <o:lock v:ext="edit" aspectratio="f"/>
                <v:textbox>
                  <w:txbxContent>
                    <w:p w14:paraId="34C313C6">
                      <w:pPr>
                        <w:rPr>
                          <w:rFonts w:hint="default"/>
                          <w:b/>
                          <w:bCs/>
                          <w:color w:val="FF0000"/>
                          <w:lang w:val="en-US" w:eastAsia="zh-CN"/>
                        </w:rPr>
                      </w:pPr>
                      <w:r>
                        <w:rPr>
                          <w:rFonts w:hint="eastAsia"/>
                          <w:b/>
                          <w:bCs/>
                          <w:color w:val="FF0000"/>
                          <w:lang w:val="en-US" w:eastAsia="zh-CN"/>
                        </w:rPr>
                        <w:t>500m</w:t>
                      </w:r>
                    </w:p>
                  </w:txbxContent>
                </v:textbox>
              </v:shape>
            </w:pict>
          </mc:Fallback>
        </mc:AlternateContent>
      </w:r>
      <w:r>
        <w:rPr>
          <w:color w:val="auto"/>
          <w:sz w:val="24"/>
          <w:highlight w:val="none"/>
        </w:rPr>
        <mc:AlternateContent>
          <mc:Choice Requires="wps">
            <w:drawing>
              <wp:anchor distT="0" distB="0" distL="114300" distR="114300" simplePos="0" relativeHeight="251718656" behindDoc="0" locked="0" layoutInCell="1" allowOverlap="1">
                <wp:simplePos x="0" y="0"/>
                <wp:positionH relativeFrom="column">
                  <wp:posOffset>323850</wp:posOffset>
                </wp:positionH>
                <wp:positionV relativeFrom="paragraph">
                  <wp:posOffset>2082800</wp:posOffset>
                </wp:positionV>
                <wp:extent cx="1105535" cy="424180"/>
                <wp:effectExtent l="0" t="0" r="0" b="0"/>
                <wp:wrapNone/>
                <wp:docPr id="162" name="文本框 162"/>
                <wp:cNvGraphicFramePr/>
                <a:graphic xmlns:a="http://schemas.openxmlformats.org/drawingml/2006/main">
                  <a:graphicData uri="http://schemas.microsoft.com/office/word/2010/wordprocessingShape">
                    <wps:wsp>
                      <wps:cNvSpPr txBox="1"/>
                      <wps:spPr>
                        <a:xfrm rot="21060000">
                          <a:off x="0" y="0"/>
                          <a:ext cx="1105535" cy="4241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B0986">
                            <w:pPr>
                              <w:rPr>
                                <w:rFonts w:hint="default"/>
                                <w:b/>
                                <w:bCs/>
                                <w:color w:val="FF0000"/>
                                <w:lang w:val="en-US" w:eastAsia="zh-CN"/>
                              </w:rPr>
                            </w:pPr>
                            <w:r>
                              <w:rPr>
                                <w:rFonts w:hint="eastAsia"/>
                                <w:b/>
                                <w:bCs/>
                                <w:color w:val="FF0000"/>
                                <w:lang w:val="en-US" w:eastAsia="zh-CN"/>
                              </w:rPr>
                              <w:t>碾盘乡及碾盘乡派出所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pt;margin-top:164pt;height:33.4pt;width:87.05pt;rotation:-589824f;z-index:251718656;mso-width-relative:page;mso-height-relative:page;" filled="f" stroked="f" coordsize="21600,21600" o:gfxdata="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YsnZI2QAAAAoBAAAPAAAAAAAAAAEA&#10;IAAAACIAAABkcnMvZG93bnJldi54bWxQSwECFAAUAAAACACHTuJAebxziEcCAAB5BAAADgAAAAAA&#10;AAABACAAAAAoAQAAZHJzL2Uyb0RvYy54bWxQSwUGAAAAAAYABgBZAQAA4QUAAAAA&#10;">
                <v:fill on="f" focussize="0,0"/>
                <v:stroke on="f" weight="0.5pt"/>
                <v:imagedata o:title=""/>
                <o:lock v:ext="edit" aspectratio="f"/>
                <v:textbox>
                  <w:txbxContent>
                    <w:p w14:paraId="01EB0986">
                      <w:pPr>
                        <w:rPr>
                          <w:rFonts w:hint="default"/>
                          <w:b/>
                          <w:bCs/>
                          <w:color w:val="FF0000"/>
                          <w:lang w:val="en-US" w:eastAsia="zh-CN"/>
                        </w:rPr>
                      </w:pPr>
                      <w:r>
                        <w:rPr>
                          <w:rFonts w:hint="eastAsia"/>
                          <w:b/>
                          <w:bCs/>
                          <w:color w:val="FF0000"/>
                          <w:lang w:val="en-US" w:eastAsia="zh-CN"/>
                        </w:rPr>
                        <w:t>碾盘乡及碾盘乡派出所</w:t>
                      </w:r>
                    </w:p>
                  </w:txbxContent>
                </v:textbox>
              </v:shape>
            </w:pict>
          </mc:Fallback>
        </mc:AlternateContent>
      </w:r>
      <w:r>
        <w:rPr>
          <w:color w:val="auto"/>
          <w:sz w:val="24"/>
          <w:highlight w:val="none"/>
        </w:rPr>
        <mc:AlternateContent>
          <mc:Choice Requires="wps">
            <w:drawing>
              <wp:anchor distT="0" distB="0" distL="114300" distR="114300" simplePos="0" relativeHeight="251705344" behindDoc="0" locked="0" layoutInCell="1" allowOverlap="1">
                <wp:simplePos x="0" y="0"/>
                <wp:positionH relativeFrom="column">
                  <wp:posOffset>1543050</wp:posOffset>
                </wp:positionH>
                <wp:positionV relativeFrom="paragraph">
                  <wp:posOffset>1963420</wp:posOffset>
                </wp:positionV>
                <wp:extent cx="1105535" cy="424180"/>
                <wp:effectExtent l="0" t="0" r="0" b="0"/>
                <wp:wrapNone/>
                <wp:docPr id="161" name="文本框 161"/>
                <wp:cNvGraphicFramePr/>
                <a:graphic xmlns:a="http://schemas.openxmlformats.org/drawingml/2006/main">
                  <a:graphicData uri="http://schemas.microsoft.com/office/word/2010/wordprocessingShape">
                    <wps:wsp>
                      <wps:cNvSpPr txBox="1"/>
                      <wps:spPr>
                        <a:xfrm rot="21060000">
                          <a:off x="0" y="0"/>
                          <a:ext cx="1105535" cy="4241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29191A">
                            <w:pPr>
                              <w:rPr>
                                <w:rFonts w:hint="eastAsia"/>
                                <w:b/>
                                <w:bCs/>
                                <w:color w:val="FF0000"/>
                                <w:lang w:val="en-US" w:eastAsia="zh-CN"/>
                              </w:rPr>
                            </w:pPr>
                            <w:r>
                              <w:rPr>
                                <w:rFonts w:hint="eastAsia"/>
                                <w:b/>
                                <w:bCs/>
                                <w:color w:val="FF0000"/>
                                <w:lang w:val="en-US" w:eastAsia="zh-CN"/>
                              </w:rPr>
                              <w:t>抚顺石化公司</w:t>
                            </w:r>
                          </w:p>
                          <w:p w14:paraId="1E2D567E">
                            <w:pPr>
                              <w:rPr>
                                <w:rFonts w:hint="default"/>
                                <w:b/>
                                <w:bCs/>
                                <w:color w:val="FF0000"/>
                                <w:lang w:val="en-US" w:eastAsia="zh-CN"/>
                              </w:rPr>
                            </w:pPr>
                            <w:r>
                              <w:rPr>
                                <w:rFonts w:hint="eastAsia"/>
                                <w:b/>
                                <w:bCs/>
                                <w:color w:val="FF0000"/>
                                <w:lang w:val="en-US" w:eastAsia="zh-CN"/>
                              </w:rPr>
                              <w:t>腈纶部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1.5pt;margin-top:154.6pt;height:33.4pt;width:87.05pt;rotation:-589824f;z-index:251705344;mso-width-relative:page;mso-height-relative:page;" filled="f" stroked="f" coordsize="21600,21600" o:gfxdata="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iHZEnbAAAACwEAAA8AAAAAAAAA&#10;AQAgAAAAIgAAAGRycy9kb3ducmV2LnhtbFBLAQIUABQAAAAIAIdO4kCQP9pGRwIAAHkEAAAOAAAA&#10;AAAAAAEAIAAAACoBAABkcnMvZTJvRG9jLnhtbFBLBQYAAAAABgAGAFkBAADjBQAAAAA=&#10;">
                <v:fill on="f" focussize="0,0"/>
                <v:stroke on="f" weight="0.5pt"/>
                <v:imagedata o:title=""/>
                <o:lock v:ext="edit" aspectratio="f"/>
                <v:textbox>
                  <w:txbxContent>
                    <w:p w14:paraId="5B29191A">
                      <w:pPr>
                        <w:rPr>
                          <w:rFonts w:hint="eastAsia"/>
                          <w:b/>
                          <w:bCs/>
                          <w:color w:val="FF0000"/>
                          <w:lang w:val="en-US" w:eastAsia="zh-CN"/>
                        </w:rPr>
                      </w:pPr>
                      <w:r>
                        <w:rPr>
                          <w:rFonts w:hint="eastAsia"/>
                          <w:b/>
                          <w:bCs/>
                          <w:color w:val="FF0000"/>
                          <w:lang w:val="en-US" w:eastAsia="zh-CN"/>
                        </w:rPr>
                        <w:t>抚顺石化公司</w:t>
                      </w:r>
                    </w:p>
                    <w:p w14:paraId="1E2D567E">
                      <w:pPr>
                        <w:rPr>
                          <w:rFonts w:hint="default"/>
                          <w:b/>
                          <w:bCs/>
                          <w:color w:val="FF0000"/>
                          <w:lang w:val="en-US" w:eastAsia="zh-CN"/>
                        </w:rPr>
                      </w:pPr>
                      <w:r>
                        <w:rPr>
                          <w:rFonts w:hint="eastAsia"/>
                          <w:b/>
                          <w:bCs/>
                          <w:color w:val="FF0000"/>
                          <w:lang w:val="en-US" w:eastAsia="zh-CN"/>
                        </w:rPr>
                        <w:t>腈纶部</w:t>
                      </w:r>
                    </w:p>
                  </w:txbxContent>
                </v:textbox>
              </v:shape>
            </w:pict>
          </mc:Fallback>
        </mc:AlternateContent>
      </w:r>
      <w:r>
        <w:rPr>
          <w:color w:val="auto"/>
          <w:sz w:val="24"/>
          <w:highlight w:val="none"/>
        </w:rPr>
        <mc:AlternateContent>
          <mc:Choice Requires="wps">
            <w:drawing>
              <wp:anchor distT="0" distB="0" distL="114300" distR="114300" simplePos="0" relativeHeight="251709440" behindDoc="0" locked="0" layoutInCell="1" allowOverlap="1">
                <wp:simplePos x="0" y="0"/>
                <wp:positionH relativeFrom="column">
                  <wp:posOffset>2710180</wp:posOffset>
                </wp:positionH>
                <wp:positionV relativeFrom="paragraph">
                  <wp:posOffset>1214120</wp:posOffset>
                </wp:positionV>
                <wp:extent cx="1737360" cy="301625"/>
                <wp:effectExtent l="0" t="0" r="0" b="0"/>
                <wp:wrapNone/>
                <wp:docPr id="160" name="文本框 160"/>
                <wp:cNvGraphicFramePr/>
                <a:graphic xmlns:a="http://schemas.openxmlformats.org/drawingml/2006/main">
                  <a:graphicData uri="http://schemas.microsoft.com/office/word/2010/wordprocessingShape">
                    <wps:wsp>
                      <wps:cNvSpPr txBox="1"/>
                      <wps:spPr>
                        <a:xfrm rot="21060000">
                          <a:off x="0" y="0"/>
                          <a:ext cx="1737360" cy="301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1167F">
                            <w:pPr>
                              <w:rPr>
                                <w:rFonts w:hint="default"/>
                                <w:b/>
                                <w:bCs/>
                                <w:color w:val="FF0000"/>
                                <w:lang w:val="en-US" w:eastAsia="zh-CN"/>
                              </w:rPr>
                            </w:pPr>
                            <w:r>
                              <w:rPr>
                                <w:rFonts w:hint="eastAsia"/>
                                <w:b/>
                                <w:bCs/>
                                <w:color w:val="FF0000"/>
                                <w:lang w:val="en-US" w:eastAsia="zh-CN"/>
                              </w:rPr>
                              <w:t>辽宁宏冠新材料有限公司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3.4pt;margin-top:95.6pt;height:23.75pt;width:136.8pt;rotation:-589824f;z-index:251709440;mso-width-relative:page;mso-height-relative:page;" filled="f" stroked="f" coordsize="21600,21600" o:gfxdata="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BDSDn2gAAAAsBAAAPAAAAAAAAAAEAIAAA&#10;ACIAAABkcnMvZG93bnJldi54bWxQSwECFAAUAAAACACHTuJA9p8vYEMCAAB5BAAADgAAAAAAAAAB&#10;ACAAAAApAQAAZHJzL2Uyb0RvYy54bWxQSwUGAAAAAAYABgBZAQAA3gUAAAAA&#10;">
                <v:fill on="f" focussize="0,0"/>
                <v:stroke on="f" weight="0.5pt"/>
                <v:imagedata o:title=""/>
                <o:lock v:ext="edit" aspectratio="f"/>
                <v:textbox>
                  <w:txbxContent>
                    <w:p w14:paraId="4741167F">
                      <w:pPr>
                        <w:rPr>
                          <w:rFonts w:hint="default"/>
                          <w:b/>
                          <w:bCs/>
                          <w:color w:val="FF0000"/>
                          <w:lang w:val="en-US" w:eastAsia="zh-CN"/>
                        </w:rPr>
                      </w:pPr>
                      <w:r>
                        <w:rPr>
                          <w:rFonts w:hint="eastAsia"/>
                          <w:b/>
                          <w:bCs/>
                          <w:color w:val="FF0000"/>
                          <w:lang w:val="en-US" w:eastAsia="zh-CN"/>
                        </w:rPr>
                        <w:t>辽宁宏冠新材料有限公司</w:t>
                      </w:r>
                    </w:p>
                  </w:txbxContent>
                </v:textbox>
              </v:shape>
            </w:pict>
          </mc:Fallback>
        </mc:AlternateContent>
      </w:r>
      <w:r>
        <w:rPr>
          <w:color w:val="auto"/>
          <w:sz w:val="24"/>
          <w:highlight w:val="none"/>
        </w:rPr>
        <mc:AlternateContent>
          <mc:Choice Requires="wps">
            <w:drawing>
              <wp:anchor distT="0" distB="0" distL="114300" distR="114300" simplePos="0" relativeHeight="251708416" behindDoc="0" locked="0" layoutInCell="1" allowOverlap="1">
                <wp:simplePos x="0" y="0"/>
                <wp:positionH relativeFrom="column">
                  <wp:posOffset>2679700</wp:posOffset>
                </wp:positionH>
                <wp:positionV relativeFrom="paragraph">
                  <wp:posOffset>1012825</wp:posOffset>
                </wp:positionV>
                <wp:extent cx="1047750" cy="234315"/>
                <wp:effectExtent l="0" t="0" r="0" b="0"/>
                <wp:wrapNone/>
                <wp:docPr id="159" name="文本框 159"/>
                <wp:cNvGraphicFramePr/>
                <a:graphic xmlns:a="http://schemas.openxmlformats.org/drawingml/2006/main">
                  <a:graphicData uri="http://schemas.microsoft.com/office/word/2010/wordprocessingShape">
                    <wps:wsp>
                      <wps:cNvSpPr txBox="1"/>
                      <wps:spPr>
                        <a:xfrm rot="21060000">
                          <a:off x="0" y="0"/>
                          <a:ext cx="1047750" cy="2343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D5D9F">
                            <w:pPr>
                              <w:rPr>
                                <w:rFonts w:hint="default"/>
                                <w:b/>
                                <w:bCs/>
                                <w:color w:val="FF0000"/>
                                <w:lang w:val="en-US" w:eastAsia="zh-CN"/>
                              </w:rPr>
                            </w:pPr>
                            <w:r>
                              <w:rPr>
                                <w:rFonts w:hint="eastAsia"/>
                                <w:b/>
                                <w:bCs/>
                                <w:color w:val="FF0000"/>
                                <w:lang w:val="en-US" w:eastAsia="zh-CN"/>
                              </w:rPr>
                              <w:t>园区供水泵站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79.75pt;height:18.45pt;width:82.5pt;rotation:-589824f;z-index:251708416;mso-width-relative:page;mso-height-relative:page;" filled="f" stroked="f" coordsize="21600,21600" o:gfxdata="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kAuOdoAAAALAQAADwAAAAAAAAABACAA&#10;AAAiAAAAZHJzL2Rvd25yZXYueG1sUEsBAhQAFAAAAAgAh07iQLAOcHREAgAAeQQAAA4AAAAAAAAA&#10;AQAgAAAAKQEAAGRycy9lMm9Eb2MueG1sUEsFBgAAAAAGAAYAWQEAAN8FAAAAAA==&#10;">
                <v:fill on="f" focussize="0,0"/>
                <v:stroke on="f" weight="0.5pt"/>
                <v:imagedata o:title=""/>
                <o:lock v:ext="edit" aspectratio="f"/>
                <v:textbox>
                  <w:txbxContent>
                    <w:p w14:paraId="36BD5D9F">
                      <w:pPr>
                        <w:rPr>
                          <w:rFonts w:hint="default"/>
                          <w:b/>
                          <w:bCs/>
                          <w:color w:val="FF0000"/>
                          <w:lang w:val="en-US" w:eastAsia="zh-CN"/>
                        </w:rPr>
                      </w:pPr>
                      <w:r>
                        <w:rPr>
                          <w:rFonts w:hint="eastAsia"/>
                          <w:b/>
                          <w:bCs/>
                          <w:color w:val="FF0000"/>
                          <w:lang w:val="en-US" w:eastAsia="zh-CN"/>
                        </w:rPr>
                        <w:t>园区供水泵站</w:t>
                      </w:r>
                    </w:p>
                  </w:txbxContent>
                </v:textbox>
              </v:shape>
            </w:pict>
          </mc:Fallback>
        </mc:AlternateContent>
      </w:r>
      <w:r>
        <w:rPr>
          <w:color w:val="auto"/>
          <w:sz w:val="24"/>
          <w:highlight w:val="none"/>
        </w:rPr>
        <mc:AlternateContent>
          <mc:Choice Requires="wps">
            <w:drawing>
              <wp:anchor distT="0" distB="0" distL="114300" distR="114300" simplePos="0" relativeHeight="251717632" behindDoc="0" locked="0" layoutInCell="1" allowOverlap="1">
                <wp:simplePos x="0" y="0"/>
                <wp:positionH relativeFrom="column">
                  <wp:posOffset>1321435</wp:posOffset>
                </wp:positionH>
                <wp:positionV relativeFrom="paragraph">
                  <wp:posOffset>713740</wp:posOffset>
                </wp:positionV>
                <wp:extent cx="2381250" cy="452755"/>
                <wp:effectExtent l="0" t="0" r="0" b="0"/>
                <wp:wrapNone/>
                <wp:docPr id="158" name="文本框 158"/>
                <wp:cNvGraphicFramePr/>
                <a:graphic xmlns:a="http://schemas.openxmlformats.org/drawingml/2006/main">
                  <a:graphicData uri="http://schemas.microsoft.com/office/word/2010/wordprocessingShape">
                    <wps:wsp>
                      <wps:cNvSpPr txBox="1"/>
                      <wps:spPr>
                        <a:xfrm rot="21060000">
                          <a:off x="5154930" y="2999740"/>
                          <a:ext cx="2381250" cy="452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CF9CE">
                            <w:pPr>
                              <w:rPr>
                                <w:rFonts w:hint="eastAsia"/>
                                <w:b/>
                                <w:bCs/>
                                <w:color w:val="FF0000"/>
                                <w:lang w:val="en-US" w:eastAsia="zh-CN"/>
                              </w:rPr>
                            </w:pPr>
                            <w:r>
                              <w:rPr>
                                <w:rFonts w:hint="eastAsia"/>
                                <w:b/>
                                <w:bCs/>
                                <w:color w:val="FF0000"/>
                                <w:lang w:val="en-US" w:eastAsia="zh-CN"/>
                              </w:rPr>
                              <w:t>辽宁抚顺同益特种石蜡制品有限公司</w:t>
                            </w:r>
                          </w:p>
                          <w:p w14:paraId="47BF2502">
                            <w:pPr>
                              <w:rPr>
                                <w:rFonts w:hint="default"/>
                                <w:b/>
                                <w:bCs/>
                                <w:color w:val="FF0000"/>
                                <w:lang w:val="en-US" w:eastAsia="zh-CN"/>
                              </w:rPr>
                            </w:pPr>
                            <w:r>
                              <w:rPr>
                                <w:rFonts w:hint="eastAsia"/>
                                <w:b/>
                                <w:bCs/>
                                <w:color w:val="FF0000"/>
                                <w:lang w:val="en-US" w:eastAsia="zh-CN"/>
                              </w:rPr>
                              <w:t>辽宁凯迪化工有限公司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05pt;margin-top:56.2pt;height:35.65pt;width:187.5pt;rotation:-589824f;z-index:251717632;mso-width-relative:page;mso-height-relative:page;" filled="f" stroked="f" coordsize="21600,21600" o:gfxdata="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oin13ZAAAACwEAAA8A&#10;AAAAAAAAAQAgAAAAIgAAAGRycy9kb3ducmV2LnhtbFBLAQIUABQAAAAIAIdO4kAVOBN4TwIAAIUE&#10;AAAOAAAAAAAAAAEAIAAAACgBAABkcnMvZTJvRG9jLnhtbFBLBQYAAAAABgAGAFkBAADpBQAAAAA=&#10;">
                <v:fill on="f" focussize="0,0"/>
                <v:stroke on="f" weight="0.5pt"/>
                <v:imagedata o:title=""/>
                <o:lock v:ext="edit" aspectratio="f"/>
                <v:textbox>
                  <w:txbxContent>
                    <w:p w14:paraId="1C9CF9CE">
                      <w:pPr>
                        <w:rPr>
                          <w:rFonts w:hint="eastAsia"/>
                          <w:b/>
                          <w:bCs/>
                          <w:color w:val="FF0000"/>
                          <w:lang w:val="en-US" w:eastAsia="zh-CN"/>
                        </w:rPr>
                      </w:pPr>
                      <w:r>
                        <w:rPr>
                          <w:rFonts w:hint="eastAsia"/>
                          <w:b/>
                          <w:bCs/>
                          <w:color w:val="FF0000"/>
                          <w:lang w:val="en-US" w:eastAsia="zh-CN"/>
                        </w:rPr>
                        <w:t>辽宁抚顺同益特种石蜡制品有限公司</w:t>
                      </w:r>
                    </w:p>
                    <w:p w14:paraId="47BF2502">
                      <w:pPr>
                        <w:rPr>
                          <w:rFonts w:hint="default"/>
                          <w:b/>
                          <w:bCs/>
                          <w:color w:val="FF0000"/>
                          <w:lang w:val="en-US" w:eastAsia="zh-CN"/>
                        </w:rPr>
                      </w:pPr>
                      <w:r>
                        <w:rPr>
                          <w:rFonts w:hint="eastAsia"/>
                          <w:b/>
                          <w:bCs/>
                          <w:color w:val="FF0000"/>
                          <w:lang w:val="en-US" w:eastAsia="zh-CN"/>
                        </w:rPr>
                        <w:t>辽宁凯迪化工有限公司</w:t>
                      </w:r>
                    </w:p>
                  </w:txbxContent>
                </v:textbox>
              </v:shape>
            </w:pict>
          </mc:Fallback>
        </mc:AlternateContent>
      </w:r>
      <w:r>
        <w:rPr>
          <w:color w:val="auto"/>
          <w:sz w:val="24"/>
          <w:highlight w:val="none"/>
        </w:rPr>
        <mc:AlternateContent>
          <mc:Choice Requires="wps">
            <w:drawing>
              <wp:anchor distT="0" distB="0" distL="114300" distR="114300" simplePos="0" relativeHeight="251716608" behindDoc="0" locked="0" layoutInCell="1" allowOverlap="1">
                <wp:simplePos x="0" y="0"/>
                <wp:positionH relativeFrom="column">
                  <wp:posOffset>1434465</wp:posOffset>
                </wp:positionH>
                <wp:positionV relativeFrom="paragraph">
                  <wp:posOffset>1576705</wp:posOffset>
                </wp:positionV>
                <wp:extent cx="1166495" cy="1071880"/>
                <wp:effectExtent l="6350" t="6350" r="8255" b="7620"/>
                <wp:wrapNone/>
                <wp:docPr id="157" name="任意多边形 157"/>
                <wp:cNvGraphicFramePr/>
                <a:graphic xmlns:a="http://schemas.openxmlformats.org/drawingml/2006/main">
                  <a:graphicData uri="http://schemas.microsoft.com/office/word/2010/wordprocessingShape">
                    <wps:wsp>
                      <wps:cNvSpPr/>
                      <wps:spPr>
                        <a:xfrm>
                          <a:off x="2577465" y="2719705"/>
                          <a:ext cx="1166495" cy="1071880"/>
                        </a:xfrm>
                        <a:custGeom>
                          <a:avLst/>
                          <a:gdLst>
                            <a:gd name="connisteX0" fmla="*/ 77470 w 1166495"/>
                            <a:gd name="connsiteY0" fmla="*/ 24130 h 1071880"/>
                            <a:gd name="connisteX1" fmla="*/ 351155 w 1166495"/>
                            <a:gd name="connsiteY1" fmla="*/ 0 h 1071880"/>
                            <a:gd name="connisteX2" fmla="*/ 732155 w 1166495"/>
                            <a:gd name="connsiteY2" fmla="*/ 321945 h 1071880"/>
                            <a:gd name="connisteX3" fmla="*/ 1083310 w 1166495"/>
                            <a:gd name="connsiteY3" fmla="*/ 309880 h 1071880"/>
                            <a:gd name="connisteX4" fmla="*/ 1166495 w 1166495"/>
                            <a:gd name="connsiteY4" fmla="*/ 904875 h 1071880"/>
                            <a:gd name="connisteX5" fmla="*/ 928370 w 1166495"/>
                            <a:gd name="connsiteY5" fmla="*/ 963930 h 1071880"/>
                            <a:gd name="connisteX6" fmla="*/ 916940 w 1166495"/>
                            <a:gd name="connsiteY6" fmla="*/ 1071880 h 1071880"/>
                            <a:gd name="connisteX7" fmla="*/ 213995 w 1166495"/>
                            <a:gd name="connsiteY7" fmla="*/ 887095 h 1071880"/>
                            <a:gd name="connisteX8" fmla="*/ 137160 w 1166495"/>
                            <a:gd name="connsiteY8" fmla="*/ 750570 h 1071880"/>
                            <a:gd name="connisteX9" fmla="*/ 17780 w 1166495"/>
                            <a:gd name="connsiteY9" fmla="*/ 71755 h 1071880"/>
                            <a:gd name="connisteX10" fmla="*/ 0 w 1166495"/>
                            <a:gd name="connsiteY10" fmla="*/ 17780 h 1071880"/>
                            <a:gd name="connisteX11" fmla="*/ 154940 w 1166495"/>
                            <a:gd name="connsiteY11" fmla="*/ 11430 h 107188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Lst>
                          <a:rect l="l" t="t" r="r" b="b"/>
                          <a:pathLst>
                            <a:path w="1166495" h="1071880">
                              <a:moveTo>
                                <a:pt x="77470" y="24130"/>
                              </a:moveTo>
                              <a:lnTo>
                                <a:pt x="351155" y="0"/>
                              </a:lnTo>
                              <a:lnTo>
                                <a:pt x="732155" y="321945"/>
                              </a:lnTo>
                              <a:lnTo>
                                <a:pt x="1083310" y="309880"/>
                              </a:lnTo>
                              <a:lnTo>
                                <a:pt x="1166495" y="904875"/>
                              </a:lnTo>
                              <a:lnTo>
                                <a:pt x="928370" y="963930"/>
                              </a:lnTo>
                              <a:lnTo>
                                <a:pt x="916940" y="1071880"/>
                              </a:lnTo>
                              <a:lnTo>
                                <a:pt x="213995" y="887095"/>
                              </a:lnTo>
                              <a:lnTo>
                                <a:pt x="137160" y="750570"/>
                              </a:lnTo>
                              <a:lnTo>
                                <a:pt x="17780" y="71755"/>
                              </a:lnTo>
                              <a:lnTo>
                                <a:pt x="0" y="17780"/>
                              </a:lnTo>
                              <a:lnTo>
                                <a:pt x="154940" y="11430"/>
                              </a:lnTo>
                            </a:path>
                          </a:pathLst>
                        </a:custGeom>
                        <a:no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12.95pt;margin-top:124.15pt;height:84.4pt;width:91.85pt;z-index:251716608;mso-width-relative:page;mso-height-relative:page;" filled="f" stroked="t" coordsize="1166495,1071880" o:gfxdata="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" path="m77470,24130l351155,0,732155,321945,1083310,309880,1166495,904875,928370,963930,916940,1071880,213995,887095,137160,750570,17780,71755,0,17780,154940,11430e">
                <v:path o:connectlocs="77470,24130;351155,0;732155,321945;1083310,309880;1166495,904875;928370,963930;916940,1071880;213995,887095;137160,750570;17780,71755;0,17780;154940,11430" o:connectangles="0,0,0,0,0,0,0,0,0,0,0,0"/>
                <v:fill on="f" focussize="0,0"/>
                <v:stroke weight="1pt" color="#000000 [3213]"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15584" behindDoc="0" locked="0" layoutInCell="1" allowOverlap="1">
                <wp:simplePos x="0" y="0"/>
                <wp:positionH relativeFrom="column">
                  <wp:posOffset>2464435</wp:posOffset>
                </wp:positionH>
                <wp:positionV relativeFrom="paragraph">
                  <wp:posOffset>1308735</wp:posOffset>
                </wp:positionV>
                <wp:extent cx="469900" cy="369570"/>
                <wp:effectExtent l="6350" t="6350" r="19050" b="24130"/>
                <wp:wrapNone/>
                <wp:docPr id="155" name="任意多边形 155"/>
                <wp:cNvGraphicFramePr/>
                <a:graphic xmlns:a="http://schemas.openxmlformats.org/drawingml/2006/main">
                  <a:graphicData uri="http://schemas.microsoft.com/office/word/2010/wordprocessingShape">
                    <wps:wsp>
                      <wps:cNvSpPr/>
                      <wps:spPr>
                        <a:xfrm>
                          <a:off x="3607435" y="2451735"/>
                          <a:ext cx="469900" cy="369570"/>
                        </a:xfrm>
                        <a:custGeom>
                          <a:avLst/>
                          <a:gdLst>
                            <a:gd name="connisteX0" fmla="*/ 0 w 469900"/>
                            <a:gd name="connsiteY0" fmla="*/ 83820 h 369570"/>
                            <a:gd name="connisteX1" fmla="*/ 321310 w 469900"/>
                            <a:gd name="connsiteY1" fmla="*/ 0 h 369570"/>
                            <a:gd name="connisteX2" fmla="*/ 469900 w 469900"/>
                            <a:gd name="connsiteY2" fmla="*/ 315595 h 369570"/>
                            <a:gd name="connisteX3" fmla="*/ 125095 w 469900"/>
                            <a:gd name="connsiteY3" fmla="*/ 369570 h 369570"/>
                            <a:gd name="connisteX4" fmla="*/ 0 w 469900"/>
                            <a:gd name="connsiteY4" fmla="*/ 83820 h 36957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469900" h="369570">
                              <a:moveTo>
                                <a:pt x="0" y="83820"/>
                              </a:moveTo>
                              <a:lnTo>
                                <a:pt x="321310" y="0"/>
                              </a:lnTo>
                              <a:lnTo>
                                <a:pt x="469900" y="315595"/>
                              </a:lnTo>
                              <a:lnTo>
                                <a:pt x="125095" y="369570"/>
                              </a:lnTo>
                              <a:lnTo>
                                <a:pt x="0" y="83820"/>
                              </a:lnTo>
                              <a:close/>
                            </a:path>
                          </a:pathLst>
                        </a:custGeom>
                        <a:no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94.05pt;margin-top:103.05pt;height:29.1pt;width:37pt;z-index:251715584;mso-width-relative:page;mso-height-relative:page;" filled="f" stroked="t" coordsize="469900,369570" o:gfxdata="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aayB/2AAAAAsBAAAPAAAAAAAAAAEAIAAAACIAAABkcnMvZG93bnJldi54bWxQSwECFAAU&#10;AAAACACHTuJA3P4/vg4DAAA1CAAADgAAAAAAAAABACAAAAAnAQAAZHJzL2Uyb0RvYy54bWxQSwUG&#10;AAAAAAYABgBZAQAApwYAAAAA&#10;" path="m0,83820l321310,0,469900,315595,125095,369570,0,83820xe">
                <v:path o:connectlocs="0,83820;321310,0;469900,315595;125095,369570;0,83820" o:connectangles="0,0,0,0,0"/>
                <v:fill on="f" focussize="0,0"/>
                <v:stroke weight="1pt" color="#000000 [3213]"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14560" behindDoc="0" locked="0" layoutInCell="1" allowOverlap="1">
                <wp:simplePos x="0" y="0"/>
                <wp:positionH relativeFrom="column">
                  <wp:posOffset>2487930</wp:posOffset>
                </wp:positionH>
                <wp:positionV relativeFrom="paragraph">
                  <wp:posOffset>1160780</wp:posOffset>
                </wp:positionV>
                <wp:extent cx="280035" cy="166370"/>
                <wp:effectExtent l="24130" t="41910" r="38735" b="58420"/>
                <wp:wrapNone/>
                <wp:docPr id="153" name="矩形 153"/>
                <wp:cNvGraphicFramePr/>
                <a:graphic xmlns:a="http://schemas.openxmlformats.org/drawingml/2006/main">
                  <a:graphicData uri="http://schemas.microsoft.com/office/word/2010/wordprocessingShape">
                    <wps:wsp>
                      <wps:cNvSpPr/>
                      <wps:spPr>
                        <a:xfrm rot="20640000">
                          <a:off x="3601085" y="2345055"/>
                          <a:ext cx="280035" cy="166370"/>
                        </a:xfrm>
                        <a:prstGeom prst="rect">
                          <a:avLst/>
                        </a:prstGeom>
                        <a:no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5.9pt;margin-top:91.4pt;height:13.1pt;width:22.05pt;rotation:-1048576f;z-index:251714560;v-text-anchor:middle;mso-width-relative:page;mso-height-relative:page;" filled="f" stroked="t" coordsize="21600,21600" o:gfxdata="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4qkjN2QAAAAsBAAAPAAAAAAAAAAEAIAAAACIAAABkcnMvZG93&#10;bnJldi54bWxQSwECFAAUAAAACACHTuJAVXf+NXECAADSBAAADgAAAAAAAAABACAAAAAoAQAAZHJz&#10;L2Uyb0RvYy54bWxQSwUGAAAAAAYABgBZAQAACwYAAAAA&#10;">
                <v:fill on="f" focussize="0,0"/>
                <v:stroke weight="1pt" color="#000000 [3213]" joinstyle="round"/>
                <v:imagedata o:title=""/>
                <o:lock v:ext="edit" aspectratio="f"/>
              </v:rect>
            </w:pict>
          </mc:Fallback>
        </mc:AlternateContent>
      </w:r>
      <w:r>
        <w:rPr>
          <w:color w:val="auto"/>
          <w:sz w:val="24"/>
          <w:highlight w:val="none"/>
        </w:rPr>
        <mc:AlternateContent>
          <mc:Choice Requires="wps">
            <w:drawing>
              <wp:anchor distT="0" distB="0" distL="114300" distR="114300" simplePos="0" relativeHeight="251713536" behindDoc="0" locked="0" layoutInCell="1" allowOverlap="1">
                <wp:simplePos x="0" y="0"/>
                <wp:positionH relativeFrom="column">
                  <wp:posOffset>1592580</wp:posOffset>
                </wp:positionH>
                <wp:positionV relativeFrom="paragraph">
                  <wp:posOffset>779780</wp:posOffset>
                </wp:positionV>
                <wp:extent cx="1089660" cy="554355"/>
                <wp:effectExtent l="6350" t="6350" r="8890" b="10795"/>
                <wp:wrapNone/>
                <wp:docPr id="152" name="任意多边形 152"/>
                <wp:cNvGraphicFramePr/>
                <a:graphic xmlns:a="http://schemas.openxmlformats.org/drawingml/2006/main">
                  <a:graphicData uri="http://schemas.microsoft.com/office/word/2010/wordprocessingShape">
                    <wps:wsp>
                      <wps:cNvSpPr/>
                      <wps:spPr>
                        <a:xfrm>
                          <a:off x="2735580" y="1922780"/>
                          <a:ext cx="1089660" cy="554355"/>
                        </a:xfrm>
                        <a:custGeom>
                          <a:avLst/>
                          <a:gdLst>
                            <a:gd name="connisteX0" fmla="*/ 238125 w 1089660"/>
                            <a:gd name="connsiteY0" fmla="*/ 554355 h 554355"/>
                            <a:gd name="connisteX1" fmla="*/ 1089660 w 1089660"/>
                            <a:gd name="connsiteY1" fmla="*/ 328295 h 554355"/>
                            <a:gd name="connisteX2" fmla="*/ 940435 w 1089660"/>
                            <a:gd name="connsiteY2" fmla="*/ 0 h 554355"/>
                            <a:gd name="connisteX3" fmla="*/ 434340 w 1089660"/>
                            <a:gd name="connsiteY3" fmla="*/ 6350 h 554355"/>
                            <a:gd name="connisteX4" fmla="*/ 0 w 1089660"/>
                            <a:gd name="connsiteY4" fmla="*/ 17780 h 554355"/>
                            <a:gd name="connisteX5" fmla="*/ 0 w 1089660"/>
                            <a:gd name="connsiteY5" fmla="*/ 262255 h 554355"/>
                            <a:gd name="connisteX6" fmla="*/ 238125 w 1089660"/>
                            <a:gd name="connsiteY6" fmla="*/ 554355 h 55435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1089660" h="554355">
                              <a:moveTo>
                                <a:pt x="238125" y="554355"/>
                              </a:moveTo>
                              <a:lnTo>
                                <a:pt x="1089660" y="328295"/>
                              </a:lnTo>
                              <a:lnTo>
                                <a:pt x="940435" y="0"/>
                              </a:lnTo>
                              <a:lnTo>
                                <a:pt x="434340" y="6350"/>
                              </a:lnTo>
                              <a:lnTo>
                                <a:pt x="0" y="17780"/>
                              </a:lnTo>
                              <a:lnTo>
                                <a:pt x="0" y="262255"/>
                              </a:lnTo>
                              <a:lnTo>
                                <a:pt x="238125" y="554355"/>
                              </a:lnTo>
                              <a:close/>
                            </a:path>
                          </a:pathLst>
                        </a:custGeom>
                        <a:no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5.4pt;margin-top:61.4pt;height:43.65pt;width:85.8pt;z-index:251713536;mso-width-relative:page;mso-height-relative:page;" filled="f" stroked="t" coordsize="1089660,554355" o:gfxdata="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O1u0G9kAAAALAQAADwAAAAAAAAABACAAAAAiAAAAZHJzL2Rvd25yZXYueG1sUEsB&#10;AhQAFAAAAAgAh07iQHiOnx1KAwAA4AkAAA4AAAAAAAAAAQAgAAAAKAEAAGRycy9lMm9Eb2MueG1s&#10;UEsFBgAAAAAGAAYAWQEAAOQGAAAAAA==&#10;" path="m238125,554355l1089660,328295,940435,0,434340,6350,0,17780,0,262255,238125,554355xe">
                <v:path o:connectlocs="238125,554355;1089660,328295;940435,0;434340,6350;0,17780;0,262255;238125,554355" o:connectangles="0,0,0,0,0,0,0"/>
                <v:fill on="f" focussize="0,0"/>
                <v:stroke weight="1pt" color="#000000 [3213]"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11488" behindDoc="0" locked="0" layoutInCell="1" allowOverlap="1">
                <wp:simplePos x="0" y="0"/>
                <wp:positionH relativeFrom="column">
                  <wp:posOffset>955675</wp:posOffset>
                </wp:positionH>
                <wp:positionV relativeFrom="paragraph">
                  <wp:posOffset>1682750</wp:posOffset>
                </wp:positionV>
                <wp:extent cx="594995" cy="845185"/>
                <wp:effectExtent l="4445" t="4445" r="10160" b="7620"/>
                <wp:wrapNone/>
                <wp:docPr id="150" name="任意多边形 150"/>
                <wp:cNvGraphicFramePr/>
                <a:graphic xmlns:a="http://schemas.openxmlformats.org/drawingml/2006/main">
                  <a:graphicData uri="http://schemas.microsoft.com/office/word/2010/wordprocessingShape">
                    <wps:wsp>
                      <wps:cNvSpPr/>
                      <wps:spPr>
                        <a:xfrm>
                          <a:off x="2098675" y="2825750"/>
                          <a:ext cx="594995" cy="845185"/>
                        </a:xfrm>
                        <a:custGeom>
                          <a:avLst/>
                          <a:gdLst>
                            <a:gd name="connisteX0" fmla="*/ 0 w 594995"/>
                            <a:gd name="connsiteY0" fmla="*/ 47625 h 845185"/>
                            <a:gd name="connisteX1" fmla="*/ 469900 w 594995"/>
                            <a:gd name="connsiteY1" fmla="*/ 0 h 845185"/>
                            <a:gd name="connisteX2" fmla="*/ 594995 w 594995"/>
                            <a:gd name="connsiteY2" fmla="*/ 797560 h 845185"/>
                            <a:gd name="connisteX3" fmla="*/ 178435 w 594995"/>
                            <a:gd name="connsiteY3" fmla="*/ 845185 h 845185"/>
                            <a:gd name="connisteX4" fmla="*/ 0 w 594995"/>
                            <a:gd name="connsiteY4" fmla="*/ 47625 h 84518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594995" h="845185">
                              <a:moveTo>
                                <a:pt x="0" y="47625"/>
                              </a:moveTo>
                              <a:lnTo>
                                <a:pt x="469900" y="0"/>
                              </a:lnTo>
                              <a:lnTo>
                                <a:pt x="594995" y="797560"/>
                              </a:lnTo>
                              <a:lnTo>
                                <a:pt x="178435" y="845185"/>
                              </a:lnTo>
                              <a:lnTo>
                                <a:pt x="0" y="47625"/>
                              </a:lnTo>
                              <a:close/>
                            </a:path>
                          </a:pathLst>
                        </a:custGeom>
                        <a:solidFill>
                          <a:srgbClr val="FFFF00">
                            <a:alpha val="25000"/>
                          </a:srgbClr>
                        </a:solidFill>
                        <a:ln w="9525">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75.25pt;margin-top:132.5pt;height:66.55pt;width:46.85pt;z-index:251711488;mso-width-relative:page;mso-height-relative:page;" fillcolor="#FFFF00" filled="t" stroked="t" coordsize="594995,845185" o:gfxdata="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" path="m0,47625l469900,0,594995,797560,178435,845185,0,47625xe">
                <v:path o:connectlocs="0,47625;469900,0;594995,797560;178435,845185;0,47625" o:connectangles="0,0,0,0,0"/>
                <v:fill on="t" opacity="16384f" focussize="0,0"/>
                <v:stroke color="#FF0000 [2404]" joinstyle="round"/>
                <v:imagedata o:title=""/>
                <o:lock v:ext="edit" aspectratio="f"/>
              </v:shape>
            </w:pict>
          </mc:Fallback>
        </mc:AlternateContent>
      </w:r>
      <w:r>
        <w:rPr>
          <w:rFonts w:ascii="宋体" w:hAnsi="宋体" w:eastAsia="宋体" w:cs="宋体"/>
          <w:color w:val="auto"/>
          <w:sz w:val="24"/>
          <w:szCs w:val="24"/>
          <w:highlight w:val="none"/>
          <w:lang w:eastAsia="zh-CN"/>
        </w:rPr>
        <w:drawing>
          <wp:anchor distT="0" distB="0" distL="114300" distR="114300" simplePos="0" relativeHeight="251710464" behindDoc="0" locked="0" layoutInCell="1" allowOverlap="1">
            <wp:simplePos x="0" y="0"/>
            <wp:positionH relativeFrom="column">
              <wp:posOffset>7886065</wp:posOffset>
            </wp:positionH>
            <wp:positionV relativeFrom="paragraph">
              <wp:posOffset>50165</wp:posOffset>
            </wp:positionV>
            <wp:extent cx="483870" cy="797560"/>
            <wp:effectExtent l="19050" t="19050" r="30480" b="21590"/>
            <wp:wrapNone/>
            <wp:docPr id="149" name="图片 172" descr="抚顺市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72" descr="抚顺市风玫瑰"/>
                    <pic:cNvPicPr>
                      <a:picLocks noChangeAspect="1"/>
                    </pic:cNvPicPr>
                  </pic:nvPicPr>
                  <pic:blipFill>
                    <a:blip r:embed="rId94"/>
                    <a:stretch>
                      <a:fillRect/>
                    </a:stretch>
                  </pic:blipFill>
                  <pic:spPr>
                    <a:xfrm>
                      <a:off x="0" y="0"/>
                      <a:ext cx="483870" cy="797560"/>
                    </a:xfrm>
                    <a:prstGeom prst="rect">
                      <a:avLst/>
                    </a:prstGeom>
                    <a:noFill/>
                    <a:ln w="19050" cap="flat" cmpd="sng">
                      <a:solidFill>
                        <a:srgbClr val="000000"/>
                      </a:solidFill>
                      <a:prstDash val="solid"/>
                      <a:miter/>
                      <a:headEnd type="none" w="med" len="med"/>
                      <a:tailEnd type="none" w="med" len="med"/>
                    </a:ln>
                  </pic:spPr>
                </pic:pic>
              </a:graphicData>
            </a:graphic>
          </wp:anchor>
        </w:drawing>
      </w:r>
    </w:p>
    <w:p w14:paraId="418C1414">
      <w:pPr>
        <w:rPr>
          <w:color w:val="auto"/>
          <w:highlight w:val="none"/>
        </w:rPr>
      </w:pPr>
    </w:p>
    <w:p w14:paraId="4E24F8FE">
      <w:pPr>
        <w:pStyle w:val="3"/>
        <w:keepLines/>
        <w:overflowPunct/>
        <w:snapToGrid/>
        <w:spacing w:before="0" w:after="0" w:line="360" w:lineRule="exact"/>
        <w:rPr>
          <w:rFonts w:eastAsia="宋体"/>
          <w:color w:val="auto"/>
          <w:sz w:val="28"/>
          <w:szCs w:val="28"/>
          <w:highlight w:val="none"/>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1327BC05">
      <w:pPr>
        <w:pStyle w:val="3"/>
        <w:keepLines/>
        <w:overflowPunct/>
        <w:snapToGrid/>
        <w:spacing w:before="0" w:after="0" w:line="360" w:lineRule="exact"/>
        <w:rPr>
          <w:rFonts w:eastAsia="宋体"/>
          <w:color w:val="auto"/>
          <w:sz w:val="28"/>
          <w:szCs w:val="28"/>
          <w:highlight w:val="none"/>
        </w:rPr>
      </w:pPr>
      <w:r>
        <w:rPr>
          <w:rFonts w:eastAsia="宋体"/>
          <w:color w:val="auto"/>
          <w:sz w:val="28"/>
          <w:szCs w:val="28"/>
          <w:highlight w:val="none"/>
        </w:rPr>
        <w:t>附图</w:t>
      </w:r>
      <w:r>
        <w:rPr>
          <w:rFonts w:hint="eastAsia" w:eastAsia="宋体"/>
          <w:color w:val="auto"/>
          <w:sz w:val="28"/>
          <w:szCs w:val="28"/>
          <w:highlight w:val="none"/>
          <w:lang w:val="en-US" w:eastAsia="zh-CN"/>
        </w:rPr>
        <w:t>4防渗分区图</w:t>
      </w:r>
    </w:p>
    <w:p w14:paraId="293F87F4">
      <w:pPr>
        <w:bidi w:val="0"/>
        <w:rPr>
          <w:rFonts w:hint="eastAsia" w:eastAsia="宋体"/>
          <w:color w:val="auto"/>
          <w:highlight w:val="none"/>
          <w:lang w:eastAsia="zh-CN"/>
        </w:rPr>
      </w:pPr>
      <w:r>
        <w:rPr>
          <w:rFonts w:ascii="宋体" w:hAnsi="宋体" w:eastAsia="宋体" w:cs="宋体"/>
          <w:color w:val="auto"/>
          <w:sz w:val="24"/>
          <w:szCs w:val="24"/>
          <w:highlight w:val="none"/>
          <w:lang w:eastAsia="zh-CN"/>
        </w:rPr>
        <w:drawing>
          <wp:anchor distT="0" distB="0" distL="114300" distR="114300" simplePos="0" relativeHeight="251828224" behindDoc="0" locked="0" layoutInCell="1" allowOverlap="1">
            <wp:simplePos x="0" y="0"/>
            <wp:positionH relativeFrom="column">
              <wp:posOffset>7476490</wp:posOffset>
            </wp:positionH>
            <wp:positionV relativeFrom="paragraph">
              <wp:posOffset>31115</wp:posOffset>
            </wp:positionV>
            <wp:extent cx="483870" cy="797560"/>
            <wp:effectExtent l="19050" t="19050" r="30480" b="21590"/>
            <wp:wrapNone/>
            <wp:docPr id="487" name="图片 172" descr="抚顺市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172" descr="抚顺市风玫瑰"/>
                    <pic:cNvPicPr>
                      <a:picLocks noChangeAspect="1"/>
                    </pic:cNvPicPr>
                  </pic:nvPicPr>
                  <pic:blipFill>
                    <a:blip r:embed="rId94"/>
                    <a:stretch>
                      <a:fillRect/>
                    </a:stretch>
                  </pic:blipFill>
                  <pic:spPr>
                    <a:xfrm>
                      <a:off x="0" y="0"/>
                      <a:ext cx="483870" cy="797560"/>
                    </a:xfrm>
                    <a:prstGeom prst="rect">
                      <a:avLst/>
                    </a:prstGeom>
                    <a:noFill/>
                    <a:ln w="19050" cap="flat" cmpd="sng">
                      <a:solidFill>
                        <a:srgbClr val="000000"/>
                      </a:solidFill>
                      <a:prstDash val="solid"/>
                      <a:miter/>
                      <a:headEnd type="none" w="med" len="med"/>
                      <a:tailEnd type="none" w="med" len="med"/>
                    </a:ln>
                  </pic:spPr>
                </pic:pic>
              </a:graphicData>
            </a:graphic>
          </wp:anchor>
        </w:drawing>
      </w:r>
      <w:r>
        <w:rPr>
          <w:rFonts w:hint="eastAsia" w:eastAsia="宋体"/>
          <w:color w:val="auto"/>
          <w:highlight w:val="none"/>
          <w:lang w:eastAsia="zh-CN"/>
        </w:rPr>
        <w:drawing>
          <wp:anchor distT="0" distB="0" distL="114300" distR="114300" simplePos="0" relativeHeight="251792384" behindDoc="1" locked="0" layoutInCell="1" allowOverlap="1">
            <wp:simplePos x="0" y="0"/>
            <wp:positionH relativeFrom="column">
              <wp:posOffset>0</wp:posOffset>
            </wp:positionH>
            <wp:positionV relativeFrom="paragraph">
              <wp:posOffset>0</wp:posOffset>
            </wp:positionV>
            <wp:extent cx="7978140" cy="5213985"/>
            <wp:effectExtent l="9525" t="9525" r="13335" b="15240"/>
            <wp:wrapNone/>
            <wp:docPr id="135" name="图片 135" descr="e777562733b999be4eff763d320dcd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e777562733b999be4eff763d320dcdfc"/>
                    <pic:cNvPicPr>
                      <a:picLocks noChangeAspect="1"/>
                    </pic:cNvPicPr>
                  </pic:nvPicPr>
                  <pic:blipFill>
                    <a:blip r:embed="rId98"/>
                    <a:stretch>
                      <a:fillRect/>
                    </a:stretch>
                  </pic:blipFill>
                  <pic:spPr>
                    <a:xfrm>
                      <a:off x="0" y="0"/>
                      <a:ext cx="7978140" cy="5213985"/>
                    </a:xfrm>
                    <a:prstGeom prst="rect">
                      <a:avLst/>
                    </a:prstGeom>
                    <a:solidFill>
                      <a:srgbClr val="FF0000">
                        <a:alpha val="25000"/>
                      </a:srgbClr>
                    </a:solidFill>
                    <a:ln>
                      <a:solidFill>
                        <a:schemeClr val="tx1"/>
                      </a:solidFill>
                    </a:ln>
                  </pic:spPr>
                </pic:pic>
              </a:graphicData>
            </a:graphic>
          </wp:anchor>
        </w:drawing>
      </w:r>
    </w:p>
    <w:p w14:paraId="475180A4">
      <w:pPr>
        <w:rPr>
          <w:rFonts w:hint="eastAsia" w:eastAsia="宋体"/>
          <w:color w:val="auto"/>
          <w:highlight w:val="none"/>
          <w:lang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color w:val="auto"/>
          <w:sz w:val="21"/>
        </w:rPr>
        <mc:AlternateContent>
          <mc:Choice Requires="wpg">
            <w:drawing>
              <wp:anchor distT="0" distB="0" distL="114300" distR="114300" simplePos="0" relativeHeight="251801600" behindDoc="0" locked="0" layoutInCell="1" allowOverlap="1">
                <wp:simplePos x="0" y="0"/>
                <wp:positionH relativeFrom="column">
                  <wp:posOffset>6488430</wp:posOffset>
                </wp:positionH>
                <wp:positionV relativeFrom="paragraph">
                  <wp:posOffset>4054475</wp:posOffset>
                </wp:positionV>
                <wp:extent cx="1466850" cy="980440"/>
                <wp:effectExtent l="4445" t="5080" r="14605" b="5080"/>
                <wp:wrapNone/>
                <wp:docPr id="457" name="组合 457"/>
                <wp:cNvGraphicFramePr/>
                <a:graphic xmlns:a="http://schemas.openxmlformats.org/drawingml/2006/main">
                  <a:graphicData uri="http://schemas.microsoft.com/office/word/2010/wordprocessingGroup">
                    <wpg:wgp>
                      <wpg:cNvGrpSpPr/>
                      <wpg:grpSpPr>
                        <a:xfrm>
                          <a:off x="0" y="0"/>
                          <a:ext cx="1466850" cy="980440"/>
                          <a:chOff x="12301" y="2309984"/>
                          <a:chExt cx="2310" cy="1544"/>
                        </a:xfrm>
                      </wpg:grpSpPr>
                      <wps:wsp>
                        <wps:cNvPr id="182" name="文本框 182"/>
                        <wps:cNvSpPr txBox="1"/>
                        <wps:spPr>
                          <a:xfrm>
                            <a:off x="12301" y="2309984"/>
                            <a:ext cx="2310" cy="15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FB662F">
                              <w:pPr>
                                <w:keepNext w:val="0"/>
                                <w:keepLines w:val="0"/>
                                <w:pageBreakBefore w:val="0"/>
                                <w:widowControl w:val="0"/>
                                <w:kinsoku/>
                                <w:wordWrap/>
                                <w:overflowPunct/>
                                <w:topLinePunct w:val="0"/>
                                <w:bidi w:val="0"/>
                                <w:adjustRightInd/>
                                <w:snapToGrid/>
                                <w:spacing w:line="240" w:lineRule="auto"/>
                                <w:jc w:val="center"/>
                                <w:textAlignment w:val="auto"/>
                                <w:rPr>
                                  <w:rFonts w:hint="eastAsia"/>
                                  <w:lang w:val="en-US" w:eastAsia="zh-CN"/>
                                </w:rPr>
                              </w:pPr>
                              <w:r>
                                <w:rPr>
                                  <w:rFonts w:hint="eastAsia"/>
                                  <w:lang w:val="en-US" w:eastAsia="zh-CN"/>
                                </w:rPr>
                                <w:t>图例</w:t>
                              </w:r>
                            </w:p>
                            <w:p w14:paraId="2B37B0B3">
                              <w:pPr>
                                <w:keepNext w:val="0"/>
                                <w:keepLines w:val="0"/>
                                <w:pageBreakBefore w:val="0"/>
                                <w:widowControl w:val="0"/>
                                <w:kinsoku/>
                                <w:wordWrap/>
                                <w:overflowPunct/>
                                <w:topLinePunct w:val="0"/>
                                <w:bidi w:val="0"/>
                                <w:adjustRightInd/>
                                <w:snapToGrid/>
                                <w:spacing w:line="240" w:lineRule="auto"/>
                                <w:jc w:val="right"/>
                                <w:textAlignment w:val="auto"/>
                                <w:rPr>
                                  <w:rFonts w:hint="default"/>
                                  <w:lang w:val="en-US" w:eastAsia="zh-CN"/>
                                </w:rPr>
                              </w:pPr>
                              <w:r>
                                <w:rPr>
                                  <w:rFonts w:hint="eastAsia"/>
                                  <w:lang w:val="en-US" w:eastAsia="zh-CN"/>
                                </w:rPr>
                                <w:t>项目所在地</w:t>
                              </w:r>
                            </w:p>
                            <w:p w14:paraId="71845FF1">
                              <w:pPr>
                                <w:keepNext w:val="0"/>
                                <w:keepLines w:val="0"/>
                                <w:pageBreakBefore w:val="0"/>
                                <w:widowControl w:val="0"/>
                                <w:kinsoku/>
                                <w:wordWrap/>
                                <w:overflowPunct/>
                                <w:topLinePunct w:val="0"/>
                                <w:bidi w:val="0"/>
                                <w:adjustRightInd/>
                                <w:snapToGrid/>
                                <w:spacing w:line="240" w:lineRule="auto"/>
                                <w:jc w:val="right"/>
                                <w:textAlignment w:val="auto"/>
                                <w:rPr>
                                  <w:rFonts w:hint="eastAsia"/>
                                  <w:lang w:val="en-US" w:eastAsia="zh-CN"/>
                                </w:rPr>
                              </w:pPr>
                              <w:r>
                                <w:rPr>
                                  <w:rFonts w:hint="eastAsia"/>
                                  <w:lang w:val="en-US" w:eastAsia="zh-CN"/>
                                </w:rPr>
                                <w:t>重点防渗</w:t>
                              </w:r>
                            </w:p>
                            <w:p w14:paraId="0C447FBE">
                              <w:pPr>
                                <w:keepNext w:val="0"/>
                                <w:keepLines w:val="0"/>
                                <w:pageBreakBefore w:val="0"/>
                                <w:widowControl w:val="0"/>
                                <w:kinsoku/>
                                <w:wordWrap/>
                                <w:overflowPunct/>
                                <w:topLinePunct w:val="0"/>
                                <w:bidi w:val="0"/>
                                <w:adjustRightInd/>
                                <w:snapToGrid/>
                                <w:spacing w:line="240" w:lineRule="auto"/>
                                <w:jc w:val="right"/>
                                <w:textAlignment w:val="auto"/>
                                <w:rPr>
                                  <w:rFonts w:hint="eastAsia"/>
                                  <w:lang w:val="en-US" w:eastAsia="zh-CN"/>
                                </w:rPr>
                              </w:pPr>
                              <w:r>
                                <w:rPr>
                                  <w:rFonts w:hint="eastAsia"/>
                                  <w:lang w:val="en-US" w:eastAsia="zh-CN"/>
                                </w:rPr>
                                <w:t>一般防渗</w:t>
                              </w:r>
                            </w:p>
                            <w:p w14:paraId="43122F08">
                              <w:pPr>
                                <w:keepNext w:val="0"/>
                                <w:keepLines w:val="0"/>
                                <w:pageBreakBefore w:val="0"/>
                                <w:widowControl w:val="0"/>
                                <w:kinsoku/>
                                <w:wordWrap/>
                                <w:overflowPunct/>
                                <w:topLinePunct w:val="0"/>
                                <w:bidi w:val="0"/>
                                <w:adjustRightInd/>
                                <w:snapToGrid/>
                                <w:spacing w:line="240" w:lineRule="auto"/>
                                <w:jc w:val="center"/>
                                <w:textAlignment w:val="auto"/>
                                <w:rPr>
                                  <w:rFonts w:hint="default"/>
                                  <w:lang w:val="en-US" w:eastAsia="zh-CN"/>
                                </w:rPr>
                              </w:pPr>
                              <w:r>
                                <w:rPr>
                                  <w:rFonts w:hint="eastAsia"/>
                                  <w:lang w:val="en-US" w:eastAsia="zh-CN"/>
                                </w:rPr>
                                <w:t>比例尺1:3000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456" name="组合 456"/>
                        <wpg:cNvGrpSpPr/>
                        <wpg:grpSpPr>
                          <a:xfrm>
                            <a:off x="12599" y="2310270"/>
                            <a:ext cx="855" cy="899"/>
                            <a:chOff x="12599" y="2310270"/>
                            <a:chExt cx="855" cy="899"/>
                          </a:xfrm>
                        </wpg:grpSpPr>
                        <wps:wsp>
                          <wps:cNvPr id="445" name="任意多边形 445"/>
                          <wps:cNvSpPr/>
                          <wps:spPr>
                            <a:xfrm>
                              <a:off x="12599" y="2310270"/>
                              <a:ext cx="361" cy="345"/>
                            </a:xfrm>
                            <a:custGeom>
                              <a:avLst/>
                              <a:gdLst>
                                <a:gd name="connisteX0" fmla="*/ 0 w 3305175"/>
                                <a:gd name="connsiteY0" fmla="*/ 704850 h 2438400"/>
                                <a:gd name="connisteX1" fmla="*/ 2647950 w 3305175"/>
                                <a:gd name="connsiteY1" fmla="*/ 0 h 2438400"/>
                                <a:gd name="connisteX2" fmla="*/ 2952750 w 3305175"/>
                                <a:gd name="connsiteY2" fmla="*/ 628650 h 2438400"/>
                                <a:gd name="connisteX3" fmla="*/ 2638425 w 3305175"/>
                                <a:gd name="connsiteY3" fmla="*/ 695325 h 2438400"/>
                                <a:gd name="connisteX4" fmla="*/ 3305175 w 3305175"/>
                                <a:gd name="connsiteY4" fmla="*/ 2247900 h 2438400"/>
                                <a:gd name="connisteX5" fmla="*/ 2924175 w 3305175"/>
                                <a:gd name="connsiteY5" fmla="*/ 2343150 h 2438400"/>
                                <a:gd name="connisteX6" fmla="*/ 2209800 w 3305175"/>
                                <a:gd name="connsiteY6" fmla="*/ 2438400 h 2438400"/>
                                <a:gd name="connisteX7" fmla="*/ 1666875 w 3305175"/>
                                <a:gd name="connsiteY7" fmla="*/ 2381250 h 2438400"/>
                                <a:gd name="connisteX8" fmla="*/ 1323975 w 3305175"/>
                                <a:gd name="connsiteY8" fmla="*/ 2190750 h 2438400"/>
                                <a:gd name="connisteX9" fmla="*/ 819150 w 3305175"/>
                                <a:gd name="connsiteY9" fmla="*/ 1657350 h 2438400"/>
                                <a:gd name="connisteX10" fmla="*/ 409575 w 3305175"/>
                                <a:gd name="connsiteY10" fmla="*/ 1219200 h 2438400"/>
                                <a:gd name="connisteX11" fmla="*/ 0 w 3305175"/>
                                <a:gd name="connsiteY11" fmla="*/ 704850 h 24384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Lst>
                              <a:rect l="l" t="t" r="r" b="b"/>
                              <a:pathLst>
                                <a:path w="3305175" h="2438400">
                                  <a:moveTo>
                                    <a:pt x="0" y="704850"/>
                                  </a:moveTo>
                                  <a:lnTo>
                                    <a:pt x="2647950" y="0"/>
                                  </a:lnTo>
                                  <a:lnTo>
                                    <a:pt x="2952750" y="628650"/>
                                  </a:lnTo>
                                  <a:lnTo>
                                    <a:pt x="2638425" y="695325"/>
                                  </a:lnTo>
                                  <a:lnTo>
                                    <a:pt x="3305175" y="2247900"/>
                                  </a:lnTo>
                                  <a:lnTo>
                                    <a:pt x="2924175" y="2343150"/>
                                  </a:lnTo>
                                  <a:lnTo>
                                    <a:pt x="2209800" y="2438400"/>
                                  </a:lnTo>
                                  <a:lnTo>
                                    <a:pt x="1666875" y="2381250"/>
                                  </a:lnTo>
                                  <a:lnTo>
                                    <a:pt x="1323975" y="2190750"/>
                                  </a:lnTo>
                                  <a:lnTo>
                                    <a:pt x="819150" y="1657350"/>
                                  </a:lnTo>
                                  <a:lnTo>
                                    <a:pt x="409575" y="1219200"/>
                                  </a:lnTo>
                                  <a:lnTo>
                                    <a:pt x="0" y="704850"/>
                                  </a:lnTo>
                                  <a:close/>
                                </a:path>
                              </a:pathLst>
                            </a:custGeom>
                            <a:noFill/>
                            <a:ln w="25400">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wps:wsp>
                          <wps:cNvPr id="446" name="任意多边形 446"/>
                          <wps:cNvSpPr/>
                          <wps:spPr>
                            <a:xfrm rot="21420000">
                              <a:off x="13015" y="2310587"/>
                              <a:ext cx="285" cy="315"/>
                            </a:xfrm>
                            <a:custGeom>
                              <a:avLst/>
                              <a:gdLst>
                                <a:gd name="connisteX0" fmla="*/ 781050 w 1066800"/>
                                <a:gd name="connsiteY0" fmla="*/ 0 h 847725"/>
                                <a:gd name="connisteX1" fmla="*/ 1066800 w 1066800"/>
                                <a:gd name="connsiteY1" fmla="*/ 638175 h 847725"/>
                                <a:gd name="connisteX2" fmla="*/ 285750 w 1066800"/>
                                <a:gd name="connsiteY2" fmla="*/ 847725 h 847725"/>
                                <a:gd name="connisteX3" fmla="*/ 0 w 1066800"/>
                                <a:gd name="connsiteY3" fmla="*/ 209550 h 847725"/>
                                <a:gd name="connisteX4" fmla="*/ 781050 w 1066800"/>
                                <a:gd name="connsiteY4" fmla="*/ 0 h 8477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066800" h="847725">
                                  <a:moveTo>
                                    <a:pt x="781050" y="0"/>
                                  </a:moveTo>
                                  <a:lnTo>
                                    <a:pt x="1066800" y="638175"/>
                                  </a:lnTo>
                                  <a:lnTo>
                                    <a:pt x="285750" y="847725"/>
                                  </a:lnTo>
                                  <a:lnTo>
                                    <a:pt x="0" y="209550"/>
                                  </a:lnTo>
                                  <a:lnTo>
                                    <a:pt x="781050" y="0"/>
                                  </a:lnTo>
                                  <a:close/>
                                </a:path>
                              </a:pathLst>
                            </a:custGeom>
                            <a:solidFill>
                              <a:srgbClr val="FF00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wps:wsp>
                          <wps:cNvPr id="453" name="任意多边形 453"/>
                          <wps:cNvSpPr/>
                          <wps:spPr>
                            <a:xfrm>
                              <a:off x="13140" y="2310885"/>
                              <a:ext cx="315" cy="285"/>
                            </a:xfrm>
                            <a:custGeom>
                              <a:avLst/>
                              <a:gdLst>
                                <a:gd name="connisteX0" fmla="*/ 0 w 409575"/>
                                <a:gd name="connsiteY0" fmla="*/ 95250 h 314325"/>
                                <a:gd name="connisteX1" fmla="*/ 133350 w 409575"/>
                                <a:gd name="connsiteY1" fmla="*/ 314325 h 314325"/>
                                <a:gd name="connisteX2" fmla="*/ 409575 w 409575"/>
                                <a:gd name="connsiteY2" fmla="*/ 238125 h 314325"/>
                                <a:gd name="connisteX3" fmla="*/ 314325 w 409575"/>
                                <a:gd name="connsiteY3" fmla="*/ 0 h 314325"/>
                                <a:gd name="connisteX4" fmla="*/ 0 w 409575"/>
                                <a:gd name="connsiteY4" fmla="*/ 95250 h 3143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409575" h="314325">
                                  <a:moveTo>
                                    <a:pt x="0" y="95250"/>
                                  </a:moveTo>
                                  <a:lnTo>
                                    <a:pt x="133350" y="314325"/>
                                  </a:lnTo>
                                  <a:lnTo>
                                    <a:pt x="409575" y="238125"/>
                                  </a:lnTo>
                                  <a:lnTo>
                                    <a:pt x="314325" y="0"/>
                                  </a:lnTo>
                                  <a:lnTo>
                                    <a:pt x="0" y="95250"/>
                                  </a:lnTo>
                                  <a:close/>
                                </a:path>
                              </a:pathLst>
                            </a:custGeom>
                            <a:solidFill>
                              <a:srgbClr val="FFFF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E640592">
                                <w:pPr>
                                  <w:jc w:val="center"/>
                                </w:pPr>
                              </w:p>
                              <w:p w14:paraId="11834D68">
                                <w:pPr>
                                  <w:jc w:val="center"/>
                                </w:pPr>
                              </w:p>
                            </w:txbxContent>
                          </wps:txbx>
                          <wps:bodyPr/>
                        </wps:wsp>
                      </wpg:grpSp>
                    </wpg:wgp>
                  </a:graphicData>
                </a:graphic>
              </wp:anchor>
            </w:drawing>
          </mc:Choice>
          <mc:Fallback>
            <w:pict>
              <v:group id="_x0000_s1026" o:spid="_x0000_s1026" o:spt="203" style="position:absolute;left:0pt;margin-left:510.9pt;margin-top:319.25pt;height:77.2pt;width:115.5pt;z-index:251801600;mso-width-relative:page;mso-height-relative:page;" coordorigin="12301,2309984" coordsize="2310,1544" o:gfxdata="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">
                <o:lock v:ext="edit" aspectratio="f"/>
                <v:shape id="_x0000_s1026" o:spid="_x0000_s1026" o:spt="202" type="#_x0000_t202" style="position:absolute;left:12301;top:2309984;height:1545;width:2310;" fillcolor="#FFFFFF [3201]" filled="t" stroked="t" coordsize="21600,21600" o:gfxdata="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ukugLUAAADc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14:paraId="4BFB662F">
                        <w:pPr>
                          <w:keepNext w:val="0"/>
                          <w:keepLines w:val="0"/>
                          <w:pageBreakBefore w:val="0"/>
                          <w:widowControl w:val="0"/>
                          <w:kinsoku/>
                          <w:wordWrap/>
                          <w:overflowPunct/>
                          <w:topLinePunct w:val="0"/>
                          <w:bidi w:val="0"/>
                          <w:adjustRightInd/>
                          <w:snapToGrid/>
                          <w:spacing w:line="240" w:lineRule="auto"/>
                          <w:jc w:val="center"/>
                          <w:textAlignment w:val="auto"/>
                          <w:rPr>
                            <w:rFonts w:hint="eastAsia"/>
                            <w:lang w:val="en-US" w:eastAsia="zh-CN"/>
                          </w:rPr>
                        </w:pPr>
                        <w:r>
                          <w:rPr>
                            <w:rFonts w:hint="eastAsia"/>
                            <w:lang w:val="en-US" w:eastAsia="zh-CN"/>
                          </w:rPr>
                          <w:t>图例</w:t>
                        </w:r>
                      </w:p>
                      <w:p w14:paraId="2B37B0B3">
                        <w:pPr>
                          <w:keepNext w:val="0"/>
                          <w:keepLines w:val="0"/>
                          <w:pageBreakBefore w:val="0"/>
                          <w:widowControl w:val="0"/>
                          <w:kinsoku/>
                          <w:wordWrap/>
                          <w:overflowPunct/>
                          <w:topLinePunct w:val="0"/>
                          <w:bidi w:val="0"/>
                          <w:adjustRightInd/>
                          <w:snapToGrid/>
                          <w:spacing w:line="240" w:lineRule="auto"/>
                          <w:jc w:val="right"/>
                          <w:textAlignment w:val="auto"/>
                          <w:rPr>
                            <w:rFonts w:hint="default"/>
                            <w:lang w:val="en-US" w:eastAsia="zh-CN"/>
                          </w:rPr>
                        </w:pPr>
                        <w:r>
                          <w:rPr>
                            <w:rFonts w:hint="eastAsia"/>
                            <w:lang w:val="en-US" w:eastAsia="zh-CN"/>
                          </w:rPr>
                          <w:t>项目所在地</w:t>
                        </w:r>
                      </w:p>
                      <w:p w14:paraId="71845FF1">
                        <w:pPr>
                          <w:keepNext w:val="0"/>
                          <w:keepLines w:val="0"/>
                          <w:pageBreakBefore w:val="0"/>
                          <w:widowControl w:val="0"/>
                          <w:kinsoku/>
                          <w:wordWrap/>
                          <w:overflowPunct/>
                          <w:topLinePunct w:val="0"/>
                          <w:bidi w:val="0"/>
                          <w:adjustRightInd/>
                          <w:snapToGrid/>
                          <w:spacing w:line="240" w:lineRule="auto"/>
                          <w:jc w:val="right"/>
                          <w:textAlignment w:val="auto"/>
                          <w:rPr>
                            <w:rFonts w:hint="eastAsia"/>
                            <w:lang w:val="en-US" w:eastAsia="zh-CN"/>
                          </w:rPr>
                        </w:pPr>
                        <w:r>
                          <w:rPr>
                            <w:rFonts w:hint="eastAsia"/>
                            <w:lang w:val="en-US" w:eastAsia="zh-CN"/>
                          </w:rPr>
                          <w:t>重点防渗</w:t>
                        </w:r>
                      </w:p>
                      <w:p w14:paraId="0C447FBE">
                        <w:pPr>
                          <w:keepNext w:val="0"/>
                          <w:keepLines w:val="0"/>
                          <w:pageBreakBefore w:val="0"/>
                          <w:widowControl w:val="0"/>
                          <w:kinsoku/>
                          <w:wordWrap/>
                          <w:overflowPunct/>
                          <w:topLinePunct w:val="0"/>
                          <w:bidi w:val="0"/>
                          <w:adjustRightInd/>
                          <w:snapToGrid/>
                          <w:spacing w:line="240" w:lineRule="auto"/>
                          <w:jc w:val="right"/>
                          <w:textAlignment w:val="auto"/>
                          <w:rPr>
                            <w:rFonts w:hint="eastAsia"/>
                            <w:lang w:val="en-US" w:eastAsia="zh-CN"/>
                          </w:rPr>
                        </w:pPr>
                        <w:r>
                          <w:rPr>
                            <w:rFonts w:hint="eastAsia"/>
                            <w:lang w:val="en-US" w:eastAsia="zh-CN"/>
                          </w:rPr>
                          <w:t>一般防渗</w:t>
                        </w:r>
                      </w:p>
                      <w:p w14:paraId="43122F08">
                        <w:pPr>
                          <w:keepNext w:val="0"/>
                          <w:keepLines w:val="0"/>
                          <w:pageBreakBefore w:val="0"/>
                          <w:widowControl w:val="0"/>
                          <w:kinsoku/>
                          <w:wordWrap/>
                          <w:overflowPunct/>
                          <w:topLinePunct w:val="0"/>
                          <w:bidi w:val="0"/>
                          <w:adjustRightInd/>
                          <w:snapToGrid/>
                          <w:spacing w:line="240" w:lineRule="auto"/>
                          <w:jc w:val="center"/>
                          <w:textAlignment w:val="auto"/>
                          <w:rPr>
                            <w:rFonts w:hint="default"/>
                            <w:lang w:val="en-US" w:eastAsia="zh-CN"/>
                          </w:rPr>
                        </w:pPr>
                        <w:r>
                          <w:rPr>
                            <w:rFonts w:hint="eastAsia"/>
                            <w:lang w:val="en-US" w:eastAsia="zh-CN"/>
                          </w:rPr>
                          <w:t>比例尺1:3000</w:t>
                        </w:r>
                      </w:p>
                    </w:txbxContent>
                  </v:textbox>
                </v:shape>
                <v:group id="_x0000_s1026" o:spid="_x0000_s1026" o:spt="203" style="position:absolute;left:12599;top:2310270;height:899;width:855;" coordorigin="12599,2310270" coordsize="855,899" o:gfxdata="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PiLKe+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12599;top:2310270;height:345;width:361;" filled="f" stroked="t" coordsize="3305175,2438400" o:gfxdata="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kjPnG/&#10;AAAA3AAAAA8AAAAAAAAAAQAgAAAAIgAAAGRycy9kb3ducmV2LnhtbFBLAQIUABQAAAAIAIdO4kAz&#10;LwWeOwAAADkAAAAQAAAAAAAAAAEAIAAAAA4BAABkcnMvc2hhcGV4bWwueG1sUEsFBgAAAAAGAAYA&#10;WwEAALgDAAAAAA==&#10;" path="m0,704850l2647950,0,2952750,628650,2638425,695325,3305175,2247900,2924175,2343150,2209800,2438400,1666875,2381250,1323975,2190750,819150,1657350,409575,1219200,0,704850xe">
                    <v:path o:connectlocs="0,99;289,0;322,88;288,98;361,318;319,331;241,345;182,336;144,309;89,234;44,172;0,99" o:connectangles="0,0,0,0,0,0,0,0,0,0,0,0"/>
                    <v:fill on="f" focussize="0,0"/>
                    <v:stroke weight="2pt" color="#00B050 [2404]" joinstyle="round"/>
                    <v:imagedata o:title=""/>
                    <o:lock v:ext="edit" aspectratio="f"/>
                  </v:shape>
                  <v:shape id="_x0000_s1026" o:spid="_x0000_s1026" o:spt="100" style="position:absolute;left:13015;top:2310587;height:315;width:285;rotation:-196608f;" fillcolor="#FF0000" filled="t" stroked="t" coordsize="1066800,847725" o:gfxdata="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RZa2vQAA&#10;ANwAAAAPAAAAAAAAAAEAIAAAACIAAABkcnMvZG93bnJldi54bWxQSwECFAAUAAAACACHTuJAMy8F&#10;njsAAAA5AAAAEAAAAAAAAAABACAAAAAMAQAAZHJzL3NoYXBleG1sLnhtbFBLBQYAAAAABgAGAFsB&#10;AAC2AwAAAAA=&#10;" path="m781050,0l1066800,638175,285750,847725,0,209550,781050,0xe">
                    <v:path o:connectlocs="208,0;285,237;76,315;0,77;208,0" o:connectangles="0,0,0,0,0"/>
                    <v:fill on="t" opacity="32768f" focussize="0,0"/>
                    <v:stroke color="#000000 [3213]" joinstyle="round"/>
                    <v:imagedata o:title=""/>
                    <o:lock v:ext="edit" aspectratio="f"/>
                  </v:shape>
                  <v:shape id="_x0000_s1026" o:spid="_x0000_s1026" o:spt="100" style="position:absolute;left:13140;top:2310885;height:285;width:315;" fillcolor="#FFFF00" filled="t" stroked="t" coordsize="409575,314325" o:gfxdata="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GTwUvQAA&#10;ANwAAAAPAAAAAAAAAAEAIAAAACIAAABkcnMvZG93bnJldi54bWxQSwECFAAUAAAACACHTuJAMy8F&#10;njsAAAA5AAAAEAAAAAAAAAABACAAAAAMAQAAZHJzL3NoYXBleG1sLnhtbFBLBQYAAAAABgAGAFsB&#10;AAC2AwAAAAA=&#10;" path="m0,95250l133350,314325,409575,238125,314325,0,0,95250xe">
                    <v:path textboxrect="0,0,409575,314325" o:connectlocs="0,86;102,285;315,215;241,0;0,86" o:connectangles="0,0,0,0,0"/>
                    <v:fill on="t" opacity="32768f" focussize="0,0"/>
                    <v:stroke color="#000000 [3213]" joinstyle="round"/>
                    <v:imagedata o:title=""/>
                    <o:lock v:ext="edit" aspectratio="f"/>
                    <v:textbox>
                      <w:txbxContent>
                        <w:p w14:paraId="5E640592">
                          <w:pPr>
                            <w:jc w:val="center"/>
                          </w:pPr>
                        </w:p>
                        <w:p w14:paraId="11834D68">
                          <w:pPr>
                            <w:jc w:val="center"/>
                          </w:pPr>
                        </w:p>
                      </w:txbxContent>
                    </v:textbox>
                  </v:shape>
                </v:group>
              </v:group>
            </w:pict>
          </mc:Fallback>
        </mc:AlternateContent>
      </w:r>
      <w:r>
        <w:rPr>
          <w:color w:val="auto"/>
          <w:sz w:val="21"/>
        </w:rPr>
        <mc:AlternateContent>
          <mc:Choice Requires="wps">
            <w:drawing>
              <wp:anchor distT="0" distB="0" distL="114300" distR="114300" simplePos="0" relativeHeight="251800576" behindDoc="0" locked="0" layoutInCell="1" allowOverlap="1">
                <wp:simplePos x="0" y="0"/>
                <wp:positionH relativeFrom="column">
                  <wp:posOffset>1201420</wp:posOffset>
                </wp:positionH>
                <wp:positionV relativeFrom="paragraph">
                  <wp:posOffset>797560</wp:posOffset>
                </wp:positionV>
                <wp:extent cx="3305175" cy="2438400"/>
                <wp:effectExtent l="12700" t="12700" r="15875" b="25400"/>
                <wp:wrapNone/>
                <wp:docPr id="444" name="任意多边形 444"/>
                <wp:cNvGraphicFramePr/>
                <a:graphic xmlns:a="http://schemas.openxmlformats.org/drawingml/2006/main">
                  <a:graphicData uri="http://schemas.microsoft.com/office/word/2010/wordprocessingShape">
                    <wps:wsp>
                      <wps:cNvSpPr/>
                      <wps:spPr>
                        <a:xfrm>
                          <a:off x="2344420" y="2093595"/>
                          <a:ext cx="3305175" cy="2438400"/>
                        </a:xfrm>
                        <a:custGeom>
                          <a:avLst/>
                          <a:gdLst>
                            <a:gd name="connisteX0" fmla="*/ 0 w 3305175"/>
                            <a:gd name="connsiteY0" fmla="*/ 704850 h 2438400"/>
                            <a:gd name="connisteX1" fmla="*/ 2647950 w 3305175"/>
                            <a:gd name="connsiteY1" fmla="*/ 0 h 2438400"/>
                            <a:gd name="connisteX2" fmla="*/ 2952750 w 3305175"/>
                            <a:gd name="connsiteY2" fmla="*/ 628650 h 2438400"/>
                            <a:gd name="connisteX3" fmla="*/ 2638425 w 3305175"/>
                            <a:gd name="connsiteY3" fmla="*/ 695325 h 2438400"/>
                            <a:gd name="connisteX4" fmla="*/ 3305175 w 3305175"/>
                            <a:gd name="connsiteY4" fmla="*/ 2247900 h 2438400"/>
                            <a:gd name="connisteX5" fmla="*/ 2924175 w 3305175"/>
                            <a:gd name="connsiteY5" fmla="*/ 2343150 h 2438400"/>
                            <a:gd name="connisteX6" fmla="*/ 2209800 w 3305175"/>
                            <a:gd name="connsiteY6" fmla="*/ 2438400 h 2438400"/>
                            <a:gd name="connisteX7" fmla="*/ 1666875 w 3305175"/>
                            <a:gd name="connsiteY7" fmla="*/ 2381250 h 2438400"/>
                            <a:gd name="connisteX8" fmla="*/ 1323975 w 3305175"/>
                            <a:gd name="connsiteY8" fmla="*/ 2190750 h 2438400"/>
                            <a:gd name="connisteX9" fmla="*/ 819150 w 3305175"/>
                            <a:gd name="connsiteY9" fmla="*/ 1657350 h 2438400"/>
                            <a:gd name="connisteX10" fmla="*/ 409575 w 3305175"/>
                            <a:gd name="connsiteY10" fmla="*/ 1219200 h 2438400"/>
                            <a:gd name="connisteX11" fmla="*/ 0 w 3305175"/>
                            <a:gd name="connsiteY11" fmla="*/ 704850 h 24384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Lst>
                          <a:rect l="l" t="t" r="r" b="b"/>
                          <a:pathLst>
                            <a:path w="3305175" h="2438400">
                              <a:moveTo>
                                <a:pt x="0" y="704850"/>
                              </a:moveTo>
                              <a:lnTo>
                                <a:pt x="2647950" y="0"/>
                              </a:lnTo>
                              <a:lnTo>
                                <a:pt x="2952750" y="628650"/>
                              </a:lnTo>
                              <a:lnTo>
                                <a:pt x="2638425" y="695325"/>
                              </a:lnTo>
                              <a:lnTo>
                                <a:pt x="3305175" y="2247900"/>
                              </a:lnTo>
                              <a:lnTo>
                                <a:pt x="2924175" y="2343150"/>
                              </a:lnTo>
                              <a:lnTo>
                                <a:pt x="2209800" y="2438400"/>
                              </a:lnTo>
                              <a:lnTo>
                                <a:pt x="1666875" y="2381250"/>
                              </a:lnTo>
                              <a:lnTo>
                                <a:pt x="1323975" y="2190750"/>
                              </a:lnTo>
                              <a:lnTo>
                                <a:pt x="819150" y="1657350"/>
                              </a:lnTo>
                              <a:lnTo>
                                <a:pt x="409575" y="1219200"/>
                              </a:lnTo>
                              <a:lnTo>
                                <a:pt x="0" y="704850"/>
                              </a:lnTo>
                              <a:close/>
                            </a:path>
                          </a:pathLst>
                        </a:custGeom>
                        <a:noFill/>
                        <a:ln w="25400">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94.6pt;margin-top:62.8pt;height:192pt;width:260.25pt;z-index:251800576;mso-width-relative:page;mso-height-relative:page;" filled="f" stroked="t" coordsize="3305175,2438400" o:gfxdata="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" path="m0,704850l2647950,0,2952750,628650,2638425,695325,3305175,2247900,2924175,2343150,2209800,2438400,1666875,2381250,1323975,2190750,819150,1657350,409575,1219200,0,704850xe">
                <v:path o:connectlocs="0,704850;2647950,0;2952750,628650;2638425,695325;3305175,2247900;2924175,2343150;2209800,2438400;1666875,2381250;1323975,2190750;819150,1657350;409575,1219200;0,704850" o:connectangles="0,0,0,0,0,0,0,0,0,0,0,0"/>
                <v:fill on="f" focussize="0,0"/>
                <v:stroke weight="2pt" color="#00B050 [2404]" joinstyle="round"/>
                <v:imagedata o:title=""/>
                <o:lock v:ext="edit" aspectratio="f"/>
              </v:shape>
            </w:pict>
          </mc:Fallback>
        </mc:AlternateContent>
      </w:r>
      <w:r>
        <w:rPr>
          <w:color w:val="auto"/>
          <w:sz w:val="21"/>
        </w:rPr>
        <mc:AlternateContent>
          <mc:Choice Requires="wps">
            <w:drawing>
              <wp:anchor distT="0" distB="0" distL="114300" distR="114300" simplePos="0" relativeHeight="251799552" behindDoc="0" locked="0" layoutInCell="1" allowOverlap="1">
                <wp:simplePos x="0" y="0"/>
                <wp:positionH relativeFrom="column">
                  <wp:posOffset>2830195</wp:posOffset>
                </wp:positionH>
                <wp:positionV relativeFrom="paragraph">
                  <wp:posOffset>1502410</wp:posOffset>
                </wp:positionV>
                <wp:extent cx="1323975" cy="1000125"/>
                <wp:effectExtent l="4445" t="4445" r="5080" b="5080"/>
                <wp:wrapNone/>
                <wp:docPr id="438" name="任意多边形 438"/>
                <wp:cNvGraphicFramePr/>
                <a:graphic xmlns:a="http://schemas.openxmlformats.org/drawingml/2006/main">
                  <a:graphicData uri="http://schemas.microsoft.com/office/word/2010/wordprocessingShape">
                    <wps:wsp>
                      <wps:cNvSpPr/>
                      <wps:spPr>
                        <a:xfrm>
                          <a:off x="3973195" y="2798445"/>
                          <a:ext cx="1323975" cy="1000125"/>
                        </a:xfrm>
                        <a:custGeom>
                          <a:avLst/>
                          <a:gdLst>
                            <a:gd name="connisteX0" fmla="*/ 1162050 w 1323975"/>
                            <a:gd name="connsiteY0" fmla="*/ 819150 h 1000125"/>
                            <a:gd name="connisteX1" fmla="*/ 1323975 w 1323975"/>
                            <a:gd name="connsiteY1" fmla="*/ 771525 h 1000125"/>
                            <a:gd name="connisteX2" fmla="*/ 981075 w 1323975"/>
                            <a:gd name="connsiteY2" fmla="*/ 0 h 1000125"/>
                            <a:gd name="connisteX3" fmla="*/ 0 w 1323975"/>
                            <a:gd name="connsiteY3" fmla="*/ 247650 h 1000125"/>
                            <a:gd name="connisteX4" fmla="*/ 333375 w 1323975"/>
                            <a:gd name="connsiteY4" fmla="*/ 1000125 h 1000125"/>
                            <a:gd name="connisteX5" fmla="*/ 1143000 w 1323975"/>
                            <a:gd name="connsiteY5" fmla="*/ 771525 h 1000125"/>
                            <a:gd name="connisteX6" fmla="*/ 1162050 w 1323975"/>
                            <a:gd name="connsiteY6" fmla="*/ 819150 h 10001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1323975" h="1000125">
                              <a:moveTo>
                                <a:pt x="1162050" y="819150"/>
                              </a:moveTo>
                              <a:lnTo>
                                <a:pt x="1323975" y="771525"/>
                              </a:lnTo>
                              <a:lnTo>
                                <a:pt x="981075" y="0"/>
                              </a:lnTo>
                              <a:lnTo>
                                <a:pt x="0" y="247650"/>
                              </a:lnTo>
                              <a:lnTo>
                                <a:pt x="333375" y="1000125"/>
                              </a:lnTo>
                              <a:lnTo>
                                <a:pt x="1143000" y="771525"/>
                              </a:lnTo>
                              <a:lnTo>
                                <a:pt x="1162050" y="819150"/>
                              </a:lnTo>
                              <a:close/>
                            </a:path>
                          </a:pathLst>
                        </a:custGeom>
                        <a:solidFill>
                          <a:srgbClr val="FFFF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22.85pt;margin-top:118.3pt;height:78.75pt;width:104.25pt;z-index:251799552;mso-width-relative:page;mso-height-relative:page;" fillcolor="#FFFF00" filled="t" stroked="t" coordsize="1323975,1000125" o:gfxdata="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" path="m1162050,819150l1323975,771525,981075,0,0,247650,333375,1000125,1143000,771525,1162050,819150xe">
                <v:path o:connectlocs="1162050,819150;1323975,771525;981075,0;0,247650;333375,1000125;1143000,771525;1162050,819150" o:connectangles="0,0,0,0,0,0,0"/>
                <v:fill on="t" opacity="32768f" focussize="0,0"/>
                <v:stroke color="#000000 [3213]" joinstyle="round"/>
                <v:imagedata o:title=""/>
                <o:lock v:ext="edit" aspectratio="f"/>
              </v:shape>
            </w:pict>
          </mc:Fallback>
        </mc:AlternateContent>
      </w:r>
      <w:r>
        <w:rPr>
          <w:color w:val="auto"/>
          <w:sz w:val="21"/>
        </w:rPr>
        <mc:AlternateContent>
          <mc:Choice Requires="wps">
            <w:drawing>
              <wp:anchor distT="0" distB="0" distL="114300" distR="114300" simplePos="0" relativeHeight="251798528" behindDoc="0" locked="0" layoutInCell="1" allowOverlap="1">
                <wp:simplePos x="0" y="0"/>
                <wp:positionH relativeFrom="column">
                  <wp:posOffset>2230120</wp:posOffset>
                </wp:positionH>
                <wp:positionV relativeFrom="paragraph">
                  <wp:posOffset>1683385</wp:posOffset>
                </wp:positionV>
                <wp:extent cx="447675" cy="352425"/>
                <wp:effectExtent l="4445" t="4445" r="5080" b="5080"/>
                <wp:wrapNone/>
                <wp:docPr id="402" name="任意多边形 402"/>
                <wp:cNvGraphicFramePr/>
                <a:graphic xmlns:a="http://schemas.openxmlformats.org/drawingml/2006/main">
                  <a:graphicData uri="http://schemas.microsoft.com/office/word/2010/wordprocessingShape">
                    <wps:wsp>
                      <wps:cNvSpPr/>
                      <wps:spPr>
                        <a:xfrm>
                          <a:off x="3373120" y="2979420"/>
                          <a:ext cx="447675" cy="352425"/>
                        </a:xfrm>
                        <a:custGeom>
                          <a:avLst/>
                          <a:gdLst>
                            <a:gd name="connisteX0" fmla="*/ 0 w 447675"/>
                            <a:gd name="connsiteY0" fmla="*/ 114300 h 352425"/>
                            <a:gd name="connisteX1" fmla="*/ 104775 w 447675"/>
                            <a:gd name="connsiteY1" fmla="*/ 352425 h 352425"/>
                            <a:gd name="connisteX2" fmla="*/ 447675 w 447675"/>
                            <a:gd name="connsiteY2" fmla="*/ 266700 h 352425"/>
                            <a:gd name="connisteX3" fmla="*/ 342900 w 447675"/>
                            <a:gd name="connsiteY3" fmla="*/ 0 h 352425"/>
                            <a:gd name="connisteX4" fmla="*/ 0 w 447675"/>
                            <a:gd name="connsiteY4" fmla="*/ 114300 h 3524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447675" h="352425">
                              <a:moveTo>
                                <a:pt x="0" y="114300"/>
                              </a:moveTo>
                              <a:lnTo>
                                <a:pt x="104775" y="352425"/>
                              </a:lnTo>
                              <a:lnTo>
                                <a:pt x="447675" y="266700"/>
                              </a:lnTo>
                              <a:lnTo>
                                <a:pt x="342900" y="0"/>
                              </a:lnTo>
                              <a:lnTo>
                                <a:pt x="0" y="114300"/>
                              </a:lnTo>
                              <a:close/>
                            </a:path>
                          </a:pathLst>
                        </a:custGeom>
                        <a:solidFill>
                          <a:srgbClr val="FFFF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75.6pt;margin-top:132.55pt;height:27.75pt;width:35.25pt;z-index:251798528;mso-width-relative:page;mso-height-relative:page;" fillcolor="#FFFF00" filled="t" stroked="t" coordsize="447675,352425" o:gfxdata="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rFsl0NoAAAALAQAADwAAAAAAAAABACAAAAAi&#10;AAAAZHJzL2Rvd25yZXYueG1sUEsBAhQAFAAAAAgAh07iQFZ20KolAwAAgggAAA4AAAAAAAAAAQAg&#10;AAAAKQEAAGRycy9lMm9Eb2MueG1sUEsFBgAAAAAGAAYAWQEAAMAGAAAAAA==&#10;" path="m0,114300l104775,352425,447675,266700,342900,0,0,114300xe">
                <v:path o:connectlocs="0,114300;104775,352425;447675,266700;342900,0;0,114300" o:connectangles="0,0,0,0,0"/>
                <v:fill on="t" opacity="32768f" focussize="0,0"/>
                <v:stroke color="#000000 [3213]" joinstyle="round"/>
                <v:imagedata o:title=""/>
                <o:lock v:ext="edit" aspectratio="f"/>
              </v:shape>
            </w:pict>
          </mc:Fallback>
        </mc:AlternateContent>
      </w:r>
      <w:r>
        <w:rPr>
          <w:color w:val="auto"/>
          <w:sz w:val="21"/>
        </w:rPr>
        <mc:AlternateContent>
          <mc:Choice Requires="wps">
            <w:drawing>
              <wp:anchor distT="0" distB="0" distL="114300" distR="114300" simplePos="0" relativeHeight="251797504" behindDoc="0" locked="0" layoutInCell="1" allowOverlap="1">
                <wp:simplePos x="0" y="0"/>
                <wp:positionH relativeFrom="column">
                  <wp:posOffset>1668145</wp:posOffset>
                </wp:positionH>
                <wp:positionV relativeFrom="paragraph">
                  <wp:posOffset>1854835</wp:posOffset>
                </wp:positionV>
                <wp:extent cx="409575" cy="314325"/>
                <wp:effectExtent l="4445" t="4445" r="5080" b="5080"/>
                <wp:wrapNone/>
                <wp:docPr id="401" name="任意多边形 401"/>
                <wp:cNvGraphicFramePr/>
                <a:graphic xmlns:a="http://schemas.openxmlformats.org/drawingml/2006/main">
                  <a:graphicData uri="http://schemas.microsoft.com/office/word/2010/wordprocessingShape">
                    <wps:wsp>
                      <wps:cNvSpPr/>
                      <wps:spPr>
                        <a:xfrm>
                          <a:off x="2811145" y="3150870"/>
                          <a:ext cx="409575" cy="314325"/>
                        </a:xfrm>
                        <a:custGeom>
                          <a:avLst/>
                          <a:gdLst>
                            <a:gd name="connisteX0" fmla="*/ 0 w 409575"/>
                            <a:gd name="connsiteY0" fmla="*/ 95250 h 314325"/>
                            <a:gd name="connisteX1" fmla="*/ 133350 w 409575"/>
                            <a:gd name="connsiteY1" fmla="*/ 314325 h 314325"/>
                            <a:gd name="connisteX2" fmla="*/ 409575 w 409575"/>
                            <a:gd name="connsiteY2" fmla="*/ 238125 h 314325"/>
                            <a:gd name="connisteX3" fmla="*/ 314325 w 409575"/>
                            <a:gd name="connsiteY3" fmla="*/ 0 h 314325"/>
                            <a:gd name="connisteX4" fmla="*/ 0 w 409575"/>
                            <a:gd name="connsiteY4" fmla="*/ 95250 h 3143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409575" h="314325">
                              <a:moveTo>
                                <a:pt x="0" y="95250"/>
                              </a:moveTo>
                              <a:lnTo>
                                <a:pt x="133350" y="314325"/>
                              </a:lnTo>
                              <a:lnTo>
                                <a:pt x="409575" y="238125"/>
                              </a:lnTo>
                              <a:lnTo>
                                <a:pt x="314325" y="0"/>
                              </a:lnTo>
                              <a:lnTo>
                                <a:pt x="0" y="95250"/>
                              </a:lnTo>
                              <a:close/>
                            </a:path>
                          </a:pathLst>
                        </a:custGeom>
                        <a:solidFill>
                          <a:srgbClr val="FFFF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C579D44">
                            <w:pPr>
                              <w:jc w:val="center"/>
                            </w:pPr>
                          </w:p>
                          <w:p w14:paraId="4EF47E72">
                            <w:pPr>
                              <w:jc w:val="center"/>
                            </w:pPr>
                          </w:p>
                        </w:txbxContent>
                      </wps:txbx>
                      <wps:bodyPr/>
                    </wps:wsp>
                  </a:graphicData>
                </a:graphic>
              </wp:anchor>
            </w:drawing>
          </mc:Choice>
          <mc:Fallback>
            <w:pict>
              <v:shape id="_x0000_s1026" o:spid="_x0000_s1026" o:spt="100" style="position:absolute;left:0pt;margin-left:131.35pt;margin-top:146.05pt;height:24.75pt;width:32.25pt;z-index:251797504;mso-width-relative:page;mso-height-relative:page;" fillcolor="#FFFF00" filled="t" stroked="t" coordsize="409575,314325" o:gfxdata="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xj+SB9gAAAALAQAADwAAAAAAAAABACAA&#10;AAAiAAAAZHJzL2Rvd25yZXYueG1sUEsBAhQAFAAAAAgAh07iQJbpDLkqAwAAiQgAAA4AAAAAAAAA&#10;AQAgAAAAJwEAAGRycy9lMm9Eb2MueG1sUEsFBgAAAAAGAAYAWQEAAMMGAAAAAA==&#10;" path="m0,95250l133350,314325,409575,238125,314325,0,0,95250xe">
                <v:path textboxrect="0,0,409575,314325" o:connectlocs="0,95250;133350,314325;409575,238125;314325,0;0,95250" o:connectangles="0,0,0,0,0"/>
                <v:fill on="t" opacity="32768f" focussize="0,0"/>
                <v:stroke color="#000000 [3213]" joinstyle="round"/>
                <v:imagedata o:title=""/>
                <o:lock v:ext="edit" aspectratio="f"/>
                <v:textbox>
                  <w:txbxContent>
                    <w:p w14:paraId="7C579D44">
                      <w:pPr>
                        <w:jc w:val="center"/>
                      </w:pPr>
                    </w:p>
                    <w:p w14:paraId="4EF47E72">
                      <w:pPr>
                        <w:jc w:val="center"/>
                      </w:pPr>
                    </w:p>
                  </w:txbxContent>
                </v:textbox>
              </v:shape>
            </w:pict>
          </mc:Fallback>
        </mc:AlternateContent>
      </w:r>
      <w:r>
        <w:rPr>
          <w:color w:val="auto"/>
          <w:sz w:val="21"/>
        </w:rPr>
        <mc:AlternateContent>
          <mc:Choice Requires="wps">
            <w:drawing>
              <wp:anchor distT="0" distB="0" distL="114300" distR="114300" simplePos="0" relativeHeight="251796480" behindDoc="0" locked="0" layoutInCell="1" allowOverlap="1">
                <wp:simplePos x="0" y="0"/>
                <wp:positionH relativeFrom="column">
                  <wp:posOffset>3617595</wp:posOffset>
                </wp:positionH>
                <wp:positionV relativeFrom="paragraph">
                  <wp:posOffset>3065780</wp:posOffset>
                </wp:positionV>
                <wp:extent cx="142875" cy="114300"/>
                <wp:effectExtent l="4445" t="4445" r="5080" b="14605"/>
                <wp:wrapNone/>
                <wp:docPr id="181" name="任意多边形 181"/>
                <wp:cNvGraphicFramePr/>
                <a:graphic xmlns:a="http://schemas.openxmlformats.org/drawingml/2006/main">
                  <a:graphicData uri="http://schemas.microsoft.com/office/word/2010/wordprocessingShape">
                    <wps:wsp>
                      <wps:cNvSpPr/>
                      <wps:spPr>
                        <a:xfrm>
                          <a:off x="0" y="0"/>
                          <a:ext cx="142875" cy="114300"/>
                        </a:xfrm>
                        <a:custGeom>
                          <a:avLst/>
                          <a:gdLst>
                            <a:gd name="connisteX0" fmla="*/ 781050 w 1066800"/>
                            <a:gd name="connsiteY0" fmla="*/ 0 h 847725"/>
                            <a:gd name="connisteX1" fmla="*/ 1066800 w 1066800"/>
                            <a:gd name="connsiteY1" fmla="*/ 638175 h 847725"/>
                            <a:gd name="connisteX2" fmla="*/ 285750 w 1066800"/>
                            <a:gd name="connsiteY2" fmla="*/ 847725 h 847725"/>
                            <a:gd name="connisteX3" fmla="*/ 0 w 1066800"/>
                            <a:gd name="connsiteY3" fmla="*/ 209550 h 847725"/>
                            <a:gd name="connisteX4" fmla="*/ 781050 w 1066800"/>
                            <a:gd name="connsiteY4" fmla="*/ 0 h 8477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066800" h="847725">
                              <a:moveTo>
                                <a:pt x="781050" y="0"/>
                              </a:moveTo>
                              <a:lnTo>
                                <a:pt x="1066800" y="638175"/>
                              </a:lnTo>
                              <a:lnTo>
                                <a:pt x="285750" y="847725"/>
                              </a:lnTo>
                              <a:lnTo>
                                <a:pt x="0" y="209550"/>
                              </a:lnTo>
                              <a:lnTo>
                                <a:pt x="781050" y="0"/>
                              </a:lnTo>
                              <a:close/>
                            </a:path>
                          </a:pathLst>
                        </a:custGeom>
                        <a:solidFill>
                          <a:srgbClr val="FF00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84.85pt;margin-top:241.4pt;height:9pt;width:11.25pt;z-index:251796480;mso-width-relative:page;mso-height-relative:page;" fillcolor="#FF0000" filled="t" stroked="t" coordsize="1066800,847725" o:gfxdata="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Bo0NF92wAAAAsBAAAPAAAAAAAAAAEAIAAAACIA&#10;AABkcnMvZG93bnJldi54bWxQSwECFAAUAAAACACHTuJAszJJVSMDAAB+CAAADgAAAAAAAAABACAA&#10;AAAqAQAAZHJzL2Uyb0RvYy54bWxQSwUGAAAAAAYABgBZAQAAvwYAAAAA&#10;" path="m781050,0l1066800,638175,285750,847725,0,209550,781050,0xe">
                <v:path o:connectlocs="104604,0;142875,86046;38270,114300;0,28253;104604,0" o:connectangles="0,0,0,0,0"/>
                <v:fill on="t" opacity="32768f" focussize="0,0"/>
                <v:stroke color="#000000 [3213]" joinstyle="round"/>
                <v:imagedata o:title=""/>
                <o:lock v:ext="edit" aspectratio="f"/>
              </v:shape>
            </w:pict>
          </mc:Fallback>
        </mc:AlternateContent>
      </w:r>
      <w:r>
        <w:rPr>
          <w:color w:val="auto"/>
          <w:sz w:val="21"/>
        </w:rPr>
        <mc:AlternateContent>
          <mc:Choice Requires="wps">
            <w:drawing>
              <wp:anchor distT="0" distB="0" distL="114300" distR="114300" simplePos="0" relativeHeight="251795456" behindDoc="0" locked="0" layoutInCell="1" allowOverlap="1">
                <wp:simplePos x="0" y="0"/>
                <wp:positionH relativeFrom="column">
                  <wp:posOffset>3255645</wp:posOffset>
                </wp:positionH>
                <wp:positionV relativeFrom="paragraph">
                  <wp:posOffset>2961005</wp:posOffset>
                </wp:positionV>
                <wp:extent cx="180975" cy="200025"/>
                <wp:effectExtent l="6985" t="6985" r="21590" b="21590"/>
                <wp:wrapNone/>
                <wp:docPr id="180" name="任意多边形 180"/>
                <wp:cNvGraphicFramePr/>
                <a:graphic xmlns:a="http://schemas.openxmlformats.org/drawingml/2006/main">
                  <a:graphicData uri="http://schemas.microsoft.com/office/word/2010/wordprocessingShape">
                    <wps:wsp>
                      <wps:cNvSpPr/>
                      <wps:spPr>
                        <a:xfrm rot="21420000">
                          <a:off x="0" y="0"/>
                          <a:ext cx="180975" cy="200025"/>
                        </a:xfrm>
                        <a:custGeom>
                          <a:avLst/>
                          <a:gdLst>
                            <a:gd name="connisteX0" fmla="*/ 781050 w 1066800"/>
                            <a:gd name="connsiteY0" fmla="*/ 0 h 847725"/>
                            <a:gd name="connisteX1" fmla="*/ 1066800 w 1066800"/>
                            <a:gd name="connsiteY1" fmla="*/ 638175 h 847725"/>
                            <a:gd name="connisteX2" fmla="*/ 285750 w 1066800"/>
                            <a:gd name="connsiteY2" fmla="*/ 847725 h 847725"/>
                            <a:gd name="connisteX3" fmla="*/ 0 w 1066800"/>
                            <a:gd name="connsiteY3" fmla="*/ 209550 h 847725"/>
                            <a:gd name="connisteX4" fmla="*/ 781050 w 1066800"/>
                            <a:gd name="connsiteY4" fmla="*/ 0 h 8477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066800" h="847725">
                              <a:moveTo>
                                <a:pt x="781050" y="0"/>
                              </a:moveTo>
                              <a:lnTo>
                                <a:pt x="1066800" y="638175"/>
                              </a:lnTo>
                              <a:lnTo>
                                <a:pt x="285750" y="847725"/>
                              </a:lnTo>
                              <a:lnTo>
                                <a:pt x="0" y="209550"/>
                              </a:lnTo>
                              <a:lnTo>
                                <a:pt x="781050" y="0"/>
                              </a:lnTo>
                              <a:close/>
                            </a:path>
                          </a:pathLst>
                        </a:custGeom>
                        <a:solidFill>
                          <a:srgbClr val="FF00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6.35pt;margin-top:233.15pt;height:15.75pt;width:14.25pt;rotation:-196608f;z-index:251795456;mso-width-relative:page;mso-height-relative:page;" fillcolor="#FF0000" filled="t" stroked="t" coordsize="1066800,847725" o:gfxdata="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i6pfDdkAAAALAQAADwAAAAAAAAABACAA&#10;AAAiAAAAZHJzL2Rvd25yZXYueG1sUEsBAhQAFAAAAAgAh07iQMFsutwpAwAAjQgAAA4AAAAAAAAA&#10;AQAgAAAAKAEAAGRycy9lMm9Eb2MueG1sUEsFBgAAAAAGAAYAWQEAAMMGAAAAAA==&#10;" path="m781050,0l1066800,638175,285750,847725,0,209550,781050,0xe">
                <v:path o:connectlocs="132499,0;180975,150580;48475,200025;0,49444;132499,0" o:connectangles="0,0,0,0,0"/>
                <v:fill on="t" opacity="32768f" focussize="0,0"/>
                <v:stroke color="#000000 [3213]" joinstyle="round"/>
                <v:imagedata o:title=""/>
                <o:lock v:ext="edit" aspectratio="f"/>
              </v:shape>
            </w:pict>
          </mc:Fallback>
        </mc:AlternateContent>
      </w:r>
      <w:r>
        <w:rPr>
          <w:color w:val="auto"/>
          <w:sz w:val="21"/>
        </w:rPr>
        <mc:AlternateContent>
          <mc:Choice Requires="wps">
            <w:drawing>
              <wp:anchor distT="0" distB="0" distL="114300" distR="114300" simplePos="0" relativeHeight="251794432" behindDoc="0" locked="0" layoutInCell="1" allowOverlap="1">
                <wp:simplePos x="0" y="0"/>
                <wp:positionH relativeFrom="column">
                  <wp:posOffset>3179445</wp:posOffset>
                </wp:positionH>
                <wp:positionV relativeFrom="paragraph">
                  <wp:posOffset>2294255</wp:posOffset>
                </wp:positionV>
                <wp:extent cx="1066800" cy="847725"/>
                <wp:effectExtent l="4445" t="4445" r="14605" b="5080"/>
                <wp:wrapNone/>
                <wp:docPr id="179" name="任意多边形 179"/>
                <wp:cNvGraphicFramePr/>
                <a:graphic xmlns:a="http://schemas.openxmlformats.org/drawingml/2006/main">
                  <a:graphicData uri="http://schemas.microsoft.com/office/word/2010/wordprocessingShape">
                    <wps:wsp>
                      <wps:cNvSpPr/>
                      <wps:spPr>
                        <a:xfrm>
                          <a:off x="4322445" y="3590290"/>
                          <a:ext cx="1066800" cy="847725"/>
                        </a:xfrm>
                        <a:custGeom>
                          <a:avLst/>
                          <a:gdLst>
                            <a:gd name="connisteX0" fmla="*/ 781050 w 1066800"/>
                            <a:gd name="connsiteY0" fmla="*/ 0 h 847725"/>
                            <a:gd name="connisteX1" fmla="*/ 1066800 w 1066800"/>
                            <a:gd name="connsiteY1" fmla="*/ 638175 h 847725"/>
                            <a:gd name="connisteX2" fmla="*/ 285750 w 1066800"/>
                            <a:gd name="connsiteY2" fmla="*/ 847725 h 847725"/>
                            <a:gd name="connisteX3" fmla="*/ 0 w 1066800"/>
                            <a:gd name="connsiteY3" fmla="*/ 209550 h 847725"/>
                            <a:gd name="connisteX4" fmla="*/ 781050 w 1066800"/>
                            <a:gd name="connsiteY4" fmla="*/ 0 h 8477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1066800" h="847725">
                              <a:moveTo>
                                <a:pt x="781050" y="0"/>
                              </a:moveTo>
                              <a:lnTo>
                                <a:pt x="1066800" y="638175"/>
                              </a:lnTo>
                              <a:lnTo>
                                <a:pt x="285750" y="847725"/>
                              </a:lnTo>
                              <a:lnTo>
                                <a:pt x="0" y="209550"/>
                              </a:lnTo>
                              <a:lnTo>
                                <a:pt x="781050" y="0"/>
                              </a:lnTo>
                              <a:close/>
                            </a:path>
                          </a:pathLst>
                        </a:custGeom>
                        <a:solidFill>
                          <a:srgbClr val="FF00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0.35pt;margin-top:180.65pt;height:66.75pt;width:84pt;z-index:251794432;mso-width-relative:page;mso-height-relative:page;" fillcolor="#FF0000" filled="t" stroked="t" coordsize="1066800,847725" o:gfxdata="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" path="m781050,0l1066800,638175,285750,847725,0,209550,781050,0xe">
                <v:path o:connectlocs="781050,0;1066800,638175;285750,847725;0,209550;781050,0" o:connectangles="0,0,0,0,0"/>
                <v:fill on="t" opacity="32768f" focussize="0,0"/>
                <v:stroke color="#000000 [3213]" joinstyle="round"/>
                <v:imagedata o:title=""/>
                <o:lock v:ext="edit" aspectratio="f"/>
              </v:shape>
            </w:pict>
          </mc:Fallback>
        </mc:AlternateContent>
      </w:r>
      <w:r>
        <w:rPr>
          <w:color w:val="auto"/>
          <w:sz w:val="21"/>
        </w:rPr>
        <mc:AlternateContent>
          <mc:Choice Requires="wps">
            <w:drawing>
              <wp:anchor distT="0" distB="0" distL="114300" distR="114300" simplePos="0" relativeHeight="251793408" behindDoc="0" locked="0" layoutInCell="1" allowOverlap="1">
                <wp:simplePos x="0" y="0"/>
                <wp:positionH relativeFrom="column">
                  <wp:posOffset>1807845</wp:posOffset>
                </wp:positionH>
                <wp:positionV relativeFrom="paragraph">
                  <wp:posOffset>1951355</wp:posOffset>
                </wp:positionV>
                <wp:extent cx="1466850" cy="1257300"/>
                <wp:effectExtent l="4445" t="4445" r="14605" b="14605"/>
                <wp:wrapNone/>
                <wp:docPr id="178" name="任意多边形 178"/>
                <wp:cNvGraphicFramePr/>
                <a:graphic xmlns:a="http://schemas.openxmlformats.org/drawingml/2006/main">
                  <a:graphicData uri="http://schemas.microsoft.com/office/word/2010/wordprocessingShape">
                    <wps:wsp>
                      <wps:cNvSpPr/>
                      <wps:spPr>
                        <a:xfrm>
                          <a:off x="2950845" y="3247390"/>
                          <a:ext cx="1466850" cy="1257300"/>
                        </a:xfrm>
                        <a:custGeom>
                          <a:avLst/>
                          <a:gdLst>
                            <a:gd name="connisteX0" fmla="*/ 66675 w 1466850"/>
                            <a:gd name="connsiteY0" fmla="*/ 209550 h 1257300"/>
                            <a:gd name="connisteX1" fmla="*/ 885825 w 1466850"/>
                            <a:gd name="connsiteY1" fmla="*/ 0 h 1257300"/>
                            <a:gd name="connisteX2" fmla="*/ 1466850 w 1466850"/>
                            <a:gd name="connsiteY2" fmla="*/ 1257300 h 1257300"/>
                            <a:gd name="connisteX3" fmla="*/ 1228725 w 1466850"/>
                            <a:gd name="connsiteY3" fmla="*/ 1238250 h 1257300"/>
                            <a:gd name="connisteX4" fmla="*/ 942975 w 1466850"/>
                            <a:gd name="connsiteY4" fmla="*/ 1114425 h 1257300"/>
                            <a:gd name="connisteX5" fmla="*/ 676275 w 1466850"/>
                            <a:gd name="connsiteY5" fmla="*/ 952500 h 1257300"/>
                            <a:gd name="connisteX6" fmla="*/ 400050 w 1466850"/>
                            <a:gd name="connsiteY6" fmla="*/ 676275 h 1257300"/>
                            <a:gd name="connisteX7" fmla="*/ 104775 w 1466850"/>
                            <a:gd name="connsiteY7" fmla="*/ 361950 h 1257300"/>
                            <a:gd name="connisteX8" fmla="*/ 0 w 1466850"/>
                            <a:gd name="connsiteY8" fmla="*/ 228600 h 1257300"/>
                            <a:gd name="connisteX9" fmla="*/ 66675 w 1466850"/>
                            <a:gd name="connsiteY9" fmla="*/ 209550 h 12573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Lst>
                          <a:rect l="l" t="t" r="r" b="b"/>
                          <a:pathLst>
                            <a:path w="1466850" h="1257300">
                              <a:moveTo>
                                <a:pt x="66675" y="209550"/>
                              </a:moveTo>
                              <a:lnTo>
                                <a:pt x="885825" y="0"/>
                              </a:lnTo>
                              <a:lnTo>
                                <a:pt x="1466850" y="1257300"/>
                              </a:lnTo>
                              <a:lnTo>
                                <a:pt x="1228725" y="1238250"/>
                              </a:lnTo>
                              <a:lnTo>
                                <a:pt x="942975" y="1114425"/>
                              </a:lnTo>
                              <a:lnTo>
                                <a:pt x="676275" y="952500"/>
                              </a:lnTo>
                              <a:lnTo>
                                <a:pt x="400050" y="676275"/>
                              </a:lnTo>
                              <a:lnTo>
                                <a:pt x="104775" y="361950"/>
                              </a:lnTo>
                              <a:lnTo>
                                <a:pt x="0" y="228600"/>
                              </a:lnTo>
                              <a:lnTo>
                                <a:pt x="66675" y="209550"/>
                              </a:lnTo>
                              <a:close/>
                            </a:path>
                          </a:pathLst>
                        </a:custGeom>
                        <a:solidFill>
                          <a:srgbClr val="FF00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42.35pt;margin-top:153.65pt;height:99pt;width:115.5pt;z-index:251793408;mso-width-relative:page;mso-height-relative:page;" fillcolor="#FF0000" filled="t" stroked="t" coordsize="1466850,1257300" o:gfxdata="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" path="m66675,209550l885825,0,1466850,1257300,1228725,1238250,942975,1114425,676275,952500,400050,676275,104775,361950,0,228600,66675,209550xe">
                <v:path o:connectlocs="66675,209550;885825,0;1466850,1257300;1228725,1238250;942975,1114425;676275,952500;400050,676275;104775,361950;0,228600;66675,209550" o:connectangles="0,0,0,0,0,0,0,0,0,0"/>
                <v:fill on="t" opacity="32768f" focussize="0,0"/>
                <v:stroke color="#000000 [3213]" joinstyle="round"/>
                <v:imagedata o:title=""/>
                <o:lock v:ext="edit" aspectratio="f"/>
              </v:shape>
            </w:pict>
          </mc:Fallback>
        </mc:AlternateContent>
      </w:r>
      <w:r>
        <w:rPr>
          <w:color w:val="auto"/>
          <w:sz w:val="21"/>
        </w:rPr>
        <mc:AlternateContent>
          <mc:Choice Requires="wps">
            <w:drawing>
              <wp:anchor distT="0" distB="0" distL="114300" distR="114300" simplePos="0" relativeHeight="251792384" behindDoc="0" locked="0" layoutInCell="1" allowOverlap="1">
                <wp:simplePos x="0" y="0"/>
                <wp:positionH relativeFrom="column">
                  <wp:posOffset>1979295</wp:posOffset>
                </wp:positionH>
                <wp:positionV relativeFrom="paragraph">
                  <wp:posOffset>1808480</wp:posOffset>
                </wp:positionV>
                <wp:extent cx="333375" cy="295275"/>
                <wp:effectExtent l="4445" t="4445" r="5080" b="5080"/>
                <wp:wrapNone/>
                <wp:docPr id="144" name="任意多边形 144"/>
                <wp:cNvGraphicFramePr/>
                <a:graphic xmlns:a="http://schemas.openxmlformats.org/drawingml/2006/main">
                  <a:graphicData uri="http://schemas.microsoft.com/office/word/2010/wordprocessingShape">
                    <wps:wsp>
                      <wps:cNvSpPr/>
                      <wps:spPr>
                        <a:xfrm>
                          <a:off x="3122295" y="3104515"/>
                          <a:ext cx="333375" cy="295275"/>
                        </a:xfrm>
                        <a:custGeom>
                          <a:avLst/>
                          <a:gdLst>
                            <a:gd name="connisteX0" fmla="*/ 0 w 333375"/>
                            <a:gd name="connsiteY0" fmla="*/ 57150 h 295275"/>
                            <a:gd name="connisteX1" fmla="*/ 95250 w 333375"/>
                            <a:gd name="connsiteY1" fmla="*/ 295275 h 295275"/>
                            <a:gd name="connisteX2" fmla="*/ 333375 w 333375"/>
                            <a:gd name="connsiteY2" fmla="*/ 228600 h 295275"/>
                            <a:gd name="connisteX3" fmla="*/ 228600 w 333375"/>
                            <a:gd name="connsiteY3" fmla="*/ 0 h 295275"/>
                            <a:gd name="connisteX4" fmla="*/ 0 w 333375"/>
                            <a:gd name="connsiteY4" fmla="*/ 57150 h 29527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33375" h="295275">
                              <a:moveTo>
                                <a:pt x="0" y="57150"/>
                              </a:moveTo>
                              <a:lnTo>
                                <a:pt x="95250" y="295275"/>
                              </a:lnTo>
                              <a:lnTo>
                                <a:pt x="333375" y="228600"/>
                              </a:lnTo>
                              <a:lnTo>
                                <a:pt x="228600" y="0"/>
                              </a:lnTo>
                              <a:lnTo>
                                <a:pt x="0" y="57150"/>
                              </a:lnTo>
                              <a:close/>
                            </a:path>
                          </a:pathLst>
                        </a:custGeom>
                        <a:solidFill>
                          <a:srgbClr val="FF0000">
                            <a:alpha val="50000"/>
                          </a:srgbClr>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55.85pt;margin-top:142.4pt;height:23.25pt;width:26.25pt;z-index:251792384;mso-width-relative:page;mso-height-relative:page;" fillcolor="#FF0000" filled="t" stroked="t" coordsize="333375,295275" o:gfxdata="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Bo17jH2QAAAAsBAAAPAAAAAAAAAAEAIAAAACIAAABkcnMvZG93bnJl&#10;di54bWxQSwECFAAUAAAACACHTuJA5AgO0BkDAAB8CAAADgAAAAAAAAABACAAAAAoAQAAZHJzL2Uy&#10;b0RvYy54bWxQSwUGAAAAAAYABgBZAQAAswYAAAAA&#10;" path="m0,57150l95250,295275,333375,228600,228600,0,0,57150xe">
                <v:path o:connectlocs="0,57150;95250,295275;333375,228600;228600,0;0,57150" o:connectangles="0,0,0,0,0"/>
                <v:fill on="t" opacity="32768f" focussize="0,0"/>
                <v:stroke color="#000000 [3213]" joinstyle="round"/>
                <v:imagedata o:title=""/>
                <o:lock v:ext="edit" aspectratio="f"/>
              </v:shape>
            </w:pict>
          </mc:Fallback>
        </mc:AlternateContent>
      </w:r>
    </w:p>
    <w:p w14:paraId="0C1E9FCF">
      <w:pPr>
        <w:pStyle w:val="3"/>
        <w:keepLines/>
        <w:overflowPunct/>
        <w:snapToGrid/>
        <w:spacing w:before="0" w:after="0" w:line="360" w:lineRule="exact"/>
        <w:rPr>
          <w:rFonts w:hint="eastAsia"/>
          <w:color w:val="auto"/>
          <w:highlight w:val="none"/>
        </w:rPr>
      </w:pPr>
      <w:r>
        <w:rPr>
          <w:color w:val="auto"/>
          <w:sz w:val="28"/>
        </w:rPr>
        <mc:AlternateContent>
          <mc:Choice Requires="wps">
            <w:drawing>
              <wp:anchor distT="0" distB="0" distL="114300" distR="114300" simplePos="0" relativeHeight="251803648" behindDoc="0" locked="0" layoutInCell="1" allowOverlap="1">
                <wp:simplePos x="0" y="0"/>
                <wp:positionH relativeFrom="column">
                  <wp:posOffset>1029970</wp:posOffset>
                </wp:positionH>
                <wp:positionV relativeFrom="paragraph">
                  <wp:posOffset>1691640</wp:posOffset>
                </wp:positionV>
                <wp:extent cx="1276350" cy="1951990"/>
                <wp:effectExtent l="5080" t="4445" r="13970" b="5715"/>
                <wp:wrapNone/>
                <wp:docPr id="459" name="文本框 459"/>
                <wp:cNvGraphicFramePr/>
                <a:graphic xmlns:a="http://schemas.openxmlformats.org/drawingml/2006/main">
                  <a:graphicData uri="http://schemas.microsoft.com/office/word/2010/wordprocessingShape">
                    <wps:wsp>
                      <wps:cNvSpPr txBox="1"/>
                      <wps:spPr>
                        <a:xfrm>
                          <a:off x="2172970" y="2606040"/>
                          <a:ext cx="1276350" cy="19519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531ABD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1pt;margin-top:133.2pt;height:153.7pt;width:100.5pt;z-index:251803648;mso-width-relative:page;mso-height-relative:page;" fillcolor="#FFFFFF [3201]" filled="t" stroked="t" coordsize="21600,21600" o:gfxdata="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9btuvWAAAACwEAAA8AAAAAAAAAAQAgAAAAIgAAAGRycy9kb3ducmV2LnhtbFBLAQIUABQA&#10;AAAIAIdO4kCh2HP7ZAIAAMgEAAAOAAAAAAAAAAEAIAAAACUBAABkcnMvZTJvRG9jLnhtbFBLBQYA&#10;AAAABgAGAFkBAAD7BQAAAAA=&#10;">
                <v:fill on="t" focussize="0,0"/>
                <v:stroke weight="0.5pt" color="#000000 [3204]" joinstyle="round"/>
                <v:imagedata o:title=""/>
                <o:lock v:ext="edit" aspectratio="f"/>
                <v:textbox>
                  <w:txbxContent>
                    <w:p w14:paraId="4531ABDB"/>
                  </w:txbxContent>
                </v:textbox>
              </v:shape>
            </w:pict>
          </mc:Fallback>
        </mc:AlternateContent>
      </w:r>
      <w:r>
        <w:rPr>
          <w:color w:val="auto"/>
          <w:sz w:val="28"/>
        </w:rPr>
        <mc:AlternateContent>
          <mc:Choice Requires="wps">
            <w:drawing>
              <wp:anchor distT="0" distB="0" distL="114300" distR="114300" simplePos="0" relativeHeight="251802624" behindDoc="0" locked="0" layoutInCell="1" allowOverlap="1">
                <wp:simplePos x="0" y="0"/>
                <wp:positionH relativeFrom="column">
                  <wp:posOffset>953770</wp:posOffset>
                </wp:positionH>
                <wp:positionV relativeFrom="paragraph">
                  <wp:posOffset>318770</wp:posOffset>
                </wp:positionV>
                <wp:extent cx="4239260" cy="4638040"/>
                <wp:effectExtent l="6350" t="6350" r="21590" b="22860"/>
                <wp:wrapNone/>
                <wp:docPr id="458" name="矩形 458"/>
                <wp:cNvGraphicFramePr/>
                <a:graphic xmlns:a="http://schemas.openxmlformats.org/drawingml/2006/main">
                  <a:graphicData uri="http://schemas.microsoft.com/office/word/2010/wordprocessingShape">
                    <wps:wsp>
                      <wps:cNvSpPr/>
                      <wps:spPr>
                        <a:xfrm>
                          <a:off x="2125345" y="1518920"/>
                          <a:ext cx="4239260" cy="4638040"/>
                        </a:xfrm>
                        <a:prstGeom prst="rect">
                          <a:avLst/>
                        </a:prstGeom>
                        <a:noFill/>
                        <a:ln w="1270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5.1pt;margin-top:25.1pt;height:365.2pt;width:333.8pt;z-index:251802624;v-text-anchor:middle;mso-width-relative:page;mso-height-relative:page;" filled="f" stroked="t" coordsize="21600,21600" o:gfxdata="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F4wns3XAAAACgEAAA8AAAAAAAAAAQAgAAAAIgAAAGRycy9kb3ducmV2Lnht&#10;bFBLAQIUABQAAAAIAIdO4kDZQG8qbAIAAMUEAAAOAAAAAAAAAAEAIAAAACYBAABkcnMvZTJvRG9j&#10;LnhtbFBLBQYAAAAABgAGAFkBAAAEBgAAAAA=&#10;">
                <v:fill on="f" focussize="0,0"/>
                <v:stroke weight="1pt" color="#000000 [3213]" joinstyle="round"/>
                <v:imagedata o:title=""/>
                <o:lock v:ext="edit" aspectratio="f"/>
              </v:rect>
            </w:pict>
          </mc:Fallback>
        </mc:AlternateContent>
      </w:r>
      <w:r>
        <w:rPr>
          <w:rFonts w:eastAsia="宋体"/>
          <w:color w:val="auto"/>
          <w:sz w:val="28"/>
          <w:szCs w:val="28"/>
          <w:highlight w:val="none"/>
        </w:rPr>
        <w:t>附图</w:t>
      </w:r>
      <w:r>
        <w:rPr>
          <w:rFonts w:hint="eastAsia" w:eastAsia="宋体"/>
          <w:color w:val="auto"/>
          <w:sz w:val="28"/>
          <w:szCs w:val="28"/>
          <w:highlight w:val="none"/>
          <w:lang w:val="en-US" w:eastAsia="zh-CN"/>
        </w:rPr>
        <w:t>5车间布置</w:t>
      </w:r>
      <w:r>
        <w:rPr>
          <w:rFonts w:hint="eastAsia" w:eastAsia="宋体"/>
          <w:color w:val="auto"/>
          <w:sz w:val="28"/>
          <w:szCs w:val="28"/>
          <w:highlight w:val="none"/>
        </w:rPr>
        <w:t>图</w:t>
      </w:r>
    </w:p>
    <w:p w14:paraId="4D65D232">
      <w:pPr>
        <w:pStyle w:val="54"/>
        <w:ind w:left="0" w:leftChars="0" w:firstLine="0" w:firstLineChars="0"/>
        <w:rPr>
          <w:rFonts w:hint="eastAsia" w:eastAsia="仿宋"/>
          <w:color w:val="auto"/>
          <w:highlight w:val="none"/>
          <w:lang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color w:val="auto"/>
          <w:sz w:val="24"/>
        </w:rPr>
        <mc:AlternateContent>
          <mc:Choice Requires="wps">
            <w:drawing>
              <wp:anchor distT="0" distB="0" distL="114300" distR="114300" simplePos="0" relativeHeight="251831296" behindDoc="0" locked="0" layoutInCell="1" allowOverlap="1">
                <wp:simplePos x="0" y="0"/>
                <wp:positionH relativeFrom="column">
                  <wp:posOffset>7455535</wp:posOffset>
                </wp:positionH>
                <wp:positionV relativeFrom="paragraph">
                  <wp:posOffset>4766310</wp:posOffset>
                </wp:positionV>
                <wp:extent cx="927100" cy="612775"/>
                <wp:effectExtent l="4445" t="4445" r="20955" b="11430"/>
                <wp:wrapNone/>
                <wp:docPr id="490" name="文本框 490"/>
                <wp:cNvGraphicFramePr/>
                <a:graphic xmlns:a="http://schemas.openxmlformats.org/drawingml/2006/main">
                  <a:graphicData uri="http://schemas.microsoft.com/office/word/2010/wordprocessingShape">
                    <wps:wsp>
                      <wps:cNvSpPr txBox="1"/>
                      <wps:spPr>
                        <a:xfrm>
                          <a:off x="7656195" y="5367020"/>
                          <a:ext cx="927100" cy="612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DDAAD47">
                            <w:pPr>
                              <w:jc w:val="center"/>
                              <w:rPr>
                                <w:rFonts w:hint="eastAsia"/>
                                <w:sz w:val="21"/>
                                <w:szCs w:val="21"/>
                                <w:lang w:val="en-US" w:eastAsia="zh-CN"/>
                              </w:rPr>
                            </w:pPr>
                            <w:r>
                              <w:rPr>
                                <w:rFonts w:hint="eastAsia"/>
                                <w:sz w:val="21"/>
                                <w:szCs w:val="21"/>
                                <w:lang w:val="en-US" w:eastAsia="zh-CN"/>
                              </w:rPr>
                              <w:t>图例</w:t>
                            </w:r>
                          </w:p>
                          <w:p w14:paraId="64FE37E8">
                            <w:pPr>
                              <w:jc w:val="center"/>
                              <w:rPr>
                                <w:rFonts w:hint="eastAsia"/>
                                <w:sz w:val="21"/>
                                <w:szCs w:val="21"/>
                                <w:lang w:val="en-US" w:eastAsia="zh-CN"/>
                              </w:rPr>
                            </w:pPr>
                            <w:r>
                              <w:rPr>
                                <w:rFonts w:hint="eastAsia"/>
                                <w:sz w:val="21"/>
                                <w:szCs w:val="21"/>
                                <w:lang w:val="en-US" w:eastAsia="zh-CN"/>
                              </w:rPr>
                              <w:t>比例尺</w:t>
                            </w:r>
                          </w:p>
                          <w:p w14:paraId="3C407511">
                            <w:pPr>
                              <w:jc w:val="center"/>
                              <w:rPr>
                                <w:rFonts w:hint="default"/>
                                <w:sz w:val="21"/>
                                <w:szCs w:val="21"/>
                                <w:lang w:val="en-US" w:eastAsia="zh-CN"/>
                              </w:rPr>
                            </w:pPr>
                            <w:r>
                              <w:rPr>
                                <w:rFonts w:hint="eastAsia"/>
                                <w:sz w:val="21"/>
                                <w:szCs w:val="21"/>
                                <w:lang w:val="en-US" w:eastAsia="zh-CN"/>
                              </w:rPr>
                              <w:t>1:1000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7.05pt;margin-top:375.3pt;height:48.25pt;width:73pt;z-index:251831296;mso-width-relative:page;mso-height-relative:page;" fillcolor="#FFFFFF [3201]" filled="t" stroked="t" coordsize="21600,21600" o:gfxdata="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KgedW9kAAAANAQAADwAAAAAAAAABACAAAAAiAAAAZHJzL2Rvd25yZXYueG1sUEsB&#10;AhQAFAAAAAgAh07iQDNX3AZmAgAAxgQAAA4AAAAAAAAAAQAgAAAAKAEAAGRycy9lMm9Eb2MueG1s&#10;UEsFBgAAAAAGAAYAWQEAAAAGAAAAAA==&#10;">
                <v:fill on="t" focussize="0,0"/>
                <v:stroke weight="0.5pt" color="#000000 [3204]" joinstyle="round"/>
                <v:imagedata o:title=""/>
                <o:lock v:ext="edit" aspectratio="f"/>
                <v:textbox>
                  <w:txbxContent>
                    <w:p w14:paraId="7DDAAD47">
                      <w:pPr>
                        <w:jc w:val="center"/>
                        <w:rPr>
                          <w:rFonts w:hint="eastAsia"/>
                          <w:sz w:val="21"/>
                          <w:szCs w:val="21"/>
                          <w:lang w:val="en-US" w:eastAsia="zh-CN"/>
                        </w:rPr>
                      </w:pPr>
                      <w:r>
                        <w:rPr>
                          <w:rFonts w:hint="eastAsia"/>
                          <w:sz w:val="21"/>
                          <w:szCs w:val="21"/>
                          <w:lang w:val="en-US" w:eastAsia="zh-CN"/>
                        </w:rPr>
                        <w:t>图例</w:t>
                      </w:r>
                    </w:p>
                    <w:p w14:paraId="64FE37E8">
                      <w:pPr>
                        <w:jc w:val="center"/>
                        <w:rPr>
                          <w:rFonts w:hint="eastAsia"/>
                          <w:sz w:val="21"/>
                          <w:szCs w:val="21"/>
                          <w:lang w:val="en-US" w:eastAsia="zh-CN"/>
                        </w:rPr>
                      </w:pPr>
                      <w:r>
                        <w:rPr>
                          <w:rFonts w:hint="eastAsia"/>
                          <w:sz w:val="21"/>
                          <w:szCs w:val="21"/>
                          <w:lang w:val="en-US" w:eastAsia="zh-CN"/>
                        </w:rPr>
                        <w:t>比例尺</w:t>
                      </w:r>
                    </w:p>
                    <w:p w14:paraId="3C407511">
                      <w:pPr>
                        <w:jc w:val="center"/>
                        <w:rPr>
                          <w:rFonts w:hint="default"/>
                          <w:sz w:val="21"/>
                          <w:szCs w:val="21"/>
                          <w:lang w:val="en-US" w:eastAsia="zh-CN"/>
                        </w:rPr>
                      </w:pPr>
                      <w:r>
                        <w:rPr>
                          <w:rFonts w:hint="eastAsia"/>
                          <w:sz w:val="21"/>
                          <w:szCs w:val="21"/>
                          <w:lang w:val="en-US" w:eastAsia="zh-CN"/>
                        </w:rPr>
                        <w:t>1:1000</w:t>
                      </w:r>
                    </w:p>
                  </w:txbxContent>
                </v:textbox>
              </v:shape>
            </w:pict>
          </mc:Fallback>
        </mc:AlternateContent>
      </w:r>
      <w:r>
        <w:rPr>
          <w:rFonts w:ascii="宋体" w:hAnsi="宋体" w:eastAsia="宋体" w:cs="宋体"/>
          <w:color w:val="auto"/>
          <w:sz w:val="24"/>
          <w:szCs w:val="24"/>
          <w:highlight w:val="none"/>
          <w:lang w:eastAsia="zh-CN"/>
        </w:rPr>
        <w:drawing>
          <wp:anchor distT="0" distB="0" distL="114300" distR="114300" simplePos="0" relativeHeight="251830272" behindDoc="0" locked="0" layoutInCell="1" allowOverlap="1">
            <wp:simplePos x="0" y="0"/>
            <wp:positionH relativeFrom="column">
              <wp:posOffset>7886065</wp:posOffset>
            </wp:positionH>
            <wp:positionV relativeFrom="paragraph">
              <wp:posOffset>50165</wp:posOffset>
            </wp:positionV>
            <wp:extent cx="483870" cy="797560"/>
            <wp:effectExtent l="19050" t="19050" r="30480" b="21590"/>
            <wp:wrapNone/>
            <wp:docPr id="489" name="图片 172" descr="抚顺市风玫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172" descr="抚顺市风玫瑰"/>
                    <pic:cNvPicPr>
                      <a:picLocks noChangeAspect="1"/>
                    </pic:cNvPicPr>
                  </pic:nvPicPr>
                  <pic:blipFill>
                    <a:blip r:embed="rId94"/>
                    <a:stretch>
                      <a:fillRect/>
                    </a:stretch>
                  </pic:blipFill>
                  <pic:spPr>
                    <a:xfrm>
                      <a:off x="0" y="0"/>
                      <a:ext cx="483870" cy="797560"/>
                    </a:xfrm>
                    <a:prstGeom prst="rect">
                      <a:avLst/>
                    </a:prstGeom>
                    <a:noFill/>
                    <a:ln w="19050" cap="flat" cmpd="sng">
                      <a:solidFill>
                        <a:srgbClr val="000000"/>
                      </a:solidFill>
                      <a:prstDash val="solid"/>
                      <a:miter/>
                      <a:headEnd type="none" w="med" len="med"/>
                      <a:tailEnd type="none" w="med" len="med"/>
                    </a:ln>
                  </pic:spPr>
                </pic:pic>
              </a:graphicData>
            </a:graphic>
          </wp:anchor>
        </w:drawing>
      </w:r>
      <w:r>
        <w:rPr>
          <w:color w:val="auto"/>
          <w:sz w:val="28"/>
        </w:rPr>
        <mc:AlternateContent>
          <mc:Choice Requires="wps">
            <w:drawing>
              <wp:anchor distT="0" distB="0" distL="114300" distR="114300" simplePos="0" relativeHeight="251829248" behindDoc="0" locked="0" layoutInCell="1" allowOverlap="1">
                <wp:simplePos x="0" y="0"/>
                <wp:positionH relativeFrom="column">
                  <wp:posOffset>24130</wp:posOffset>
                </wp:positionH>
                <wp:positionV relativeFrom="paragraph">
                  <wp:posOffset>20955</wp:posOffset>
                </wp:positionV>
                <wp:extent cx="8406130" cy="5381625"/>
                <wp:effectExtent l="4445" t="4445" r="9525" b="5080"/>
                <wp:wrapNone/>
                <wp:docPr id="488" name="矩形 488"/>
                <wp:cNvGraphicFramePr/>
                <a:graphic xmlns:a="http://schemas.openxmlformats.org/drawingml/2006/main">
                  <a:graphicData uri="http://schemas.microsoft.com/office/word/2010/wordprocessingShape">
                    <wps:wsp>
                      <wps:cNvSpPr/>
                      <wps:spPr>
                        <a:xfrm>
                          <a:off x="1167130" y="1163955"/>
                          <a:ext cx="8406130" cy="5381625"/>
                        </a:xfrm>
                        <a:prstGeom prst="rect">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pt;margin-top:1.65pt;height:423.75pt;width:661.9pt;z-index:251829248;v-text-anchor:middle;mso-width-relative:page;mso-height-relative:page;" filled="f" stroked="t" coordsize="21600,21600" o:gfxdata="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w9ooLYAAAACAEAAA8AAAAAAAAAAQAgAAAAIgAAAGRycy9kb3ducmV2LnhtbFBL&#10;AQIUABQAAAAIAIdO4kBXSEGlaAIAAMQEAAAOAAAAAAAAAAEAIAAAACcBAABkcnMvZTJvRG9jLnht&#10;bFBLBQYAAAAABgAGAFkBAAABBgAAAAA=&#10;">
                <v:fill on="f" focussize="0,0"/>
                <v:stroke color="#000000 [3213]" joinstyle="round"/>
                <v:imagedata o:title=""/>
                <o:lock v:ext="edit" aspectratio="f"/>
              </v:rect>
            </w:pict>
          </mc:Fallback>
        </mc:AlternateContent>
      </w:r>
      <w:r>
        <w:rPr>
          <w:color w:val="auto"/>
          <w:sz w:val="28"/>
        </w:rPr>
        <mc:AlternateContent>
          <mc:Choice Requires="wps">
            <w:drawing>
              <wp:anchor distT="0" distB="0" distL="114300" distR="114300" simplePos="0" relativeHeight="251821056" behindDoc="0" locked="0" layoutInCell="1" allowOverlap="1">
                <wp:simplePos x="0" y="0"/>
                <wp:positionH relativeFrom="column">
                  <wp:posOffset>3406775</wp:posOffset>
                </wp:positionH>
                <wp:positionV relativeFrom="paragraph">
                  <wp:posOffset>4225290</wp:posOffset>
                </wp:positionV>
                <wp:extent cx="675640" cy="217805"/>
                <wp:effectExtent l="5080" t="5080" r="5715" b="5080"/>
                <wp:wrapNone/>
                <wp:docPr id="486" name="文本框 486"/>
                <wp:cNvGraphicFramePr/>
                <a:graphic xmlns:a="http://schemas.openxmlformats.org/drawingml/2006/main">
                  <a:graphicData uri="http://schemas.microsoft.com/office/word/2010/wordprocessingShape">
                    <wps:wsp>
                      <wps:cNvSpPr txBox="1"/>
                      <wps:spPr>
                        <a:xfrm rot="5400000">
                          <a:off x="0" y="0"/>
                          <a:ext cx="675640" cy="2178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D1C362">
                            <w:pPr>
                              <w:rPr>
                                <w:rFonts w:hint="default" w:eastAsia="宋体"/>
                                <w:sz w:val="15"/>
                                <w:szCs w:val="15"/>
                                <w:lang w:val="en-US" w:eastAsia="zh-CN"/>
                              </w:rPr>
                            </w:pPr>
                            <w:r>
                              <w:rPr>
                                <w:rFonts w:hint="eastAsia"/>
                                <w:sz w:val="15"/>
                                <w:szCs w:val="15"/>
                                <w:lang w:val="en-US" w:eastAsia="zh-CN"/>
                              </w:rPr>
                              <w:t>烘干箱×2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8.25pt;margin-top:332.7pt;height:17.15pt;width:53.2pt;rotation:5898240f;z-index:251821056;mso-width-relative:page;mso-height-relative:page;" fillcolor="#FFFFFF [3201]" filled="t" stroked="t" coordsize="21600,21600" o:gfxdata="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9z34p90AAAALAQAADwAAAAAAAAABACAAAAAiAAAAZHJzL2Rvd25yZXYueG1sUEsBAhQA&#10;FAAAAAgAh07iQCeEzVVfAgAAyAQAAA4AAAAAAAAAAQAgAAAALAEAAGRycy9lMm9Eb2MueG1sUEsF&#10;BgAAAAAGAAYAWQEAAP0FAAAAAA==&#10;">
                <v:fill on="t" focussize="0,0"/>
                <v:stroke weight="0.5pt" color="#000000 [3204]" joinstyle="round"/>
                <v:imagedata o:title=""/>
                <o:lock v:ext="edit" aspectratio="f"/>
                <v:textbox>
                  <w:txbxContent>
                    <w:p w14:paraId="4BD1C362">
                      <w:pPr>
                        <w:rPr>
                          <w:rFonts w:hint="default" w:eastAsia="宋体"/>
                          <w:sz w:val="15"/>
                          <w:szCs w:val="15"/>
                          <w:lang w:val="en-US" w:eastAsia="zh-CN"/>
                        </w:rPr>
                      </w:pPr>
                      <w:r>
                        <w:rPr>
                          <w:rFonts w:hint="eastAsia"/>
                          <w:sz w:val="15"/>
                          <w:szCs w:val="15"/>
                          <w:lang w:val="en-US" w:eastAsia="zh-CN"/>
                        </w:rPr>
                        <w:t>烘干箱×2</w:t>
                      </w:r>
                    </w:p>
                  </w:txbxContent>
                </v:textbox>
              </v:shape>
            </w:pict>
          </mc:Fallback>
        </mc:AlternateContent>
      </w:r>
      <w:r>
        <w:rPr>
          <w:color w:val="auto"/>
          <w:sz w:val="28"/>
        </w:rPr>
        <mc:AlternateContent>
          <mc:Choice Requires="wps">
            <w:drawing>
              <wp:anchor distT="0" distB="0" distL="114300" distR="114300" simplePos="0" relativeHeight="251822080" behindDoc="0" locked="0" layoutInCell="1" allowOverlap="1">
                <wp:simplePos x="0" y="0"/>
                <wp:positionH relativeFrom="column">
                  <wp:posOffset>3101975</wp:posOffset>
                </wp:positionH>
                <wp:positionV relativeFrom="paragraph">
                  <wp:posOffset>3739515</wp:posOffset>
                </wp:positionV>
                <wp:extent cx="675640" cy="217805"/>
                <wp:effectExtent l="4445" t="4445" r="5715" b="6350"/>
                <wp:wrapNone/>
                <wp:docPr id="485" name="文本框 485"/>
                <wp:cNvGraphicFramePr/>
                <a:graphic xmlns:a="http://schemas.openxmlformats.org/drawingml/2006/main">
                  <a:graphicData uri="http://schemas.microsoft.com/office/word/2010/wordprocessingShape">
                    <wps:wsp>
                      <wps:cNvSpPr txBox="1"/>
                      <wps:spPr>
                        <a:xfrm>
                          <a:off x="0" y="0"/>
                          <a:ext cx="675640" cy="2178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335CA8">
                            <w:pPr>
                              <w:rPr>
                                <w:rFonts w:hint="default" w:eastAsia="宋体"/>
                                <w:sz w:val="15"/>
                                <w:szCs w:val="15"/>
                                <w:lang w:val="en-US" w:eastAsia="zh-CN"/>
                              </w:rPr>
                            </w:pPr>
                            <w:r>
                              <w:rPr>
                                <w:rFonts w:hint="eastAsia"/>
                                <w:sz w:val="15"/>
                                <w:szCs w:val="15"/>
                                <w:lang w:val="en-US" w:eastAsia="zh-CN"/>
                              </w:rPr>
                              <w:t>烘干箱×2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4.25pt;margin-top:294.45pt;height:17.15pt;width:53.2pt;z-index:251822080;mso-width-relative:page;mso-height-relative:page;" fillcolor="#FFFFFF [3201]" filled="t" stroked="t" coordsize="21600,21600" o:gfxdata="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9La&#10;GtkAAAALAQAADwAAAAAAAAABACAAAAAiAAAAZHJzL2Rvd25yZXYueG1sUEsBAhQAFAAAAAgAh07i&#10;QJvz3RNaAgAAugQAAA4AAAAAAAAAAQAgAAAAKAEAAGRycy9lMm9Eb2MueG1sUEsFBgAAAAAGAAYA&#10;WQEAAPQFAAAAAA==&#10;">
                <v:fill on="t" focussize="0,0"/>
                <v:stroke weight="0.5pt" color="#000000 [3204]" joinstyle="round"/>
                <v:imagedata o:title=""/>
                <o:lock v:ext="edit" aspectratio="f"/>
                <v:textbox>
                  <w:txbxContent>
                    <w:p w14:paraId="1C335CA8">
                      <w:pPr>
                        <w:rPr>
                          <w:rFonts w:hint="default" w:eastAsia="宋体"/>
                          <w:sz w:val="15"/>
                          <w:szCs w:val="15"/>
                          <w:lang w:val="en-US" w:eastAsia="zh-CN"/>
                        </w:rPr>
                      </w:pPr>
                      <w:r>
                        <w:rPr>
                          <w:rFonts w:hint="eastAsia"/>
                          <w:sz w:val="15"/>
                          <w:szCs w:val="15"/>
                          <w:lang w:val="en-US" w:eastAsia="zh-CN"/>
                        </w:rPr>
                        <w:t>烘干箱×2</w:t>
                      </w:r>
                    </w:p>
                  </w:txbxContent>
                </v:textbox>
              </v:shape>
            </w:pict>
          </mc:Fallback>
        </mc:AlternateContent>
      </w:r>
      <w:r>
        <w:rPr>
          <w:color w:val="auto"/>
          <w:sz w:val="28"/>
        </w:rPr>
        <mc:AlternateContent>
          <mc:Choice Requires="wps">
            <w:drawing>
              <wp:anchor distT="0" distB="0" distL="114300" distR="114300" simplePos="0" relativeHeight="251827200" behindDoc="0" locked="0" layoutInCell="1" allowOverlap="1">
                <wp:simplePos x="0" y="0"/>
                <wp:positionH relativeFrom="column">
                  <wp:posOffset>3906520</wp:posOffset>
                </wp:positionH>
                <wp:positionV relativeFrom="paragraph">
                  <wp:posOffset>4044315</wp:posOffset>
                </wp:positionV>
                <wp:extent cx="1247775" cy="495300"/>
                <wp:effectExtent l="0" t="0" r="9525" b="0"/>
                <wp:wrapNone/>
                <wp:docPr id="483" name="文本框 483"/>
                <wp:cNvGraphicFramePr/>
                <a:graphic xmlns:a="http://schemas.openxmlformats.org/drawingml/2006/main">
                  <a:graphicData uri="http://schemas.microsoft.com/office/word/2010/wordprocessingShape">
                    <wps:wsp>
                      <wps:cNvSpPr txBox="1"/>
                      <wps:spPr>
                        <a:xfrm>
                          <a:off x="0" y="0"/>
                          <a:ext cx="1247775"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AEC46">
                            <w:pPr>
                              <w:rPr>
                                <w:rFonts w:hint="default" w:eastAsia="宋体"/>
                                <w:lang w:val="en-US" w:eastAsia="zh-CN"/>
                              </w:rPr>
                            </w:pPr>
                            <w:r>
                              <w:rPr>
                                <w:rFonts w:hint="eastAsia"/>
                                <w:lang w:val="en-US" w:eastAsia="zh-CN"/>
                              </w:rPr>
                              <w:t>车间内部办公区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7.6pt;margin-top:318.45pt;height:39pt;width:98.25pt;z-index:251827200;mso-width-relative:page;mso-height-relative:page;" filled="f" stroked="f" coordsize="21600,21600" o:gfxdata="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3+Ii7t0AAAALAQAADwAAAAAAAAABACAAAAAi&#10;AAAAZHJzL2Rvd25yZXYueG1sUEsBAhQAFAAAAAgAh07iQM5df9c+AgAAagQAAA4AAAAAAAAAAQAg&#10;AAAALAEAAGRycy9lMm9Eb2MueG1sUEsFBgAAAAAGAAYAWQEAANwFAAAAAA==&#10;">
                <v:fill on="f" focussize="0,0"/>
                <v:stroke on="f" weight="0.5pt"/>
                <v:imagedata o:title=""/>
                <o:lock v:ext="edit" aspectratio="f"/>
                <v:textbox>
                  <w:txbxContent>
                    <w:p w14:paraId="7AFAEC46">
                      <w:pPr>
                        <w:rPr>
                          <w:rFonts w:hint="default" w:eastAsia="宋体"/>
                          <w:lang w:val="en-US" w:eastAsia="zh-CN"/>
                        </w:rPr>
                      </w:pPr>
                      <w:r>
                        <w:rPr>
                          <w:rFonts w:hint="eastAsia"/>
                          <w:lang w:val="en-US" w:eastAsia="zh-CN"/>
                        </w:rPr>
                        <w:t>车间内部办公区</w:t>
                      </w:r>
                    </w:p>
                  </w:txbxContent>
                </v:textbox>
              </v:shape>
            </w:pict>
          </mc:Fallback>
        </mc:AlternateContent>
      </w:r>
      <w:r>
        <w:rPr>
          <w:color w:val="auto"/>
          <w:sz w:val="28"/>
        </w:rPr>
        <mc:AlternateContent>
          <mc:Choice Requires="wps">
            <w:drawing>
              <wp:anchor distT="0" distB="0" distL="114300" distR="114300" simplePos="0" relativeHeight="251826176" behindDoc="0" locked="0" layoutInCell="1" allowOverlap="1">
                <wp:simplePos x="0" y="0"/>
                <wp:positionH relativeFrom="column">
                  <wp:posOffset>3277870</wp:posOffset>
                </wp:positionH>
                <wp:positionV relativeFrom="paragraph">
                  <wp:posOffset>4244340</wp:posOffset>
                </wp:positionV>
                <wp:extent cx="333375" cy="285750"/>
                <wp:effectExtent l="4445" t="4445" r="5080" b="14605"/>
                <wp:wrapNone/>
                <wp:docPr id="482" name="文本框 482"/>
                <wp:cNvGraphicFramePr/>
                <a:graphic xmlns:a="http://schemas.openxmlformats.org/drawingml/2006/main">
                  <a:graphicData uri="http://schemas.microsoft.com/office/word/2010/wordprocessingShape">
                    <wps:wsp>
                      <wps:cNvSpPr txBox="1"/>
                      <wps:spPr>
                        <a:xfrm>
                          <a:off x="0" y="0"/>
                          <a:ext cx="33337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EB939B">
                            <w:pPr>
                              <w:rPr>
                                <w:rFonts w:hint="default" w:eastAsia="宋体"/>
                                <w:lang w:val="en-US" w:eastAsia="zh-CN"/>
                              </w:rPr>
                            </w:pPr>
                            <w:r>
                              <w:rPr>
                                <w:rFonts w:hint="eastAsia"/>
                                <w:lang w:val="en-US" w:eastAsia="zh-CN"/>
                              </w:rPr>
                              <w:t>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1pt;margin-top:334.2pt;height:22.5pt;width:26.25pt;z-index:251826176;mso-width-relative:page;mso-height-relative:page;" fillcolor="#FFFFFF [3201]" filled="t" stroked="t" coordsize="21600,21600" o:gfxdata="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pvC3&#10;m9kAAAALAQAADwAAAAAAAAABACAAAAAiAAAAZHJzL2Rvd25yZXYueG1sUEsBAhQAFAAAAAgAh07i&#10;QAFwxvBaAgAAugQAAA4AAAAAAAAAAQAgAAAAKAEAAGRycy9lMm9Eb2MueG1sUEsFBgAAAAAGAAYA&#10;WQEAAPQFAAAAAA==&#10;">
                <v:fill on="t" focussize="0,0"/>
                <v:stroke weight="0.5pt" color="#000000 [3204]" joinstyle="round"/>
                <v:imagedata o:title=""/>
                <o:lock v:ext="edit" aspectratio="f"/>
                <v:textbox>
                  <w:txbxContent>
                    <w:p w14:paraId="6AEB939B">
                      <w:pPr>
                        <w:rPr>
                          <w:rFonts w:hint="default" w:eastAsia="宋体"/>
                          <w:lang w:val="en-US" w:eastAsia="zh-CN"/>
                        </w:rPr>
                      </w:pPr>
                      <w:r>
                        <w:rPr>
                          <w:rFonts w:hint="eastAsia"/>
                          <w:lang w:val="en-US" w:eastAsia="zh-CN"/>
                        </w:rPr>
                        <w:t>泵</w:t>
                      </w:r>
                    </w:p>
                  </w:txbxContent>
                </v:textbox>
              </v:shape>
            </w:pict>
          </mc:Fallback>
        </mc:AlternateContent>
      </w:r>
      <w:r>
        <w:rPr>
          <w:color w:val="auto"/>
          <w:sz w:val="28"/>
        </w:rPr>
        <mc:AlternateContent>
          <mc:Choice Requires="wps">
            <w:drawing>
              <wp:anchor distT="0" distB="0" distL="114300" distR="114300" simplePos="0" relativeHeight="251825152" behindDoc="0" locked="0" layoutInCell="1" allowOverlap="1">
                <wp:simplePos x="0" y="0"/>
                <wp:positionH relativeFrom="column">
                  <wp:posOffset>2839720</wp:posOffset>
                </wp:positionH>
                <wp:positionV relativeFrom="paragraph">
                  <wp:posOffset>4234815</wp:posOffset>
                </wp:positionV>
                <wp:extent cx="333375" cy="285750"/>
                <wp:effectExtent l="4445" t="4445" r="5080" b="14605"/>
                <wp:wrapNone/>
                <wp:docPr id="481" name="文本框 481"/>
                <wp:cNvGraphicFramePr/>
                <a:graphic xmlns:a="http://schemas.openxmlformats.org/drawingml/2006/main">
                  <a:graphicData uri="http://schemas.microsoft.com/office/word/2010/wordprocessingShape">
                    <wps:wsp>
                      <wps:cNvSpPr txBox="1"/>
                      <wps:spPr>
                        <a:xfrm>
                          <a:off x="0" y="0"/>
                          <a:ext cx="33337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75E362E">
                            <w:pPr>
                              <w:rPr>
                                <w:rFonts w:hint="default" w:eastAsia="宋体"/>
                                <w:lang w:val="en-US" w:eastAsia="zh-CN"/>
                              </w:rPr>
                            </w:pPr>
                            <w:r>
                              <w:rPr>
                                <w:rFonts w:hint="eastAsia"/>
                                <w:lang w:val="en-US" w:eastAsia="zh-CN"/>
                              </w:rPr>
                              <w:t>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6pt;margin-top:333.45pt;height:22.5pt;width:26.25pt;z-index:251825152;mso-width-relative:page;mso-height-relative:page;" fillcolor="#FFFFFF [3201]" filled="t" stroked="t" coordsize="21600,21600" o:gfxdata="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X9BbXY&#10;AAAACwEAAA8AAAAAAAAAAQAgAAAAIgAAAGRycy9kb3ducmV2LnhtbFBLAQIUABQAAAAIAIdO4kDo&#10;LyLmWQIAALoEAAAOAAAAAAAAAAEAIAAAACcBAABkcnMvZTJvRG9jLnhtbFBLBQYAAAAABgAGAFkB&#10;AADyBQAAAAA=&#10;">
                <v:fill on="t" focussize="0,0"/>
                <v:stroke weight="0.5pt" color="#000000 [3204]" joinstyle="round"/>
                <v:imagedata o:title=""/>
                <o:lock v:ext="edit" aspectratio="f"/>
                <v:textbox>
                  <w:txbxContent>
                    <w:p w14:paraId="775E362E">
                      <w:pPr>
                        <w:rPr>
                          <w:rFonts w:hint="default" w:eastAsia="宋体"/>
                          <w:lang w:val="en-US" w:eastAsia="zh-CN"/>
                        </w:rPr>
                      </w:pPr>
                      <w:r>
                        <w:rPr>
                          <w:rFonts w:hint="eastAsia"/>
                          <w:lang w:val="en-US" w:eastAsia="zh-CN"/>
                        </w:rPr>
                        <w:t>泵</w:t>
                      </w:r>
                    </w:p>
                  </w:txbxContent>
                </v:textbox>
              </v:shape>
            </w:pict>
          </mc:Fallback>
        </mc:AlternateContent>
      </w:r>
      <w:r>
        <w:rPr>
          <w:color w:val="auto"/>
          <w:sz w:val="28"/>
        </w:rPr>
        <mc:AlternateContent>
          <mc:Choice Requires="wps">
            <w:drawing>
              <wp:anchor distT="0" distB="0" distL="114300" distR="114300" simplePos="0" relativeHeight="251824128" behindDoc="0" locked="0" layoutInCell="1" allowOverlap="1">
                <wp:simplePos x="0" y="0"/>
                <wp:positionH relativeFrom="column">
                  <wp:posOffset>3721100</wp:posOffset>
                </wp:positionH>
                <wp:positionV relativeFrom="paragraph">
                  <wp:posOffset>1515745</wp:posOffset>
                </wp:positionV>
                <wp:extent cx="1332865" cy="1795780"/>
                <wp:effectExtent l="4445" t="4445" r="15240" b="9525"/>
                <wp:wrapNone/>
                <wp:docPr id="480" name="文本框 480"/>
                <wp:cNvGraphicFramePr/>
                <a:graphic xmlns:a="http://schemas.openxmlformats.org/drawingml/2006/main">
                  <a:graphicData uri="http://schemas.microsoft.com/office/word/2010/wordprocessingShape">
                    <wps:wsp>
                      <wps:cNvSpPr txBox="1"/>
                      <wps:spPr>
                        <a:xfrm>
                          <a:off x="0" y="0"/>
                          <a:ext cx="1332865" cy="17957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9E813F8">
                            <w:pPr>
                              <w:keepNext w:val="0"/>
                              <w:keepLines w:val="0"/>
                              <w:pageBreakBefore w:val="0"/>
                              <w:widowControl w:val="0"/>
                              <w:kinsoku/>
                              <w:wordWrap/>
                              <w:overflowPunct/>
                              <w:topLinePunct w:val="0"/>
                              <w:bidi w:val="0"/>
                              <w:adjustRightInd w:val="0"/>
                              <w:snapToGrid w:val="0"/>
                              <w:textAlignment w:val="auto"/>
                              <w:rPr>
                                <w:rFonts w:hint="default"/>
                                <w:lang w:val="en-US" w:eastAsia="zh-CN"/>
                              </w:rPr>
                            </w:pPr>
                            <w:r>
                              <w:rPr>
                                <w:rFonts w:hint="eastAsia"/>
                                <w:lang w:val="en-US" w:eastAsia="zh-CN"/>
                              </w:rPr>
                              <w:t>造粒机×5</w:t>
                            </w:r>
                          </w:p>
                          <w:p w14:paraId="14685359">
                            <w:pPr>
                              <w:keepNext w:val="0"/>
                              <w:keepLines w:val="0"/>
                              <w:pageBreakBefore w:val="0"/>
                              <w:widowControl w:val="0"/>
                              <w:kinsoku/>
                              <w:wordWrap/>
                              <w:overflowPunct/>
                              <w:topLinePunct w:val="0"/>
                              <w:bidi w:val="0"/>
                              <w:adjustRightInd w:val="0"/>
                              <w:snapToGrid w:val="0"/>
                              <w:textAlignment w:val="auto"/>
                              <w:rPr>
                                <w:rFonts w:hint="default" w:eastAsia="宋体"/>
                                <w:lang w:val="en-US" w:eastAsia="zh-CN"/>
                              </w:rPr>
                            </w:pPr>
                            <w:r>
                              <w:rPr>
                                <w:rFonts w:hint="eastAsia"/>
                                <w:lang w:val="en-US" w:eastAsia="zh-CN"/>
                              </w:rPr>
                              <w:t>（全封闭廊道，内部划分过滤、冷却、造粒区）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3pt;margin-top:119.35pt;height:141.4pt;width:104.95pt;z-index:251824128;mso-width-relative:page;mso-height-relative:page;" fillcolor="#FFFFFF [3201]" filled="t" stroked="t" coordsize="21600,21600" o:gfxdata="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NX&#10;CADYAAAACwEAAA8AAAAAAAAAAQAgAAAAIgAAAGRycy9kb3ducmV2LnhtbFBLAQIUABQAAAAIAIdO&#10;4kBP3IwxXAIAALwEAAAOAAAAAAAAAAEAIAAAACcBAABkcnMvZTJvRG9jLnhtbFBLBQYAAAAABgAG&#10;AFkBAAD1BQAAAAA=&#10;">
                <v:fill on="t" focussize="0,0"/>
                <v:stroke weight="0.5pt" color="#000000 [3204]" joinstyle="round"/>
                <v:imagedata o:title=""/>
                <o:lock v:ext="edit" aspectratio="f"/>
                <v:textbox>
                  <w:txbxContent>
                    <w:p w14:paraId="59E813F8">
                      <w:pPr>
                        <w:keepNext w:val="0"/>
                        <w:keepLines w:val="0"/>
                        <w:pageBreakBefore w:val="0"/>
                        <w:widowControl w:val="0"/>
                        <w:kinsoku/>
                        <w:wordWrap/>
                        <w:overflowPunct/>
                        <w:topLinePunct w:val="0"/>
                        <w:bidi w:val="0"/>
                        <w:adjustRightInd w:val="0"/>
                        <w:snapToGrid w:val="0"/>
                        <w:textAlignment w:val="auto"/>
                        <w:rPr>
                          <w:rFonts w:hint="default"/>
                          <w:lang w:val="en-US" w:eastAsia="zh-CN"/>
                        </w:rPr>
                      </w:pPr>
                      <w:r>
                        <w:rPr>
                          <w:rFonts w:hint="eastAsia"/>
                          <w:lang w:val="en-US" w:eastAsia="zh-CN"/>
                        </w:rPr>
                        <w:t>造粒机×5</w:t>
                      </w:r>
                    </w:p>
                    <w:p w14:paraId="14685359">
                      <w:pPr>
                        <w:keepNext w:val="0"/>
                        <w:keepLines w:val="0"/>
                        <w:pageBreakBefore w:val="0"/>
                        <w:widowControl w:val="0"/>
                        <w:kinsoku/>
                        <w:wordWrap/>
                        <w:overflowPunct/>
                        <w:topLinePunct w:val="0"/>
                        <w:bidi w:val="0"/>
                        <w:adjustRightInd w:val="0"/>
                        <w:snapToGrid w:val="0"/>
                        <w:textAlignment w:val="auto"/>
                        <w:rPr>
                          <w:rFonts w:hint="default" w:eastAsia="宋体"/>
                          <w:lang w:val="en-US" w:eastAsia="zh-CN"/>
                        </w:rPr>
                      </w:pPr>
                      <w:r>
                        <w:rPr>
                          <w:rFonts w:hint="eastAsia"/>
                          <w:lang w:val="en-US" w:eastAsia="zh-CN"/>
                        </w:rPr>
                        <w:t>（全封闭廊道，内部划分过滤、冷却、造粒区）</w:t>
                      </w:r>
                    </w:p>
                  </w:txbxContent>
                </v:textbox>
              </v:shape>
            </w:pict>
          </mc:Fallback>
        </mc:AlternateContent>
      </w:r>
      <w:r>
        <w:rPr>
          <w:color w:val="auto"/>
          <w:sz w:val="28"/>
        </w:rPr>
        <mc:AlternateContent>
          <mc:Choice Requires="wps">
            <w:drawing>
              <wp:anchor distT="0" distB="0" distL="114300" distR="114300" simplePos="0" relativeHeight="251823104" behindDoc="0" locked="0" layoutInCell="1" allowOverlap="1">
                <wp:simplePos x="0" y="0"/>
                <wp:positionH relativeFrom="column">
                  <wp:posOffset>3092450</wp:posOffset>
                </wp:positionH>
                <wp:positionV relativeFrom="paragraph">
                  <wp:posOffset>2967990</wp:posOffset>
                </wp:positionV>
                <wp:extent cx="485140" cy="217805"/>
                <wp:effectExtent l="4445" t="4445" r="5715" b="6350"/>
                <wp:wrapNone/>
                <wp:docPr id="479" name="文本框 479"/>
                <wp:cNvGraphicFramePr/>
                <a:graphic xmlns:a="http://schemas.openxmlformats.org/drawingml/2006/main">
                  <a:graphicData uri="http://schemas.microsoft.com/office/word/2010/wordprocessingShape">
                    <wps:wsp>
                      <wps:cNvSpPr txBox="1"/>
                      <wps:spPr>
                        <a:xfrm>
                          <a:off x="0" y="0"/>
                          <a:ext cx="485140" cy="2178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E7C4EEF">
                            <w:pPr>
                              <w:rPr>
                                <w:rFonts w:hint="default" w:eastAsia="宋体"/>
                                <w:sz w:val="15"/>
                                <w:szCs w:val="15"/>
                                <w:lang w:val="en-US" w:eastAsia="zh-CN"/>
                              </w:rPr>
                            </w:pPr>
                            <w:r>
                              <w:rPr>
                                <w:rFonts w:hint="eastAsia"/>
                                <w:sz w:val="15"/>
                                <w:szCs w:val="15"/>
                                <w:lang w:val="en-US" w:eastAsia="zh-CN"/>
                              </w:rPr>
                              <w:t>提升机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5pt;margin-top:233.7pt;height:17.15pt;width:38.2pt;z-index:251823104;mso-width-relative:page;mso-height-relative:page;" fillcolor="#FFFFFF [3201]" filled="t" stroked="t" coordsize="21600,21600" o:gfxdata="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sWZN81wAA&#10;AAsBAAAPAAAAAAAAAAEAIAAAACIAAABkcnMvZG93bnJldi54bWxQSwECFAAUAAAACACHTuJAKp5D&#10;8VgCAAC6BAAADgAAAAAAAAABACAAAAAmAQAAZHJzL2Uyb0RvYy54bWxQSwUGAAAAAAYABgBZAQAA&#10;8AUAAAAA&#10;">
                <v:fill on="t" focussize="0,0"/>
                <v:stroke weight="0.5pt" color="#000000 [3204]" joinstyle="round"/>
                <v:imagedata o:title=""/>
                <o:lock v:ext="edit" aspectratio="f"/>
                <v:textbox>
                  <w:txbxContent>
                    <w:p w14:paraId="0E7C4EEF">
                      <w:pPr>
                        <w:rPr>
                          <w:rFonts w:hint="default" w:eastAsia="宋体"/>
                          <w:sz w:val="15"/>
                          <w:szCs w:val="15"/>
                          <w:lang w:val="en-US" w:eastAsia="zh-CN"/>
                        </w:rPr>
                      </w:pPr>
                      <w:r>
                        <w:rPr>
                          <w:rFonts w:hint="eastAsia"/>
                          <w:sz w:val="15"/>
                          <w:szCs w:val="15"/>
                          <w:lang w:val="en-US" w:eastAsia="zh-CN"/>
                        </w:rPr>
                        <w:t>提升机</w:t>
                      </w:r>
                    </w:p>
                  </w:txbxContent>
                </v:textbox>
              </v:shape>
            </w:pict>
          </mc:Fallback>
        </mc:AlternateContent>
      </w:r>
      <w:r>
        <w:rPr>
          <w:color w:val="auto"/>
          <w:sz w:val="28"/>
        </w:rPr>
        <mc:AlternateContent>
          <mc:Choice Requires="wps">
            <w:drawing>
              <wp:anchor distT="0" distB="0" distL="114300" distR="114300" simplePos="0" relativeHeight="251820032" behindDoc="0" locked="0" layoutInCell="1" allowOverlap="1">
                <wp:simplePos x="0" y="0"/>
                <wp:positionH relativeFrom="column">
                  <wp:posOffset>3125470</wp:posOffset>
                </wp:positionH>
                <wp:positionV relativeFrom="paragraph">
                  <wp:posOffset>2005965</wp:posOffset>
                </wp:positionV>
                <wp:extent cx="485140" cy="217805"/>
                <wp:effectExtent l="4445" t="4445" r="5715" b="6350"/>
                <wp:wrapNone/>
                <wp:docPr id="478" name="文本框 478"/>
                <wp:cNvGraphicFramePr/>
                <a:graphic xmlns:a="http://schemas.openxmlformats.org/drawingml/2006/main">
                  <a:graphicData uri="http://schemas.microsoft.com/office/word/2010/wordprocessingShape">
                    <wps:wsp>
                      <wps:cNvSpPr txBox="1"/>
                      <wps:spPr>
                        <a:xfrm>
                          <a:off x="0" y="0"/>
                          <a:ext cx="485140" cy="217805"/>
                        </a:xfrm>
                        <a:prstGeom prst="rect">
                          <a:avLst/>
                        </a:prstGeom>
                        <a:solidFill>
                          <a:schemeClr val="lt1"/>
                        </a:solid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6701975A">
                            <w:pPr>
                              <w:rPr>
                                <w:rFonts w:hint="default" w:eastAsia="宋体"/>
                                <w:sz w:val="15"/>
                                <w:szCs w:val="15"/>
                                <w:lang w:val="en-US" w:eastAsia="zh-CN"/>
                              </w:rPr>
                            </w:pPr>
                            <w:r>
                              <w:rPr>
                                <w:rFonts w:hint="eastAsia"/>
                                <w:sz w:val="15"/>
                                <w:szCs w:val="15"/>
                                <w:lang w:val="en-US" w:eastAsia="zh-CN"/>
                              </w:rPr>
                              <w:t>灌装机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1pt;margin-top:157.95pt;height:17.15pt;width:38.2pt;z-index:251820032;mso-width-relative:page;mso-height-relative:page;" fillcolor="#FFFFFF [3201]" filled="t" stroked="t" coordsize="21600,21600" o:gfxdata="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aO&#10;4undAAAACwEAAA8AAAAAAAAAAQAgAAAAIgAAAGRycy9kb3ducmV2LnhtbFBLAQIUABQAAAAIAIdO&#10;4kBg5+49VwIAALsEAAAOAAAAAAAAAAEAIAAAACwBAABkcnMvZTJvRG9jLnhtbFBLBQYAAAAABgAG&#10;AFkBAAD1BQAAAAA=&#10;">
                <v:fill on="t" focussize="0,0"/>
                <v:stroke weight="0.5pt" color="#FF0000 [3204]" joinstyle="round"/>
                <v:imagedata o:title=""/>
                <o:lock v:ext="edit" aspectratio="f"/>
                <v:textbox>
                  <w:txbxContent>
                    <w:p w14:paraId="6701975A">
                      <w:pPr>
                        <w:rPr>
                          <w:rFonts w:hint="default" w:eastAsia="宋体"/>
                          <w:sz w:val="15"/>
                          <w:szCs w:val="15"/>
                          <w:lang w:val="en-US" w:eastAsia="zh-CN"/>
                        </w:rPr>
                      </w:pPr>
                      <w:r>
                        <w:rPr>
                          <w:rFonts w:hint="eastAsia"/>
                          <w:sz w:val="15"/>
                          <w:szCs w:val="15"/>
                          <w:lang w:val="en-US" w:eastAsia="zh-CN"/>
                        </w:rPr>
                        <w:t>灌装机</w:t>
                      </w:r>
                    </w:p>
                  </w:txbxContent>
                </v:textbox>
              </v:shape>
            </w:pict>
          </mc:Fallback>
        </mc:AlternateContent>
      </w:r>
      <w:r>
        <w:rPr>
          <w:color w:val="auto"/>
          <w:sz w:val="28"/>
        </w:rPr>
        <mc:AlternateContent>
          <mc:Choice Requires="wps">
            <w:drawing>
              <wp:anchor distT="0" distB="0" distL="114300" distR="114300" simplePos="0" relativeHeight="251819008" behindDoc="0" locked="0" layoutInCell="1" allowOverlap="1">
                <wp:simplePos x="0" y="0"/>
                <wp:positionH relativeFrom="column">
                  <wp:posOffset>3125470</wp:posOffset>
                </wp:positionH>
                <wp:positionV relativeFrom="paragraph">
                  <wp:posOffset>1758315</wp:posOffset>
                </wp:positionV>
                <wp:extent cx="485140" cy="217805"/>
                <wp:effectExtent l="4445" t="4445" r="5715" b="6350"/>
                <wp:wrapNone/>
                <wp:docPr id="477" name="文本框 477"/>
                <wp:cNvGraphicFramePr/>
                <a:graphic xmlns:a="http://schemas.openxmlformats.org/drawingml/2006/main">
                  <a:graphicData uri="http://schemas.microsoft.com/office/word/2010/wordprocessingShape">
                    <wps:wsp>
                      <wps:cNvSpPr txBox="1"/>
                      <wps:spPr>
                        <a:xfrm>
                          <a:off x="0" y="0"/>
                          <a:ext cx="485140" cy="217805"/>
                        </a:xfrm>
                        <a:prstGeom prst="rect">
                          <a:avLst/>
                        </a:prstGeom>
                        <a:solidFill>
                          <a:schemeClr val="lt1"/>
                        </a:solid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71885966">
                            <w:pPr>
                              <w:rPr>
                                <w:rFonts w:hint="default" w:eastAsia="宋体"/>
                                <w:sz w:val="15"/>
                                <w:szCs w:val="15"/>
                                <w:lang w:val="en-US" w:eastAsia="zh-CN"/>
                              </w:rPr>
                            </w:pPr>
                            <w:r>
                              <w:rPr>
                                <w:rFonts w:hint="eastAsia"/>
                                <w:sz w:val="15"/>
                                <w:szCs w:val="15"/>
                                <w:lang w:val="en-US" w:eastAsia="zh-CN"/>
                              </w:rPr>
                              <w:t>灌装机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1pt;margin-top:138.45pt;height:17.15pt;width:38.2pt;z-index:251819008;mso-width-relative:page;mso-height-relative:page;" fillcolor="#FFFFFF [3201]" filled="t" stroked="t" coordsize="21600,21600" o:gfxdata="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XByX&#10;AN0AAAALAQAADwAAAAAAAAABACAAAAAiAAAAZHJzL2Rvd25yZXYueG1sUEsBAhQAFAAAAAgAh07i&#10;QG2vzjVWAgAAuwQAAA4AAAAAAAAAAQAgAAAALAEAAGRycy9lMm9Eb2MueG1sUEsFBgAAAAAGAAYA&#10;WQEAAPQFAAAAAA==&#10;">
                <v:fill on="t" focussize="0,0"/>
                <v:stroke weight="0.5pt" color="#FF0000 [3204]" joinstyle="round"/>
                <v:imagedata o:title=""/>
                <o:lock v:ext="edit" aspectratio="f"/>
                <v:textbox>
                  <w:txbxContent>
                    <w:p w14:paraId="71885966">
                      <w:pPr>
                        <w:rPr>
                          <w:rFonts w:hint="default" w:eastAsia="宋体"/>
                          <w:sz w:val="15"/>
                          <w:szCs w:val="15"/>
                          <w:lang w:val="en-US" w:eastAsia="zh-CN"/>
                        </w:rPr>
                      </w:pPr>
                      <w:r>
                        <w:rPr>
                          <w:rFonts w:hint="eastAsia"/>
                          <w:sz w:val="15"/>
                          <w:szCs w:val="15"/>
                          <w:lang w:val="en-US" w:eastAsia="zh-CN"/>
                        </w:rPr>
                        <w:t>灌装机</w:t>
                      </w:r>
                    </w:p>
                  </w:txbxContent>
                </v:textbox>
              </v:shape>
            </w:pict>
          </mc:Fallback>
        </mc:AlternateContent>
      </w:r>
      <w:r>
        <w:rPr>
          <w:color w:val="auto"/>
          <w:sz w:val="28"/>
        </w:rPr>
        <mc:AlternateContent>
          <mc:Choice Requires="wps">
            <w:drawing>
              <wp:anchor distT="0" distB="0" distL="114300" distR="114300" simplePos="0" relativeHeight="251817984" behindDoc="0" locked="0" layoutInCell="1" allowOverlap="1">
                <wp:simplePos x="0" y="0"/>
                <wp:positionH relativeFrom="column">
                  <wp:posOffset>3115945</wp:posOffset>
                </wp:positionH>
                <wp:positionV relativeFrom="paragraph">
                  <wp:posOffset>1501140</wp:posOffset>
                </wp:positionV>
                <wp:extent cx="485140" cy="217805"/>
                <wp:effectExtent l="4445" t="4445" r="5715" b="6350"/>
                <wp:wrapNone/>
                <wp:docPr id="475" name="文本框 475"/>
                <wp:cNvGraphicFramePr/>
                <a:graphic xmlns:a="http://schemas.openxmlformats.org/drawingml/2006/main">
                  <a:graphicData uri="http://schemas.microsoft.com/office/word/2010/wordprocessingShape">
                    <wps:wsp>
                      <wps:cNvSpPr txBox="1"/>
                      <wps:spPr>
                        <a:xfrm>
                          <a:off x="0" y="0"/>
                          <a:ext cx="485140" cy="217805"/>
                        </a:xfrm>
                        <a:prstGeom prst="rect">
                          <a:avLst/>
                        </a:prstGeom>
                        <a:solidFill>
                          <a:schemeClr val="lt1"/>
                        </a:solid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0B3B5412">
                            <w:pPr>
                              <w:rPr>
                                <w:rFonts w:hint="default" w:eastAsia="宋体"/>
                                <w:sz w:val="15"/>
                                <w:szCs w:val="15"/>
                                <w:lang w:val="en-US" w:eastAsia="zh-CN"/>
                              </w:rPr>
                            </w:pPr>
                            <w:r>
                              <w:rPr>
                                <w:rFonts w:hint="eastAsia"/>
                                <w:sz w:val="15"/>
                                <w:szCs w:val="15"/>
                                <w:lang w:val="en-US" w:eastAsia="zh-CN"/>
                              </w:rPr>
                              <w:t>灌装机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35pt;margin-top:118.2pt;height:17.15pt;width:38.2pt;z-index:251817984;mso-width-relative:page;mso-height-relative:page;" fillcolor="#FFFFFF [3201]" filled="t" stroked="t" coordsize="21600,21600" o:gfxdata="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XV&#10;4LjcAAAACwEAAA8AAAAAAAAAAQAgAAAAIgAAAGRycy9kb3ducmV2LnhtbFBLAQIUABQAAAAIAIdO&#10;4kBvhLGkWAIAALsEAAAOAAAAAAAAAAEAIAAAACsBAABkcnMvZTJvRG9jLnhtbFBLBQYAAAAABgAG&#10;AFkBAAD1BQAAAAA=&#10;">
                <v:fill on="t" focussize="0,0"/>
                <v:stroke weight="0.5pt" color="#FF0000 [3204]" joinstyle="round"/>
                <v:imagedata o:title=""/>
                <o:lock v:ext="edit" aspectratio="f"/>
                <v:textbox>
                  <w:txbxContent>
                    <w:p w14:paraId="0B3B5412">
                      <w:pPr>
                        <w:rPr>
                          <w:rFonts w:hint="default" w:eastAsia="宋体"/>
                          <w:sz w:val="15"/>
                          <w:szCs w:val="15"/>
                          <w:lang w:val="en-US" w:eastAsia="zh-CN"/>
                        </w:rPr>
                      </w:pPr>
                      <w:r>
                        <w:rPr>
                          <w:rFonts w:hint="eastAsia"/>
                          <w:sz w:val="15"/>
                          <w:szCs w:val="15"/>
                          <w:lang w:val="en-US" w:eastAsia="zh-CN"/>
                        </w:rPr>
                        <w:t>灌装机</w:t>
                      </w:r>
                    </w:p>
                  </w:txbxContent>
                </v:textbox>
              </v:shape>
            </w:pict>
          </mc:Fallback>
        </mc:AlternateContent>
      </w:r>
      <w:r>
        <w:rPr>
          <w:color w:val="auto"/>
          <w:sz w:val="28"/>
        </w:rPr>
        <mc:AlternateContent>
          <mc:Choice Requires="wps">
            <w:drawing>
              <wp:anchor distT="0" distB="0" distL="114300" distR="114300" simplePos="0" relativeHeight="251816960" behindDoc="0" locked="0" layoutInCell="1" allowOverlap="1">
                <wp:simplePos x="0" y="0"/>
                <wp:positionH relativeFrom="column">
                  <wp:posOffset>2354580</wp:posOffset>
                </wp:positionH>
                <wp:positionV relativeFrom="paragraph">
                  <wp:posOffset>2948940</wp:posOffset>
                </wp:positionV>
                <wp:extent cx="599440" cy="257810"/>
                <wp:effectExtent l="5080" t="4445" r="5080" b="23495"/>
                <wp:wrapNone/>
                <wp:docPr id="474" name="文本框 474"/>
                <wp:cNvGraphicFramePr/>
                <a:graphic xmlns:a="http://schemas.openxmlformats.org/drawingml/2006/main">
                  <a:graphicData uri="http://schemas.microsoft.com/office/word/2010/wordprocessingShape">
                    <wps:wsp>
                      <wps:cNvSpPr txBox="1"/>
                      <wps:spPr>
                        <a:xfrm>
                          <a:off x="0" y="0"/>
                          <a:ext cx="599440" cy="2578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0E94743">
                            <w:pPr>
                              <w:rPr>
                                <w:rFonts w:hint="default" w:eastAsia="宋体"/>
                                <w:lang w:val="en-US" w:eastAsia="zh-CN"/>
                              </w:rPr>
                            </w:pPr>
                            <w:r>
                              <w:rPr>
                                <w:rFonts w:hint="eastAsia"/>
                                <w:lang w:val="en-US" w:eastAsia="zh-CN"/>
                              </w:rPr>
                              <w:t>融蜡池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4pt;margin-top:232.2pt;height:20.3pt;width:47.2pt;z-index:251816960;mso-width-relative:page;mso-height-relative:page;" fillcolor="#FFFFFF [3201]" filled="t" stroked="t" coordsize="21600,21600" o:gfxdata="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xzqO+&#10;1wAAAAsBAAAPAAAAAAAAAAEAIAAAACIAAABkcnMvZG93bnJldi54bWxQSwECFAAUAAAACACHTuJA&#10;Q6AX+lsCAAC6BAAADgAAAAAAAAABACAAAAAmAQAAZHJzL2Uyb0RvYy54bWxQSwUGAAAAAAYABgBZ&#10;AQAA8wUAAAAA&#10;">
                <v:fill on="t" focussize="0,0"/>
                <v:stroke weight="0.5pt" color="#000000 [3204]" joinstyle="round"/>
                <v:imagedata o:title=""/>
                <o:lock v:ext="edit" aspectratio="f"/>
                <v:textbox>
                  <w:txbxContent>
                    <w:p w14:paraId="30E94743">
                      <w:pPr>
                        <w:rPr>
                          <w:rFonts w:hint="default" w:eastAsia="宋体"/>
                          <w:lang w:val="en-US" w:eastAsia="zh-CN"/>
                        </w:rPr>
                      </w:pPr>
                      <w:r>
                        <w:rPr>
                          <w:rFonts w:hint="eastAsia"/>
                          <w:lang w:val="en-US" w:eastAsia="zh-CN"/>
                        </w:rPr>
                        <w:t>融蜡池</w:t>
                      </w:r>
                    </w:p>
                  </w:txbxContent>
                </v:textbox>
              </v:shape>
            </w:pict>
          </mc:Fallback>
        </mc:AlternateContent>
      </w:r>
      <w:r>
        <w:rPr>
          <w:color w:val="auto"/>
          <w:sz w:val="28"/>
        </w:rPr>
        <mc:AlternateContent>
          <mc:Choice Requires="wps">
            <w:drawing>
              <wp:anchor distT="0" distB="0" distL="114300" distR="114300" simplePos="0" relativeHeight="251815936" behindDoc="0" locked="0" layoutInCell="1" allowOverlap="1">
                <wp:simplePos x="0" y="0"/>
                <wp:positionH relativeFrom="column">
                  <wp:posOffset>2353945</wp:posOffset>
                </wp:positionH>
                <wp:positionV relativeFrom="paragraph">
                  <wp:posOffset>1510665</wp:posOffset>
                </wp:positionV>
                <wp:extent cx="742950" cy="1400175"/>
                <wp:effectExtent l="4445" t="4445" r="14605" b="5080"/>
                <wp:wrapNone/>
                <wp:docPr id="473" name="文本框 473"/>
                <wp:cNvGraphicFramePr/>
                <a:graphic xmlns:a="http://schemas.openxmlformats.org/drawingml/2006/main">
                  <a:graphicData uri="http://schemas.microsoft.com/office/word/2010/wordprocessingShape">
                    <wps:wsp>
                      <wps:cNvSpPr txBox="1"/>
                      <wps:spPr>
                        <a:xfrm>
                          <a:off x="0" y="0"/>
                          <a:ext cx="742950" cy="14001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96634A">
                            <w:pPr>
                              <w:rPr>
                                <w:rFonts w:hint="eastAsia"/>
                                <w:lang w:val="en-US" w:eastAsia="zh-CN"/>
                              </w:rPr>
                            </w:pPr>
                            <w:r>
                              <w:rPr>
                                <w:rFonts w:hint="eastAsia"/>
                                <w:lang w:val="en-US" w:eastAsia="zh-CN"/>
                              </w:rPr>
                              <w:t>调</w:t>
                            </w:r>
                          </w:p>
                          <w:p w14:paraId="13EFD032">
                            <w:pPr>
                              <w:rPr>
                                <w:rFonts w:hint="eastAsia"/>
                                <w:lang w:val="en-US" w:eastAsia="zh-CN"/>
                              </w:rPr>
                            </w:pPr>
                          </w:p>
                          <w:p w14:paraId="05AC2C7A">
                            <w:pPr>
                              <w:rPr>
                                <w:rFonts w:hint="eastAsia"/>
                                <w:lang w:val="en-US" w:eastAsia="zh-CN"/>
                              </w:rPr>
                            </w:pPr>
                            <w:r>
                              <w:rPr>
                                <w:rFonts w:hint="eastAsia"/>
                                <w:lang w:val="en-US" w:eastAsia="zh-CN"/>
                              </w:rPr>
                              <w:t>和</w:t>
                            </w:r>
                          </w:p>
                          <w:p w14:paraId="0D4C3511">
                            <w:pPr>
                              <w:rPr>
                                <w:rFonts w:hint="eastAsia"/>
                                <w:lang w:val="en-US" w:eastAsia="zh-CN"/>
                              </w:rPr>
                            </w:pPr>
                          </w:p>
                          <w:p w14:paraId="4D6B24F4">
                            <w:pPr>
                              <w:rPr>
                                <w:rFonts w:hint="eastAsia"/>
                                <w:lang w:val="en-US" w:eastAsia="zh-CN"/>
                              </w:rPr>
                            </w:pPr>
                            <w:r>
                              <w:rPr>
                                <w:rFonts w:hint="eastAsia"/>
                                <w:lang w:val="en-US" w:eastAsia="zh-CN"/>
                              </w:rPr>
                              <w:t>罐</w:t>
                            </w:r>
                          </w:p>
                          <w:p w14:paraId="71DB5062">
                            <w:pPr>
                              <w:rPr>
                                <w:rFonts w:hint="eastAsia"/>
                                <w:lang w:val="en-US" w:eastAsia="zh-CN"/>
                              </w:rPr>
                            </w:pPr>
                          </w:p>
                          <w:p w14:paraId="49B005D3">
                            <w:pPr>
                              <w:rPr>
                                <w:rFonts w:hint="default" w:eastAsia="宋体"/>
                                <w:lang w:val="en-US" w:eastAsia="zh-CN"/>
                              </w:rPr>
                            </w:pPr>
                            <w:r>
                              <w:rPr>
                                <w:rFonts w:hint="eastAsia"/>
                                <w:lang w:val="en-US" w:eastAsia="zh-CN"/>
                              </w:rPr>
                              <w:t>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35pt;margin-top:118.95pt;height:110.25pt;width:58.5pt;z-index:251815936;mso-width-relative:page;mso-height-relative:page;" fillcolor="#FFFFFF [3201]" filled="t" stroked="t" coordsize="21600,21600" o:gfxdata="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HMjYtgA&#10;AAALAQAADwAAAAAAAAABACAAAAAiAAAAZHJzL2Rvd25yZXYueG1sUEsBAhQAFAAAAAgAh07iQK3m&#10;qO5YAgAAuwQAAA4AAAAAAAAAAQAgAAAAJwEAAGRycy9lMm9Eb2MueG1sUEsFBgAAAAAGAAYAWQEA&#10;APEFAAAAAA==&#10;">
                <v:fill on="t" focussize="0,0"/>
                <v:stroke weight="0.5pt" color="#000000 [3204]" joinstyle="round"/>
                <v:imagedata o:title=""/>
                <o:lock v:ext="edit" aspectratio="f"/>
                <v:textbox>
                  <w:txbxContent>
                    <w:p w14:paraId="3796634A">
                      <w:pPr>
                        <w:rPr>
                          <w:rFonts w:hint="eastAsia"/>
                          <w:lang w:val="en-US" w:eastAsia="zh-CN"/>
                        </w:rPr>
                      </w:pPr>
                      <w:r>
                        <w:rPr>
                          <w:rFonts w:hint="eastAsia"/>
                          <w:lang w:val="en-US" w:eastAsia="zh-CN"/>
                        </w:rPr>
                        <w:t>调</w:t>
                      </w:r>
                    </w:p>
                    <w:p w14:paraId="13EFD032">
                      <w:pPr>
                        <w:rPr>
                          <w:rFonts w:hint="eastAsia"/>
                          <w:lang w:val="en-US" w:eastAsia="zh-CN"/>
                        </w:rPr>
                      </w:pPr>
                    </w:p>
                    <w:p w14:paraId="05AC2C7A">
                      <w:pPr>
                        <w:rPr>
                          <w:rFonts w:hint="eastAsia"/>
                          <w:lang w:val="en-US" w:eastAsia="zh-CN"/>
                        </w:rPr>
                      </w:pPr>
                      <w:r>
                        <w:rPr>
                          <w:rFonts w:hint="eastAsia"/>
                          <w:lang w:val="en-US" w:eastAsia="zh-CN"/>
                        </w:rPr>
                        <w:t>和</w:t>
                      </w:r>
                    </w:p>
                    <w:p w14:paraId="0D4C3511">
                      <w:pPr>
                        <w:rPr>
                          <w:rFonts w:hint="eastAsia"/>
                          <w:lang w:val="en-US" w:eastAsia="zh-CN"/>
                        </w:rPr>
                      </w:pPr>
                    </w:p>
                    <w:p w14:paraId="4D6B24F4">
                      <w:pPr>
                        <w:rPr>
                          <w:rFonts w:hint="eastAsia"/>
                          <w:lang w:val="en-US" w:eastAsia="zh-CN"/>
                        </w:rPr>
                      </w:pPr>
                      <w:r>
                        <w:rPr>
                          <w:rFonts w:hint="eastAsia"/>
                          <w:lang w:val="en-US" w:eastAsia="zh-CN"/>
                        </w:rPr>
                        <w:t>罐</w:t>
                      </w:r>
                    </w:p>
                    <w:p w14:paraId="71DB5062">
                      <w:pPr>
                        <w:rPr>
                          <w:rFonts w:hint="eastAsia"/>
                          <w:lang w:val="en-US" w:eastAsia="zh-CN"/>
                        </w:rPr>
                      </w:pPr>
                    </w:p>
                    <w:p w14:paraId="49B005D3">
                      <w:pPr>
                        <w:rPr>
                          <w:rFonts w:hint="default" w:eastAsia="宋体"/>
                          <w:lang w:val="en-US" w:eastAsia="zh-CN"/>
                        </w:rPr>
                      </w:pPr>
                      <w:r>
                        <w:rPr>
                          <w:rFonts w:hint="eastAsia"/>
                          <w:lang w:val="en-US" w:eastAsia="zh-CN"/>
                        </w:rPr>
                        <w:t>区</w:t>
                      </w:r>
                    </w:p>
                  </w:txbxContent>
                </v:textbox>
              </v:shape>
            </w:pict>
          </mc:Fallback>
        </mc:AlternateContent>
      </w:r>
      <w:r>
        <w:rPr>
          <w:color w:val="auto"/>
          <w:sz w:val="28"/>
        </w:rPr>
        <mc:AlternateContent>
          <mc:Choice Requires="wps">
            <w:drawing>
              <wp:anchor distT="0" distB="0" distL="114300" distR="114300" simplePos="0" relativeHeight="251814912" behindDoc="0" locked="0" layoutInCell="1" allowOverlap="1">
                <wp:simplePos x="0" y="0"/>
                <wp:positionH relativeFrom="column">
                  <wp:posOffset>1858645</wp:posOffset>
                </wp:positionH>
                <wp:positionV relativeFrom="paragraph">
                  <wp:posOffset>1863090</wp:posOffset>
                </wp:positionV>
                <wp:extent cx="333375" cy="285750"/>
                <wp:effectExtent l="4445" t="4445" r="5080" b="14605"/>
                <wp:wrapNone/>
                <wp:docPr id="472" name="文本框 472"/>
                <wp:cNvGraphicFramePr/>
                <a:graphic xmlns:a="http://schemas.openxmlformats.org/drawingml/2006/main">
                  <a:graphicData uri="http://schemas.microsoft.com/office/word/2010/wordprocessingShape">
                    <wps:wsp>
                      <wps:cNvSpPr txBox="1"/>
                      <wps:spPr>
                        <a:xfrm>
                          <a:off x="0" y="0"/>
                          <a:ext cx="33337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3B3309A">
                            <w:pPr>
                              <w:rPr>
                                <w:rFonts w:hint="default" w:eastAsia="宋体"/>
                                <w:lang w:val="en-US" w:eastAsia="zh-CN"/>
                              </w:rPr>
                            </w:pPr>
                            <w:r>
                              <w:rPr>
                                <w:rFonts w:hint="eastAsia"/>
                                <w:lang w:val="en-US" w:eastAsia="zh-CN"/>
                              </w:rPr>
                              <w:t>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6.35pt;margin-top:146.7pt;height:22.5pt;width:26.25pt;z-index:251814912;mso-width-relative:page;mso-height-relative:page;" fillcolor="#FFFFFF [3201]" filled="t" stroked="t" coordsize="21600,21600" o:gfxdata="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GZZNrX&#10;AAAACwEAAA8AAAAAAAAAAQAgAAAAIgAAAGRycy9kb3ducmV2LnhtbFBLAQIUABQAAAAIAIdO4kAM&#10;OOb4WgIAALoEAAAOAAAAAAAAAAEAIAAAACYBAABkcnMvZTJvRG9jLnhtbFBLBQYAAAAABgAGAFkB&#10;AADyBQAAAAA=&#10;">
                <v:fill on="t" focussize="0,0"/>
                <v:stroke weight="0.5pt" color="#000000 [3204]" joinstyle="round"/>
                <v:imagedata o:title=""/>
                <o:lock v:ext="edit" aspectratio="f"/>
                <v:textbox>
                  <w:txbxContent>
                    <w:p w14:paraId="53B3309A">
                      <w:pPr>
                        <w:rPr>
                          <w:rFonts w:hint="default" w:eastAsia="宋体"/>
                          <w:lang w:val="en-US" w:eastAsia="zh-CN"/>
                        </w:rPr>
                      </w:pPr>
                      <w:r>
                        <w:rPr>
                          <w:rFonts w:hint="eastAsia"/>
                          <w:lang w:val="en-US" w:eastAsia="zh-CN"/>
                        </w:rPr>
                        <w:t>泵</w:t>
                      </w:r>
                    </w:p>
                  </w:txbxContent>
                </v:textbox>
              </v:shape>
            </w:pict>
          </mc:Fallback>
        </mc:AlternateContent>
      </w:r>
      <w:r>
        <w:rPr>
          <w:color w:val="auto"/>
          <w:sz w:val="28"/>
        </w:rPr>
        <mc:AlternateContent>
          <mc:Choice Requires="wps">
            <w:drawing>
              <wp:anchor distT="0" distB="0" distL="114300" distR="114300" simplePos="0" relativeHeight="251813888" behindDoc="0" locked="0" layoutInCell="1" allowOverlap="1">
                <wp:simplePos x="0" y="0"/>
                <wp:positionH relativeFrom="column">
                  <wp:posOffset>1649095</wp:posOffset>
                </wp:positionH>
                <wp:positionV relativeFrom="paragraph">
                  <wp:posOffset>4187190</wp:posOffset>
                </wp:positionV>
                <wp:extent cx="333375" cy="285750"/>
                <wp:effectExtent l="4445" t="4445" r="5080" b="14605"/>
                <wp:wrapNone/>
                <wp:docPr id="471" name="文本框 471"/>
                <wp:cNvGraphicFramePr/>
                <a:graphic xmlns:a="http://schemas.openxmlformats.org/drawingml/2006/main">
                  <a:graphicData uri="http://schemas.microsoft.com/office/word/2010/wordprocessingShape">
                    <wps:wsp>
                      <wps:cNvSpPr txBox="1"/>
                      <wps:spPr>
                        <a:xfrm>
                          <a:off x="0" y="0"/>
                          <a:ext cx="33337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368872">
                            <w:pPr>
                              <w:rPr>
                                <w:rFonts w:hint="default" w:eastAsia="宋体"/>
                                <w:lang w:val="en-US" w:eastAsia="zh-CN"/>
                              </w:rPr>
                            </w:pPr>
                            <w:r>
                              <w:rPr>
                                <w:rFonts w:hint="eastAsia"/>
                                <w:lang w:val="en-US" w:eastAsia="zh-CN"/>
                              </w:rPr>
                              <w:t>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9.85pt;margin-top:329.7pt;height:22.5pt;width:26.25pt;z-index:251813888;mso-width-relative:page;mso-height-relative:page;" fillcolor="#FFFFFF [3201]" filled="t" stroked="t" coordsize="21600,21600" o:gfxdata="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f7I&#10;2QAAAAsBAAAPAAAAAAAAAAEAIAAAACIAAABkcnMvZG93bnJldi54bWxQSwECFAAUAAAACACHTuJA&#10;5WcC7lkCAAC6BAAADgAAAAAAAAABACAAAAAoAQAAZHJzL2Uyb0RvYy54bWxQSwUGAAAAAAYABgBZ&#10;AQAA8wUAAAAA&#10;">
                <v:fill on="t" focussize="0,0"/>
                <v:stroke weight="0.5pt" color="#000000 [3204]" joinstyle="round"/>
                <v:imagedata o:title=""/>
                <o:lock v:ext="edit" aspectratio="f"/>
                <v:textbox>
                  <w:txbxContent>
                    <w:p w14:paraId="40368872">
                      <w:pPr>
                        <w:rPr>
                          <w:rFonts w:hint="default" w:eastAsia="宋体"/>
                          <w:lang w:val="en-US" w:eastAsia="zh-CN"/>
                        </w:rPr>
                      </w:pPr>
                      <w:r>
                        <w:rPr>
                          <w:rFonts w:hint="eastAsia"/>
                          <w:lang w:val="en-US" w:eastAsia="zh-CN"/>
                        </w:rPr>
                        <w:t>泵</w:t>
                      </w:r>
                    </w:p>
                  </w:txbxContent>
                </v:textbox>
              </v:shape>
            </w:pict>
          </mc:Fallback>
        </mc:AlternateContent>
      </w:r>
      <w:r>
        <w:rPr>
          <w:color w:val="auto"/>
          <w:sz w:val="28"/>
        </w:rPr>
        <mc:AlternateContent>
          <mc:Choice Requires="wps">
            <w:drawing>
              <wp:anchor distT="0" distB="0" distL="114300" distR="114300" simplePos="0" relativeHeight="251811840" behindDoc="0" locked="0" layoutInCell="1" allowOverlap="1">
                <wp:simplePos x="0" y="0"/>
                <wp:positionH relativeFrom="column">
                  <wp:posOffset>1182370</wp:posOffset>
                </wp:positionH>
                <wp:positionV relativeFrom="paragraph">
                  <wp:posOffset>4177665</wp:posOffset>
                </wp:positionV>
                <wp:extent cx="333375" cy="285750"/>
                <wp:effectExtent l="4445" t="4445" r="5080" b="14605"/>
                <wp:wrapNone/>
                <wp:docPr id="469" name="文本框 469"/>
                <wp:cNvGraphicFramePr/>
                <a:graphic xmlns:a="http://schemas.openxmlformats.org/drawingml/2006/main">
                  <a:graphicData uri="http://schemas.microsoft.com/office/word/2010/wordprocessingShape">
                    <wps:wsp>
                      <wps:cNvSpPr txBox="1"/>
                      <wps:spPr>
                        <a:xfrm>
                          <a:off x="0" y="0"/>
                          <a:ext cx="33337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742AE56">
                            <w:pPr>
                              <w:rPr>
                                <w:rFonts w:hint="default" w:eastAsia="宋体"/>
                                <w:lang w:val="en-US" w:eastAsia="zh-CN"/>
                              </w:rPr>
                            </w:pPr>
                            <w:r>
                              <w:rPr>
                                <w:rFonts w:hint="eastAsia"/>
                                <w:lang w:val="en-US" w:eastAsia="zh-CN"/>
                              </w:rPr>
                              <w:t>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1pt;margin-top:328.95pt;height:22.5pt;width:26.25pt;z-index:251811840;mso-width-relative:page;mso-height-relative:page;" fillcolor="#FFFFFF [3201]" filled="t" stroked="t" coordsize="21600,21600" o:gfxdata="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z4G6o&#10;2AAAAAsBAAAPAAAAAAAAAAEAIAAAACIAAABkcnMvZG93bnJldi54bWxQSwECFAAUAAAACACHTuJA&#10;XKejy1oCAAC6BAAADgAAAAAAAAABACAAAAAnAQAAZHJzL2Uyb0RvYy54bWxQSwUGAAAAAAYABgBZ&#10;AQAA8wUAAAAA&#10;">
                <v:fill on="t" focussize="0,0"/>
                <v:stroke weight="0.5pt" color="#000000 [3204]" joinstyle="round"/>
                <v:imagedata o:title=""/>
                <o:lock v:ext="edit" aspectratio="f"/>
                <v:textbox>
                  <w:txbxContent>
                    <w:p w14:paraId="3742AE56">
                      <w:pPr>
                        <w:rPr>
                          <w:rFonts w:hint="default" w:eastAsia="宋体"/>
                          <w:lang w:val="en-US" w:eastAsia="zh-CN"/>
                        </w:rPr>
                      </w:pPr>
                      <w:r>
                        <w:rPr>
                          <w:rFonts w:hint="eastAsia"/>
                          <w:lang w:val="en-US" w:eastAsia="zh-CN"/>
                        </w:rPr>
                        <w:t>泵</w:t>
                      </w:r>
                    </w:p>
                  </w:txbxContent>
                </v:textbox>
              </v:shape>
            </w:pict>
          </mc:Fallback>
        </mc:AlternateContent>
      </w:r>
      <w:r>
        <w:rPr>
          <w:color w:val="auto"/>
          <w:sz w:val="28"/>
        </w:rPr>
        <mc:AlternateContent>
          <mc:Choice Requires="wps">
            <w:drawing>
              <wp:anchor distT="0" distB="0" distL="114300" distR="114300" simplePos="0" relativeHeight="251812864" behindDoc="0" locked="0" layoutInCell="1" allowOverlap="1">
                <wp:simplePos x="0" y="0"/>
                <wp:positionH relativeFrom="column">
                  <wp:posOffset>1134745</wp:posOffset>
                </wp:positionH>
                <wp:positionV relativeFrom="paragraph">
                  <wp:posOffset>2215515</wp:posOffset>
                </wp:positionV>
                <wp:extent cx="1057275" cy="1028065"/>
                <wp:effectExtent l="4445" t="4445" r="5080" b="15240"/>
                <wp:wrapNone/>
                <wp:docPr id="470" name="文本框 470"/>
                <wp:cNvGraphicFramePr/>
                <a:graphic xmlns:a="http://schemas.openxmlformats.org/drawingml/2006/main">
                  <a:graphicData uri="http://schemas.microsoft.com/office/word/2010/wordprocessingShape">
                    <wps:wsp>
                      <wps:cNvSpPr txBox="1"/>
                      <wps:spPr>
                        <a:xfrm>
                          <a:off x="0" y="0"/>
                          <a:ext cx="1057275" cy="10280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46D12A8">
                            <w:pPr>
                              <w:rPr>
                                <w:rFonts w:hint="eastAsia"/>
                                <w:lang w:val="en-US" w:eastAsia="zh-CN"/>
                              </w:rPr>
                            </w:pPr>
                          </w:p>
                          <w:p w14:paraId="23AE3461">
                            <w:pPr>
                              <w:rPr>
                                <w:rFonts w:hint="eastAsia"/>
                                <w:lang w:val="en-US" w:eastAsia="zh-CN"/>
                              </w:rPr>
                            </w:pPr>
                          </w:p>
                          <w:p w14:paraId="6F9A65AE">
                            <w:pPr>
                              <w:rPr>
                                <w:rFonts w:hint="default" w:eastAsia="宋体"/>
                                <w:lang w:val="en-US" w:eastAsia="zh-CN"/>
                              </w:rPr>
                            </w:pPr>
                            <w:r>
                              <w:rPr>
                                <w:rFonts w:hint="eastAsia"/>
                                <w:lang w:val="en-US" w:eastAsia="zh-CN"/>
                              </w:rPr>
                              <w:t>物料输送管线区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35pt;margin-top:174.45pt;height:80.95pt;width:83.25pt;z-index:251812864;mso-width-relative:page;mso-height-relative:page;" fillcolor="#FFFFFF [3201]" filled="t" stroked="t" coordsize="21600,21600" o:gfxdata="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7yJc+&#10;2AAAAAsBAAAPAAAAAAAAAAEAIAAAACIAAABkcnMvZG93bnJldi54bWxQSwECFAAUAAAACACHTuJA&#10;fSc/CFoCAAC8BAAADgAAAAAAAAABACAAAAAnAQAAZHJzL2Uyb0RvYy54bWxQSwUGAAAAAAYABgBZ&#10;AQAA8wUAAAAA&#10;">
                <v:fill on="t" focussize="0,0"/>
                <v:stroke weight="0.5pt" color="#000000 [3204]" joinstyle="round"/>
                <v:imagedata o:title=""/>
                <o:lock v:ext="edit" aspectratio="f"/>
                <v:textbox>
                  <w:txbxContent>
                    <w:p w14:paraId="546D12A8">
                      <w:pPr>
                        <w:rPr>
                          <w:rFonts w:hint="eastAsia"/>
                          <w:lang w:val="en-US" w:eastAsia="zh-CN"/>
                        </w:rPr>
                      </w:pPr>
                    </w:p>
                    <w:p w14:paraId="23AE3461">
                      <w:pPr>
                        <w:rPr>
                          <w:rFonts w:hint="eastAsia"/>
                          <w:lang w:val="en-US" w:eastAsia="zh-CN"/>
                        </w:rPr>
                      </w:pPr>
                    </w:p>
                    <w:p w14:paraId="6F9A65AE">
                      <w:pPr>
                        <w:rPr>
                          <w:rFonts w:hint="default" w:eastAsia="宋体"/>
                          <w:lang w:val="en-US" w:eastAsia="zh-CN"/>
                        </w:rPr>
                      </w:pPr>
                      <w:r>
                        <w:rPr>
                          <w:rFonts w:hint="eastAsia"/>
                          <w:lang w:val="en-US" w:eastAsia="zh-CN"/>
                        </w:rPr>
                        <w:t>物料输送管线区</w:t>
                      </w:r>
                    </w:p>
                  </w:txbxContent>
                </v:textbox>
              </v:shape>
            </w:pict>
          </mc:Fallback>
        </mc:AlternateContent>
      </w:r>
      <w:r>
        <w:rPr>
          <w:color w:val="auto"/>
          <w:sz w:val="28"/>
        </w:rPr>
        <mc:AlternateContent>
          <mc:Choice Requires="wps">
            <w:drawing>
              <wp:anchor distT="0" distB="0" distL="114300" distR="114300" simplePos="0" relativeHeight="251810816" behindDoc="0" locked="0" layoutInCell="1" allowOverlap="1">
                <wp:simplePos x="0" y="0"/>
                <wp:positionH relativeFrom="column">
                  <wp:posOffset>1172845</wp:posOffset>
                </wp:positionH>
                <wp:positionV relativeFrom="paragraph">
                  <wp:posOffset>1863090</wp:posOffset>
                </wp:positionV>
                <wp:extent cx="619125" cy="285750"/>
                <wp:effectExtent l="4445" t="4445" r="5080" b="14605"/>
                <wp:wrapNone/>
                <wp:docPr id="468" name="文本框 468"/>
                <wp:cNvGraphicFramePr/>
                <a:graphic xmlns:a="http://schemas.openxmlformats.org/drawingml/2006/main">
                  <a:graphicData uri="http://schemas.microsoft.com/office/word/2010/wordprocessingShape">
                    <wps:wsp>
                      <wps:cNvSpPr txBox="1"/>
                      <wps:spPr>
                        <a:xfrm>
                          <a:off x="0" y="0"/>
                          <a:ext cx="61912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D2250F">
                            <w:pPr>
                              <w:rPr>
                                <w:rFonts w:hint="default" w:eastAsia="宋体"/>
                                <w:lang w:val="en-US" w:eastAsia="zh-CN"/>
                              </w:rPr>
                            </w:pPr>
                            <w:r>
                              <w:rPr>
                                <w:rFonts w:hint="eastAsia"/>
                                <w:lang w:val="en-US" w:eastAsia="zh-CN"/>
                              </w:rPr>
                              <w:t>换热器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35pt;margin-top:146.7pt;height:22.5pt;width:48.75pt;z-index:251810816;mso-width-relative:page;mso-height-relative:page;" fillcolor="#FFFFFF [3201]" filled="t" stroked="t" coordsize="21600,21600" o:gfxdata="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tMXzTX&#10;AAAACwEAAA8AAAAAAAAAAQAgAAAAIgAAAGRycy9kb3ducmV2LnhtbFBLAQIUABQAAAAIAIdO4kAb&#10;xekrWgIAALoEAAAOAAAAAAAAAAEAIAAAACYBAABkcnMvZTJvRG9jLnhtbFBLBQYAAAAABgAGAFkB&#10;AADyBQAAAAA=&#10;">
                <v:fill on="t" focussize="0,0"/>
                <v:stroke weight="0.5pt" color="#000000 [3204]" joinstyle="round"/>
                <v:imagedata o:title=""/>
                <o:lock v:ext="edit" aspectratio="f"/>
                <v:textbox>
                  <w:txbxContent>
                    <w:p w14:paraId="05D2250F">
                      <w:pPr>
                        <w:rPr>
                          <w:rFonts w:hint="default" w:eastAsia="宋体"/>
                          <w:lang w:val="en-US" w:eastAsia="zh-CN"/>
                        </w:rPr>
                      </w:pPr>
                      <w:r>
                        <w:rPr>
                          <w:rFonts w:hint="eastAsia"/>
                          <w:lang w:val="en-US" w:eastAsia="zh-CN"/>
                        </w:rPr>
                        <w:t>换热器</w:t>
                      </w:r>
                    </w:p>
                  </w:txbxContent>
                </v:textbox>
              </v:shape>
            </w:pict>
          </mc:Fallback>
        </mc:AlternateContent>
      </w:r>
      <w:r>
        <w:rPr>
          <w:color w:val="auto"/>
          <w:sz w:val="28"/>
        </w:rPr>
        <mc:AlternateContent>
          <mc:Choice Requires="wps">
            <w:drawing>
              <wp:anchor distT="0" distB="0" distL="114300" distR="114300" simplePos="0" relativeHeight="251809792" behindDoc="0" locked="0" layoutInCell="1" allowOverlap="1">
                <wp:simplePos x="0" y="0"/>
                <wp:positionH relativeFrom="column">
                  <wp:posOffset>1182370</wp:posOffset>
                </wp:positionH>
                <wp:positionV relativeFrom="paragraph">
                  <wp:posOffset>1558290</wp:posOffset>
                </wp:positionV>
                <wp:extent cx="742950" cy="285750"/>
                <wp:effectExtent l="4445" t="4445" r="14605" b="14605"/>
                <wp:wrapNone/>
                <wp:docPr id="467" name="文本框 467"/>
                <wp:cNvGraphicFramePr/>
                <a:graphic xmlns:a="http://schemas.openxmlformats.org/drawingml/2006/main">
                  <a:graphicData uri="http://schemas.microsoft.com/office/word/2010/wordprocessingShape">
                    <wps:wsp>
                      <wps:cNvSpPr txBox="1"/>
                      <wps:spPr>
                        <a:xfrm>
                          <a:off x="2925445" y="1834515"/>
                          <a:ext cx="742950"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6A3232D">
                            <w:pPr>
                              <w:rPr>
                                <w:rFonts w:hint="default" w:eastAsia="宋体"/>
                                <w:lang w:val="en-US" w:eastAsia="zh-CN"/>
                              </w:rPr>
                            </w:pPr>
                            <w:r>
                              <w:rPr>
                                <w:rFonts w:hint="eastAsia"/>
                                <w:lang w:val="en-US" w:eastAsia="zh-CN"/>
                              </w:rPr>
                              <w:t>冷却机组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1pt;margin-top:122.7pt;height:22.5pt;width:58.5pt;z-index:251809792;mso-width-relative:page;mso-height-relative:page;" fillcolor="#FFFFFF [3201]" filled="t" stroked="t" coordsize="21600,21600" o:gfxdata="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It47WAAAACwEAAA8AAAAAAAAAAQAgAAAAIgAAAGRycy9kb3ducmV2LnhtbFBLAQIUABQA&#10;AAAIAIdO4kCu9IFSZAIAAMYEAAAOAAAAAAAAAAEAIAAAACUBAABkcnMvZTJvRG9jLnhtbFBLBQYA&#10;AAAABgAGAFkBAAD7BQAAAAA=&#10;">
                <v:fill on="t" focussize="0,0"/>
                <v:stroke weight="0.5pt" color="#000000 [3204]" joinstyle="round"/>
                <v:imagedata o:title=""/>
                <o:lock v:ext="edit" aspectratio="f"/>
                <v:textbox>
                  <w:txbxContent>
                    <w:p w14:paraId="56A3232D">
                      <w:pPr>
                        <w:rPr>
                          <w:rFonts w:hint="default" w:eastAsia="宋体"/>
                          <w:lang w:val="en-US" w:eastAsia="zh-CN"/>
                        </w:rPr>
                      </w:pPr>
                      <w:r>
                        <w:rPr>
                          <w:rFonts w:hint="eastAsia"/>
                          <w:lang w:val="en-US" w:eastAsia="zh-CN"/>
                        </w:rPr>
                        <w:t>冷却机组</w:t>
                      </w:r>
                    </w:p>
                  </w:txbxContent>
                </v:textbox>
              </v:shape>
            </w:pict>
          </mc:Fallback>
        </mc:AlternateContent>
      </w:r>
      <w:r>
        <w:rPr>
          <w:color w:val="auto"/>
          <w:sz w:val="28"/>
        </w:rPr>
        <mc:AlternateContent>
          <mc:Choice Requires="wps">
            <w:drawing>
              <wp:anchor distT="0" distB="0" distL="114300" distR="114300" simplePos="0" relativeHeight="251808768" behindDoc="0" locked="0" layoutInCell="1" allowOverlap="1">
                <wp:simplePos x="0" y="0"/>
                <wp:positionH relativeFrom="column">
                  <wp:posOffset>3906520</wp:posOffset>
                </wp:positionH>
                <wp:positionV relativeFrom="paragraph">
                  <wp:posOffset>3758565</wp:posOffset>
                </wp:positionV>
                <wp:extent cx="1276350" cy="951865"/>
                <wp:effectExtent l="4445" t="4445" r="14605" b="15240"/>
                <wp:wrapNone/>
                <wp:docPr id="466" name="文本框 466"/>
                <wp:cNvGraphicFramePr/>
                <a:graphic xmlns:a="http://schemas.openxmlformats.org/drawingml/2006/main">
                  <a:graphicData uri="http://schemas.microsoft.com/office/word/2010/wordprocessingShape">
                    <wps:wsp>
                      <wps:cNvSpPr txBox="1"/>
                      <wps:spPr>
                        <a:xfrm>
                          <a:off x="0" y="0"/>
                          <a:ext cx="1276350" cy="9518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4E776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7.6pt;margin-top:295.95pt;height:74.95pt;width:100.5pt;z-index:251808768;mso-width-relative:page;mso-height-relative:page;" fillcolor="#FFFFFF [3201]" filled="t" stroked="t" coordsize="21600,21600" o:gfxdata="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z+34L2AAA&#10;AAsBAAAPAAAAAAAAAAEAIAAAACIAAABkcnMvZG93bnJldi54bWxQSwECFAAUAAAACACHTuJAKR6J&#10;ZFcCAAC7BAAADgAAAAAAAAABACAAAAAnAQAAZHJzL2Uyb0RvYy54bWxQSwUGAAAAAAYABgBZAQAA&#10;8AUAAAAA&#10;">
                <v:fill on="t" focussize="0,0"/>
                <v:stroke weight="0.5pt" color="#000000 [3204]" joinstyle="round"/>
                <v:imagedata o:title=""/>
                <o:lock v:ext="edit" aspectratio="f"/>
                <v:textbox>
                  <w:txbxContent>
                    <w:p w14:paraId="054E7762"/>
                  </w:txbxContent>
                </v:textbox>
              </v:shape>
            </w:pict>
          </mc:Fallback>
        </mc:AlternateContent>
      </w:r>
      <w:r>
        <w:rPr>
          <w:color w:val="auto"/>
          <w:sz w:val="28"/>
        </w:rPr>
        <mc:AlternateContent>
          <mc:Choice Requires="wps">
            <w:drawing>
              <wp:anchor distT="0" distB="0" distL="114300" distR="114300" simplePos="0" relativeHeight="251806720" behindDoc="0" locked="0" layoutInCell="1" allowOverlap="1">
                <wp:simplePos x="0" y="0"/>
                <wp:positionH relativeFrom="column">
                  <wp:posOffset>1010920</wp:posOffset>
                </wp:positionH>
                <wp:positionV relativeFrom="paragraph">
                  <wp:posOffset>3920490</wp:posOffset>
                </wp:positionV>
                <wp:extent cx="1276350" cy="761365"/>
                <wp:effectExtent l="4445" t="4445" r="14605" b="15240"/>
                <wp:wrapNone/>
                <wp:docPr id="464" name="文本框 464"/>
                <wp:cNvGraphicFramePr/>
                <a:graphic xmlns:a="http://schemas.openxmlformats.org/drawingml/2006/main">
                  <a:graphicData uri="http://schemas.microsoft.com/office/word/2010/wordprocessingShape">
                    <wps:wsp>
                      <wps:cNvSpPr txBox="1"/>
                      <wps:spPr>
                        <a:xfrm>
                          <a:off x="0" y="0"/>
                          <a:ext cx="1276350" cy="7613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6719C0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6pt;margin-top:308.7pt;height:59.95pt;width:100.5pt;z-index:251806720;mso-width-relative:page;mso-height-relative:page;" fillcolor="#FFFFFF [3201]" filled="t" stroked="t" coordsize="21600,21600" o:gfxdata="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94ufnXAAAA&#10;CwEAAA8AAAAAAAAAAQAgAAAAIgAAAGRycy9kb3ducmV2LnhtbFBLAQIUABQAAAAIAIdO4kCHoOcI&#10;VwIAALsEAAAOAAAAAAAAAAEAIAAAACYBAABkcnMvZTJvRG9jLnhtbFBLBQYAAAAABgAGAFkBAADv&#10;BQAAAAA=&#10;">
                <v:fill on="t" focussize="0,0"/>
                <v:stroke weight="0.5pt" color="#000000 [3204]" joinstyle="round"/>
                <v:imagedata o:title=""/>
                <o:lock v:ext="edit" aspectratio="f"/>
                <v:textbox>
                  <w:txbxContent>
                    <w:p w14:paraId="66719C0C"/>
                  </w:txbxContent>
                </v:textbox>
              </v:shape>
            </w:pict>
          </mc:Fallback>
        </mc:AlternateContent>
      </w:r>
      <w:r>
        <w:rPr>
          <w:color w:val="auto"/>
          <w:sz w:val="28"/>
        </w:rPr>
        <mc:AlternateContent>
          <mc:Choice Requires="wps">
            <w:drawing>
              <wp:anchor distT="0" distB="0" distL="114300" distR="114300" simplePos="0" relativeHeight="251807744" behindDoc="0" locked="0" layoutInCell="1" allowOverlap="1">
                <wp:simplePos x="0" y="0"/>
                <wp:positionH relativeFrom="column">
                  <wp:posOffset>2753995</wp:posOffset>
                </wp:positionH>
                <wp:positionV relativeFrom="paragraph">
                  <wp:posOffset>3968115</wp:posOffset>
                </wp:positionV>
                <wp:extent cx="1028700" cy="732790"/>
                <wp:effectExtent l="4445" t="4445" r="14605" b="5715"/>
                <wp:wrapNone/>
                <wp:docPr id="465" name="文本框 465"/>
                <wp:cNvGraphicFramePr/>
                <a:graphic xmlns:a="http://schemas.openxmlformats.org/drawingml/2006/main">
                  <a:graphicData uri="http://schemas.microsoft.com/office/word/2010/wordprocessingShape">
                    <wps:wsp>
                      <wps:cNvSpPr txBox="1"/>
                      <wps:spPr>
                        <a:xfrm>
                          <a:off x="0" y="0"/>
                          <a:ext cx="1028700" cy="7327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D8289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85pt;margin-top:312.45pt;height:57.7pt;width:81pt;z-index:251807744;mso-width-relative:page;mso-height-relative:page;" fillcolor="#FFFFFF [3201]" filled="t" stroked="t" coordsize="21600,21600" o:gfxdata="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54qY9kAAAALAQAADwAAAAAAAAABACAAAAAiAAAAZHJzL2Rvd25yZXYueG1sUEsBAhQAFAAAAAgA&#10;h07iQHOa7a1dAgAAuwQAAA4AAAAAAAAAAQAgAAAAKAEAAGRycy9lMm9Eb2MueG1sUEsFBgAAAAAG&#10;AAYAWQEAAPcFAAAAAA==&#10;">
                <v:fill on="t" focussize="0,0"/>
                <v:stroke weight="0.5pt" color="#000000 [3204]" joinstyle="round"/>
                <v:imagedata o:title=""/>
                <o:lock v:ext="edit" aspectratio="f"/>
                <v:textbox>
                  <w:txbxContent>
                    <w:p w14:paraId="43D8289F"/>
                  </w:txbxContent>
                </v:textbox>
              </v:shape>
            </w:pict>
          </mc:Fallback>
        </mc:AlternateContent>
      </w:r>
      <w:r>
        <w:rPr>
          <w:color w:val="auto"/>
          <w:sz w:val="28"/>
        </w:rPr>
        <mc:AlternateContent>
          <mc:Choice Requires="wps">
            <w:drawing>
              <wp:anchor distT="0" distB="0" distL="114300" distR="114300" simplePos="0" relativeHeight="251805696" behindDoc="0" locked="0" layoutInCell="1" allowOverlap="1">
                <wp:simplePos x="0" y="0"/>
                <wp:positionH relativeFrom="column">
                  <wp:posOffset>3658870</wp:posOffset>
                </wp:positionH>
                <wp:positionV relativeFrom="paragraph">
                  <wp:posOffset>1463040</wp:posOffset>
                </wp:positionV>
                <wp:extent cx="1466215" cy="1951990"/>
                <wp:effectExtent l="5080" t="4445" r="14605" b="5715"/>
                <wp:wrapNone/>
                <wp:docPr id="463" name="文本框 463"/>
                <wp:cNvGraphicFramePr/>
                <a:graphic xmlns:a="http://schemas.openxmlformats.org/drawingml/2006/main">
                  <a:graphicData uri="http://schemas.microsoft.com/office/word/2010/wordprocessingShape">
                    <wps:wsp>
                      <wps:cNvSpPr txBox="1"/>
                      <wps:spPr>
                        <a:xfrm>
                          <a:off x="0" y="0"/>
                          <a:ext cx="1466215" cy="19519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7AFE66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1pt;margin-top:115.2pt;height:153.7pt;width:115.45pt;z-index:251805696;mso-width-relative:page;mso-height-relative:page;" fillcolor="#FFFFFF [3201]" filled="t" stroked="t" coordsize="21600,21600" o:gfxdata="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U&#10;tpwo1wAAAAsBAAAPAAAAAAAAAAEAIAAAACIAAABkcnMvZG93bnJldi54bWxQSwECFAAUAAAACACH&#10;TuJA0vSKdF4CAAC8BAAADgAAAAAAAAABACAAAAAmAQAAZHJzL2Uyb0RvYy54bWxQSwUGAAAAAAYA&#10;BgBZAQAA9gUAAAAA&#10;">
                <v:fill on="t" focussize="0,0"/>
                <v:stroke weight="0.5pt" color="#000000 [3204]" joinstyle="round"/>
                <v:imagedata o:title=""/>
                <o:lock v:ext="edit" aspectratio="f"/>
                <v:textbox>
                  <w:txbxContent>
                    <w:p w14:paraId="27AFE663"/>
                  </w:txbxContent>
                </v:textbox>
              </v:shape>
            </w:pict>
          </mc:Fallback>
        </mc:AlternateContent>
      </w:r>
      <w:r>
        <w:rPr>
          <w:color w:val="auto"/>
          <w:sz w:val="28"/>
        </w:rPr>
        <mc:AlternateContent>
          <mc:Choice Requires="wps">
            <w:drawing>
              <wp:anchor distT="0" distB="0" distL="114300" distR="114300" simplePos="0" relativeHeight="251804672" behindDoc="0" locked="0" layoutInCell="1" allowOverlap="1">
                <wp:simplePos x="0" y="0"/>
                <wp:positionH relativeFrom="column">
                  <wp:posOffset>2334895</wp:posOffset>
                </wp:positionH>
                <wp:positionV relativeFrom="paragraph">
                  <wp:posOffset>1472565</wp:posOffset>
                </wp:positionV>
                <wp:extent cx="1276350" cy="1951990"/>
                <wp:effectExtent l="5080" t="4445" r="13970" b="5715"/>
                <wp:wrapNone/>
                <wp:docPr id="462" name="文本框 462"/>
                <wp:cNvGraphicFramePr/>
                <a:graphic xmlns:a="http://schemas.openxmlformats.org/drawingml/2006/main">
                  <a:graphicData uri="http://schemas.microsoft.com/office/word/2010/wordprocessingShape">
                    <wps:wsp>
                      <wps:cNvSpPr txBox="1"/>
                      <wps:spPr>
                        <a:xfrm>
                          <a:off x="0" y="0"/>
                          <a:ext cx="1276350" cy="19519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F1C97B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3.85pt;margin-top:115.95pt;height:153.7pt;width:100.5pt;z-index:251804672;mso-width-relative:page;mso-height-relative:page;" fillcolor="#FFFFFF [3201]" filled="t" stroked="t" coordsize="21600,21600" o:gfxdata="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AIeSzX&#10;AAAACwEAAA8AAAAAAAAAAQAgAAAAIgAAAGRycy9kb3ducmV2LnhtbFBLAQIUABQAAAAIAIdO4kDX&#10;VHVpWgIAALwEAAAOAAAAAAAAAAEAIAAAACYBAABkcnMvZTJvRG9jLnhtbFBLBQYAAAAABgAGAFkB&#10;AADyBQAAAAA=&#10;">
                <v:fill on="t" focussize="0,0"/>
                <v:stroke weight="0.5pt" color="#000000 [3204]" joinstyle="round"/>
                <v:imagedata o:title=""/>
                <o:lock v:ext="edit" aspectratio="f"/>
                <v:textbox>
                  <w:txbxContent>
                    <w:p w14:paraId="1F1C97B0"/>
                  </w:txbxContent>
                </v:textbox>
              </v:shape>
            </w:pict>
          </mc:Fallback>
        </mc:AlternateContent>
      </w:r>
    </w:p>
    <w:p w14:paraId="623AC856">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黑体" w:cs="Times New Roman"/>
          <w:snapToGrid w:val="0"/>
          <w:color w:val="auto"/>
          <w:sz w:val="32"/>
          <w:szCs w:val="32"/>
          <w:highlight w:val="none"/>
          <w:lang w:val="en-US" w:eastAsia="zh-CN"/>
        </w:rPr>
      </w:pPr>
      <w:r>
        <w:rPr>
          <w:rFonts w:ascii="仿宋" w:hAnsi="仿宋" w:eastAsia="仿宋"/>
          <w:color w:val="auto"/>
          <w:sz w:val="28"/>
          <w:szCs w:val="28"/>
          <w:highlight w:val="none"/>
        </w:rPr>
        <w:drawing>
          <wp:anchor distT="0" distB="0" distL="114300" distR="114300" simplePos="0" relativeHeight="251678720" behindDoc="1" locked="0" layoutInCell="1" allowOverlap="1">
            <wp:simplePos x="0" y="0"/>
            <wp:positionH relativeFrom="column">
              <wp:posOffset>-171450</wp:posOffset>
            </wp:positionH>
            <wp:positionV relativeFrom="paragraph">
              <wp:posOffset>161925</wp:posOffset>
            </wp:positionV>
            <wp:extent cx="9070340" cy="4384675"/>
            <wp:effectExtent l="0" t="0" r="16510" b="15875"/>
            <wp:wrapNone/>
            <wp:docPr id="171" name="图片 2" descr="C:\Users\Administrator\Desktop\抚顺市地下水污染防治分区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 descr="C:\Users\Administrator\Desktop\抚顺市地下水污染防治分区图.jpg"/>
                    <pic:cNvPicPr>
                      <a:picLocks noChangeAspect="1"/>
                    </pic:cNvPicPr>
                  </pic:nvPicPr>
                  <pic:blipFill>
                    <a:blip r:embed="rId99"/>
                    <a:stretch>
                      <a:fillRect/>
                    </a:stretch>
                  </pic:blipFill>
                  <pic:spPr>
                    <a:xfrm>
                      <a:off x="0" y="0"/>
                      <a:ext cx="9070340" cy="4384675"/>
                    </a:xfrm>
                    <a:prstGeom prst="rect">
                      <a:avLst/>
                    </a:prstGeom>
                    <a:noFill/>
                    <a:ln>
                      <a:noFill/>
                    </a:ln>
                  </pic:spPr>
                </pic:pic>
              </a:graphicData>
            </a:graphic>
          </wp:anchor>
        </w:drawing>
      </w:r>
      <w:r>
        <w:rPr>
          <w:rFonts w:hint="eastAsia" w:ascii="Times New Roman" w:hAnsi="Times New Roman" w:eastAsia="黑体" w:cs="Times New Roman"/>
          <w:snapToGrid w:val="0"/>
          <w:color w:val="auto"/>
          <w:sz w:val="32"/>
          <w:szCs w:val="32"/>
          <w:highlight w:val="none"/>
          <w:lang w:val="en-US" w:eastAsia="zh-CN"/>
        </w:rPr>
        <w:t>附图6  辽宁省抚顺市地下水污染防治重点区域</w:t>
      </w:r>
    </w:p>
    <w:p w14:paraId="40C88AB7">
      <w:pPr>
        <w:bidi w:val="0"/>
        <w:rPr>
          <w:rFonts w:hint="eastAsia"/>
          <w:color w:val="auto"/>
          <w:highlight w:val="none"/>
          <w:lang w:val="en-US" w:eastAsia="zh-CN"/>
        </w:rPr>
      </w:pPr>
    </w:p>
    <w:p w14:paraId="39421F0A">
      <w:pPr>
        <w:bidi w:val="0"/>
        <w:rPr>
          <w:rFonts w:hint="eastAsia"/>
          <w:color w:val="auto"/>
          <w:highlight w:val="none"/>
          <w:lang w:val="en-US" w:eastAsia="zh-CN"/>
        </w:rPr>
      </w:pPr>
    </w:p>
    <w:p w14:paraId="3EAF51E6">
      <w:pPr>
        <w:bidi w:val="0"/>
        <w:rPr>
          <w:rFonts w:hint="eastAsia"/>
          <w:color w:val="auto"/>
          <w:highlight w:val="none"/>
          <w:lang w:val="en-US" w:eastAsia="zh-CN"/>
        </w:rPr>
      </w:pPr>
    </w:p>
    <w:p w14:paraId="684A389C">
      <w:pPr>
        <w:bidi w:val="0"/>
        <w:rPr>
          <w:rFonts w:hint="eastAsia"/>
          <w:color w:val="auto"/>
          <w:highlight w:val="none"/>
          <w:lang w:val="en-US" w:eastAsia="zh-CN"/>
        </w:rPr>
      </w:pPr>
    </w:p>
    <w:p w14:paraId="53422067">
      <w:pPr>
        <w:bidi w:val="0"/>
        <w:rPr>
          <w:rFonts w:hint="eastAsia"/>
          <w:color w:val="auto"/>
          <w:highlight w:val="none"/>
          <w:lang w:val="en-US" w:eastAsia="zh-CN"/>
        </w:rPr>
      </w:pPr>
    </w:p>
    <w:p w14:paraId="7C6B6DDD">
      <w:pPr>
        <w:bidi w:val="0"/>
        <w:rPr>
          <w:rFonts w:hint="eastAsia"/>
          <w:color w:val="auto"/>
          <w:highlight w:val="none"/>
          <w:lang w:val="en-US" w:eastAsia="zh-CN"/>
        </w:rPr>
      </w:pPr>
    </w:p>
    <w:p w14:paraId="27D75562">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黑体" w:cs="Times New Roman"/>
          <w:snapToGrid w:val="0"/>
          <w:color w:val="auto"/>
          <w:sz w:val="32"/>
          <w:szCs w:val="32"/>
          <w:highlight w:val="none"/>
          <w:lang w:val="en-US"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r>
        <w:rPr>
          <w:color w:val="auto"/>
          <w:sz w:val="28"/>
          <w:highlight w:val="none"/>
        </w:rPr>
        <mc:AlternateContent>
          <mc:Choice Requires="wps">
            <w:drawing>
              <wp:anchor distT="0" distB="0" distL="114300" distR="114300" simplePos="0" relativeHeight="251677696" behindDoc="0" locked="0" layoutInCell="1" allowOverlap="1">
                <wp:simplePos x="0" y="0"/>
                <wp:positionH relativeFrom="column">
                  <wp:posOffset>534035</wp:posOffset>
                </wp:positionH>
                <wp:positionV relativeFrom="paragraph">
                  <wp:posOffset>1917065</wp:posOffset>
                </wp:positionV>
                <wp:extent cx="971550" cy="375285"/>
                <wp:effectExtent l="5080" t="342265" r="13970" b="6350"/>
                <wp:wrapNone/>
                <wp:docPr id="174" name="矩形标注 174"/>
                <wp:cNvGraphicFramePr/>
                <a:graphic xmlns:a="http://schemas.openxmlformats.org/drawingml/2006/main">
                  <a:graphicData uri="http://schemas.microsoft.com/office/word/2010/wordprocessingShape">
                    <wps:wsp>
                      <wps:cNvSpPr/>
                      <wps:spPr>
                        <a:xfrm>
                          <a:off x="0" y="0"/>
                          <a:ext cx="971550" cy="375285"/>
                        </a:xfrm>
                        <a:prstGeom prst="wedgeRectCallout">
                          <a:avLst>
                            <a:gd name="adj1" fmla="val 50500"/>
                            <a:gd name="adj2" fmla="val -139876"/>
                          </a:avLst>
                        </a:prstGeom>
                        <a:solidFill>
                          <a:schemeClr val="bg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27675F4">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2.05pt;margin-top:150.95pt;height:29.55pt;width:76.5pt;z-index:251677696;v-text-anchor:middle;mso-width-relative:page;mso-height-relative:page;" fillcolor="#FFFFFF [3212]" filled="t" stroked="t" coordsize="21600,21600" o:gfxdata="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1wcKA1wAAAAoBAAAPAAAAAAAAAAEAIAAAACIAAABkcnMvZG93bnJldi54bWxQ&#10;SwECFAAUAAAACACHTuJALxIojaMCAABPBQAADgAAAAAAAAABACAAAAAmAQAAZHJzL2Uyb0RvYy54&#10;bWxQSwUGAAAAAAYABgBZAQAAOwYAAAAA&#10;" adj="21708,-19413">
                <v:fill on="t" focussize="0,0"/>
                <v:stroke color="#000000 [3213]" joinstyle="round"/>
                <v:imagedata o:title=""/>
                <o:lock v:ext="edit" aspectratio="f"/>
                <v:textbox>
                  <w:txbxContent>
                    <w:p w14:paraId="427675F4">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项目所在地</w:t>
                      </w:r>
                    </w:p>
                  </w:txbxContent>
                </v:textbox>
              </v:shape>
            </w:pict>
          </mc:Fallback>
        </mc:AlternateContent>
      </w:r>
      <w:r>
        <w:rPr>
          <w:color w:val="auto"/>
          <w:sz w:val="28"/>
          <w:highlight w:val="none"/>
        </w:rPr>
        <mc:AlternateContent>
          <mc:Choice Requires="wps">
            <w:drawing>
              <wp:anchor distT="0" distB="0" distL="114300" distR="114300" simplePos="0" relativeHeight="251676672" behindDoc="0" locked="0" layoutInCell="1" allowOverlap="1">
                <wp:simplePos x="0" y="0"/>
                <wp:positionH relativeFrom="column">
                  <wp:posOffset>1406525</wp:posOffset>
                </wp:positionH>
                <wp:positionV relativeFrom="paragraph">
                  <wp:posOffset>1356995</wp:posOffset>
                </wp:positionV>
                <wp:extent cx="121285" cy="155575"/>
                <wp:effectExtent l="4445" t="4445" r="7620" b="11430"/>
                <wp:wrapNone/>
                <wp:docPr id="173" name="矩形 173"/>
                <wp:cNvGraphicFramePr/>
                <a:graphic xmlns:a="http://schemas.openxmlformats.org/drawingml/2006/main">
                  <a:graphicData uri="http://schemas.microsoft.com/office/word/2010/wordprocessingShape">
                    <wps:wsp>
                      <wps:cNvSpPr/>
                      <wps:spPr>
                        <a:xfrm>
                          <a:off x="0" y="0"/>
                          <a:ext cx="121285" cy="155575"/>
                        </a:xfrm>
                        <a:prstGeom prst="rect">
                          <a:avLst/>
                        </a:prstGeom>
                        <a:solidFill>
                          <a:srgbClr val="FF0000"/>
                        </a:solidFill>
                        <a:ln w="952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0.75pt;margin-top:106.85pt;height:12.25pt;width:9.55pt;z-index:251676672;v-text-anchor:middle;mso-width-relative:page;mso-height-relative:page;" fillcolor="#FF0000" filled="t" stroked="t" coordsize="21600,21600" o:gfxdata="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OV0NtbbAAAACwEAAA8AAAAAAAAAAQAgAAAAIgAAAGRycy9kb3ducmV2LnhtbFBL&#10;AQIUABQAAAAIAIdO4kBdhytBZQIAAN8EAAAOAAAAAAAAAAEAIAAAACoBAABkcnMvZTJvRG9jLnht&#10;bFBLBQYAAAAABgAGAFkBAAABBgAAAAA=&#10;">
                <v:fill on="t" focussize="0,0"/>
                <v:stroke color="#000000 [3213]" joinstyle="round"/>
                <v:imagedata o:title=""/>
                <o:lock v:ext="edit" aspectratio="f"/>
              </v:rect>
            </w:pict>
          </mc:Fallback>
        </mc:AlternateContent>
      </w:r>
    </w:p>
    <w:p w14:paraId="138ED84F">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default" w:ascii="Times New Roman" w:hAnsi="Times New Roman" w:eastAsia="黑体" w:cs="Times New Roman"/>
          <w:snapToGrid w:val="0"/>
          <w:color w:val="auto"/>
          <w:sz w:val="32"/>
          <w:szCs w:val="32"/>
          <w:highlight w:val="none"/>
          <w:lang w:val="en-US" w:eastAsia="zh-CN"/>
        </w:rPr>
      </w:pPr>
      <w:r>
        <w:rPr>
          <w:rFonts w:hint="eastAsia" w:ascii="Times New Roman" w:hAnsi="Times New Roman" w:eastAsia="黑体" w:cs="Times New Roman"/>
          <w:snapToGrid w:val="0"/>
          <w:color w:val="auto"/>
          <w:sz w:val="32"/>
          <w:szCs w:val="32"/>
          <w:highlight w:val="none"/>
          <w:lang w:val="en-US" w:eastAsia="zh-CN"/>
        </w:rPr>
        <w:t>附图7抚顺市环境管控单元图</w:t>
      </w:r>
    </w:p>
    <w:p w14:paraId="64D4B7E9">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黑体" w:cs="Times New Roman"/>
          <w:snapToGrid w:val="0"/>
          <w:color w:val="auto"/>
          <w:sz w:val="32"/>
          <w:szCs w:val="32"/>
          <w:highlight w:val="none"/>
          <w:lang w:val="en-US" w:eastAsia="zh-CN"/>
        </w:rPr>
      </w:pPr>
    </w:p>
    <w:p w14:paraId="0BDF0A9A">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黑体" w:cs="Times New Roman"/>
          <w:snapToGrid w:val="0"/>
          <w:color w:val="auto"/>
          <w:sz w:val="32"/>
          <w:szCs w:val="32"/>
          <w:highlight w:val="none"/>
          <w:lang w:val="en-US"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color w:val="auto"/>
          <w:sz w:val="32"/>
          <w:highlight w:val="none"/>
        </w:rPr>
        <mc:AlternateContent>
          <mc:Choice Requires="wps">
            <w:drawing>
              <wp:anchor distT="0" distB="0" distL="114300" distR="114300" simplePos="0" relativeHeight="251724800" behindDoc="0" locked="0" layoutInCell="1" allowOverlap="1">
                <wp:simplePos x="0" y="0"/>
                <wp:positionH relativeFrom="column">
                  <wp:posOffset>4531995</wp:posOffset>
                </wp:positionH>
                <wp:positionV relativeFrom="paragraph">
                  <wp:posOffset>2837180</wp:posOffset>
                </wp:positionV>
                <wp:extent cx="885190" cy="287655"/>
                <wp:effectExtent l="5080" t="471170" r="5080" b="22225"/>
                <wp:wrapNone/>
                <wp:docPr id="202" name="矩形标注 202"/>
                <wp:cNvGraphicFramePr/>
                <a:graphic xmlns:a="http://schemas.openxmlformats.org/drawingml/2006/main">
                  <a:graphicData uri="http://schemas.microsoft.com/office/word/2010/wordprocessingShape">
                    <wps:wsp>
                      <wps:cNvSpPr/>
                      <wps:spPr>
                        <a:xfrm>
                          <a:off x="3779520" y="5467350"/>
                          <a:ext cx="885190" cy="287655"/>
                        </a:xfrm>
                        <a:prstGeom prst="wedgeRectCallout">
                          <a:avLst>
                            <a:gd name="adj1" fmla="val -17575"/>
                            <a:gd name="adj2" fmla="val -212251"/>
                          </a:avLst>
                        </a:prstGeom>
                        <a:solidFill>
                          <a:schemeClr val="bg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4BB971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56.85pt;margin-top:223.4pt;height:22.65pt;width:69.7pt;z-index:251724800;v-text-anchor:middle;mso-width-relative:page;mso-height-relative:page;" fillcolor="#FFFFFF [3212]" filled="t" stroked="t" coordsize="21600,21600" o:gfxdata="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CLyrYI2wAAAAsBAAAPAAAAAAAAAAEAIAAAACIA&#10;AABkcnMvZG93bnJldi54bWxQSwECFAAUAAAACACHTuJAtbPLprECAABcBQAADgAAAAAAAAABACAA&#10;AAAqAQAAZHJzL2Uyb0RvYy54bWxQSwUGAAAAAAYABgBZAQAATQYAAAAA&#10;" adj="7004,-35046">
                <v:fill on="t" focussize="0,0"/>
                <v:stroke color="#000000 [3213]" joinstyle="round"/>
                <v:imagedata o:title=""/>
                <o:lock v:ext="edit" aspectratio="f"/>
                <v:textbox>
                  <w:txbxContent>
                    <w:p w14:paraId="34BB9713">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项目所在地</w:t>
                      </w:r>
                    </w:p>
                  </w:txbxContent>
                </v:textbox>
              </v:shape>
            </w:pict>
          </mc:Fallback>
        </mc:AlternateContent>
      </w:r>
      <w:r>
        <w:rPr>
          <w:color w:val="auto"/>
          <w:sz w:val="32"/>
          <w:highlight w:val="none"/>
        </w:rPr>
        <mc:AlternateContent>
          <mc:Choice Requires="wps">
            <w:drawing>
              <wp:anchor distT="0" distB="0" distL="114300" distR="114300" simplePos="0" relativeHeight="251723776" behindDoc="0" locked="0" layoutInCell="1" allowOverlap="1">
                <wp:simplePos x="0" y="0"/>
                <wp:positionH relativeFrom="column">
                  <wp:posOffset>4751070</wp:posOffset>
                </wp:positionH>
                <wp:positionV relativeFrom="paragraph">
                  <wp:posOffset>2208530</wp:posOffset>
                </wp:positionV>
                <wp:extent cx="152400" cy="114300"/>
                <wp:effectExtent l="4445" t="4445" r="14605" b="14605"/>
                <wp:wrapNone/>
                <wp:docPr id="201" name="矩形 201"/>
                <wp:cNvGraphicFramePr/>
                <a:graphic xmlns:a="http://schemas.openxmlformats.org/drawingml/2006/main">
                  <a:graphicData uri="http://schemas.microsoft.com/office/word/2010/wordprocessingShape">
                    <wps:wsp>
                      <wps:cNvSpPr/>
                      <wps:spPr>
                        <a:xfrm>
                          <a:off x="5332095" y="5829300"/>
                          <a:ext cx="152400" cy="114300"/>
                        </a:xfrm>
                        <a:prstGeom prst="rect">
                          <a:avLst/>
                        </a:prstGeom>
                        <a:solidFill>
                          <a:schemeClr val="tx1"/>
                        </a:solid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4.1pt;margin-top:173.9pt;height:9pt;width:12pt;z-index:251723776;v-text-anchor:middle;mso-width-relative:page;mso-height-relative:page;" fillcolor="#000000 [3213]" filled="t" stroked="t" coordsize="21600,21600" o:gfxdata="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gDdpHbAAAACwEAAA8AAAAAAAAAAQAgAAAAIgAAAGRycy9kb3ducmV2Lnht&#10;bFBLAQIUABQAAAAIAIdO4kAdErVXaAIAAOsEAAAOAAAAAAAAAAEAIAAAACoBAABkcnMvZTJvRG9j&#10;LnhtbFBLBQYAAAAABgAGAFkBAAAEBgAAAAA=&#10;">
                <v:fill on="t" focussize="0,0"/>
                <v:stroke color="#000000 [3213]" joinstyle="round"/>
                <v:imagedata o:title=""/>
                <o:lock v:ext="edit" aspectratio="f"/>
              </v:rect>
            </w:pict>
          </mc:Fallback>
        </mc:AlternateContent>
      </w:r>
      <w:r>
        <w:rPr>
          <w:rFonts w:hint="eastAsia" w:ascii="Times New Roman" w:hAnsi="Times New Roman" w:eastAsia="黑体" w:cs="Times New Roman"/>
          <w:snapToGrid w:val="0"/>
          <w:color w:val="auto"/>
          <w:sz w:val="32"/>
          <w:szCs w:val="32"/>
          <w:highlight w:val="none"/>
          <w:lang w:val="en-US" w:eastAsia="zh-CN"/>
        </w:rPr>
        <w:drawing>
          <wp:anchor distT="0" distB="0" distL="114300" distR="114300" simplePos="0" relativeHeight="251721728" behindDoc="0" locked="0" layoutInCell="1" allowOverlap="1">
            <wp:simplePos x="0" y="0"/>
            <wp:positionH relativeFrom="column">
              <wp:posOffset>2638425</wp:posOffset>
            </wp:positionH>
            <wp:positionV relativeFrom="paragraph">
              <wp:posOffset>447675</wp:posOffset>
            </wp:positionV>
            <wp:extent cx="3212465" cy="2952750"/>
            <wp:effectExtent l="9525" t="9525" r="16510" b="9525"/>
            <wp:wrapNone/>
            <wp:docPr id="200" name="图片 200" descr="d578bda309bdfa2fefa3df8e2a69e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descr="d578bda309bdfa2fefa3df8e2a69e7f9"/>
                    <pic:cNvPicPr>
                      <a:picLocks noChangeAspect="1"/>
                    </pic:cNvPicPr>
                  </pic:nvPicPr>
                  <pic:blipFill>
                    <a:blip r:embed="rId100"/>
                    <a:stretch>
                      <a:fillRect/>
                    </a:stretch>
                  </pic:blipFill>
                  <pic:spPr>
                    <a:xfrm>
                      <a:off x="0" y="0"/>
                      <a:ext cx="3212465" cy="2952750"/>
                    </a:xfrm>
                    <a:prstGeom prst="rect">
                      <a:avLst/>
                    </a:prstGeom>
                    <a:ln w="9525" cmpd="sng">
                      <a:solidFill>
                        <a:schemeClr val="tx1"/>
                      </a:solidFill>
                      <a:prstDash val="solid"/>
                    </a:ln>
                  </pic:spPr>
                </pic:pic>
              </a:graphicData>
            </a:graphic>
          </wp:anchor>
        </w:drawing>
      </w:r>
      <w:r>
        <w:rPr>
          <w:rFonts w:hint="eastAsia" w:ascii="Times New Roman" w:hAnsi="Times New Roman" w:eastAsia="黑体" w:cs="Times New Roman"/>
          <w:snapToGrid w:val="0"/>
          <w:color w:val="auto"/>
          <w:sz w:val="32"/>
          <w:szCs w:val="32"/>
          <w:highlight w:val="none"/>
          <w:lang w:val="en-US" w:eastAsia="zh-CN"/>
        </w:rPr>
        <w:drawing>
          <wp:anchor distT="0" distB="0" distL="114300" distR="114300" simplePos="0" relativeHeight="251722752" behindDoc="1" locked="0" layoutInCell="1" allowOverlap="1">
            <wp:simplePos x="0" y="0"/>
            <wp:positionH relativeFrom="column">
              <wp:posOffset>0</wp:posOffset>
            </wp:positionH>
            <wp:positionV relativeFrom="paragraph">
              <wp:posOffset>0</wp:posOffset>
            </wp:positionV>
            <wp:extent cx="7424420" cy="5219700"/>
            <wp:effectExtent l="0" t="0" r="5080" b="0"/>
            <wp:wrapNone/>
            <wp:docPr id="199" name="图片 199" descr="管控单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管控单元"/>
                    <pic:cNvPicPr>
                      <a:picLocks noChangeAspect="1"/>
                    </pic:cNvPicPr>
                  </pic:nvPicPr>
                  <pic:blipFill>
                    <a:blip r:embed="rId101"/>
                    <a:stretch>
                      <a:fillRect/>
                    </a:stretch>
                  </pic:blipFill>
                  <pic:spPr>
                    <a:xfrm>
                      <a:off x="0" y="0"/>
                      <a:ext cx="7424420" cy="5219700"/>
                    </a:xfrm>
                    <a:prstGeom prst="rect">
                      <a:avLst/>
                    </a:prstGeom>
                  </pic:spPr>
                </pic:pic>
              </a:graphicData>
            </a:graphic>
          </wp:anchor>
        </w:drawing>
      </w:r>
    </w:p>
    <w:p w14:paraId="0880C663">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黑体" w:cs="Times New Roman"/>
          <w:snapToGrid w:val="0"/>
          <w:color w:val="auto"/>
          <w:sz w:val="32"/>
          <w:szCs w:val="32"/>
          <w:highlight w:val="none"/>
          <w:lang w:val="en-US" w:eastAsia="zh-CN"/>
        </w:rPr>
      </w:pPr>
      <w:r>
        <w:rPr>
          <w:rFonts w:hint="eastAsia" w:ascii="Times New Roman" w:hAnsi="Times New Roman" w:eastAsia="黑体" w:cs="Times New Roman"/>
          <w:snapToGrid w:val="0"/>
          <w:color w:val="auto"/>
          <w:sz w:val="32"/>
          <w:szCs w:val="32"/>
          <w:highlight w:val="none"/>
          <w:lang w:val="en-US" w:eastAsia="zh-CN"/>
        </w:rPr>
        <w:t>附图8 三线一单查询图</w:t>
      </w:r>
    </w:p>
    <w:p w14:paraId="7EC1AFDC">
      <w:pPr>
        <w:bidi w:val="0"/>
        <w:rPr>
          <w:rFonts w:hint="default"/>
          <w:color w:val="auto"/>
          <w:highlight w:val="none"/>
          <w:lang w:val="en-US"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rFonts w:hint="default"/>
          <w:color w:val="auto"/>
          <w:highlight w:val="none"/>
          <w:lang w:val="en-US" w:eastAsia="zh-CN"/>
        </w:rPr>
        <w:drawing>
          <wp:inline distT="0" distB="0" distL="114300" distR="114300">
            <wp:extent cx="8400415" cy="4124960"/>
            <wp:effectExtent l="0" t="0" r="635" b="8890"/>
            <wp:docPr id="187" name="图片 187"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descr="111"/>
                    <pic:cNvPicPr>
                      <a:picLocks noChangeAspect="1"/>
                    </pic:cNvPicPr>
                  </pic:nvPicPr>
                  <pic:blipFill>
                    <a:blip r:embed="rId102"/>
                    <a:stretch>
                      <a:fillRect/>
                    </a:stretch>
                  </pic:blipFill>
                  <pic:spPr>
                    <a:xfrm>
                      <a:off x="0" y="0"/>
                      <a:ext cx="8400415" cy="4124960"/>
                    </a:xfrm>
                    <a:prstGeom prst="rect">
                      <a:avLst/>
                    </a:prstGeom>
                  </pic:spPr>
                </pic:pic>
              </a:graphicData>
            </a:graphic>
          </wp:inline>
        </w:drawing>
      </w:r>
    </w:p>
    <w:p w14:paraId="4ACE806E">
      <w:pPr>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8392160" cy="4528185"/>
            <wp:effectExtent l="0" t="0" r="8890" b="5715"/>
            <wp:docPr id="203" name="图片 203" descr="e10013b009eb3844713e1bd9203e97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e10013b009eb3844713e1bd9203e972a"/>
                    <pic:cNvPicPr>
                      <a:picLocks noChangeAspect="1"/>
                    </pic:cNvPicPr>
                  </pic:nvPicPr>
                  <pic:blipFill>
                    <a:blip r:embed="rId103"/>
                    <a:stretch>
                      <a:fillRect/>
                    </a:stretch>
                  </pic:blipFill>
                  <pic:spPr>
                    <a:xfrm>
                      <a:off x="0" y="0"/>
                      <a:ext cx="8392160" cy="4528185"/>
                    </a:xfrm>
                    <a:prstGeom prst="rect">
                      <a:avLst/>
                    </a:prstGeom>
                  </pic:spPr>
                </pic:pic>
              </a:graphicData>
            </a:graphic>
          </wp:inline>
        </w:drawing>
      </w:r>
    </w:p>
    <w:p w14:paraId="54EA1C03">
      <w:pPr>
        <w:pStyle w:val="54"/>
        <w:ind w:left="0" w:leftChars="0" w:firstLine="0" w:firstLineChars="0"/>
        <w:rPr>
          <w:color w:val="auto"/>
          <w:highlight w:val="none"/>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260E4322">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黑体" w:cs="Times New Roman"/>
          <w:snapToGrid w:val="0"/>
          <w:color w:val="auto"/>
          <w:sz w:val="32"/>
          <w:szCs w:val="32"/>
          <w:highlight w:val="none"/>
          <w:lang w:val="en-US" w:eastAsia="zh-CN"/>
        </w:rPr>
      </w:pPr>
      <w:r>
        <w:rPr>
          <w:rFonts w:hint="eastAsia" w:ascii="Times New Roman" w:hAnsi="Times New Roman" w:eastAsia="黑体" w:cs="Times New Roman"/>
          <w:snapToGrid w:val="0"/>
          <w:color w:val="auto"/>
          <w:sz w:val="32"/>
          <w:szCs w:val="32"/>
          <w:highlight w:val="none"/>
          <w:lang w:val="en-US" w:eastAsia="zh-CN"/>
        </w:rPr>
        <w:t>附图9 本项目与抚顺高新技术产业开发区位置关系图</w:t>
      </w:r>
    </w:p>
    <w:p w14:paraId="0CA83A92">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黑体" w:cs="Times New Roman"/>
          <w:snapToGrid w:val="0"/>
          <w:color w:val="auto"/>
          <w:sz w:val="32"/>
          <w:szCs w:val="32"/>
          <w:highlight w:val="none"/>
          <w:lang w:val="en-US" w:eastAsia="zh-CN"/>
        </w:rPr>
        <w:sectPr>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r>
        <w:rPr>
          <w:color w:val="auto"/>
          <w:highlight w:val="none"/>
        </w:rPr>
        <mc:AlternateContent>
          <mc:Choice Requires="wps">
            <w:drawing>
              <wp:anchor distT="0" distB="0" distL="114300" distR="114300" simplePos="0" relativeHeight="251740160" behindDoc="0" locked="0" layoutInCell="1" allowOverlap="1">
                <wp:simplePos x="0" y="0"/>
                <wp:positionH relativeFrom="column">
                  <wp:posOffset>3962400</wp:posOffset>
                </wp:positionH>
                <wp:positionV relativeFrom="paragraph">
                  <wp:posOffset>3270250</wp:posOffset>
                </wp:positionV>
                <wp:extent cx="914400" cy="307340"/>
                <wp:effectExtent l="4445" t="582295" r="14605" b="5715"/>
                <wp:wrapNone/>
                <wp:docPr id="239" name="矩形标注 239"/>
                <wp:cNvGraphicFramePr/>
                <a:graphic xmlns:a="http://schemas.openxmlformats.org/drawingml/2006/main">
                  <a:graphicData uri="http://schemas.microsoft.com/office/word/2010/wordprocessingShape">
                    <wps:wsp>
                      <wps:cNvSpPr/>
                      <wps:spPr>
                        <a:xfrm>
                          <a:off x="0" y="0"/>
                          <a:ext cx="914400" cy="307340"/>
                        </a:xfrm>
                        <a:prstGeom prst="wedgeRectCallout">
                          <a:avLst>
                            <a:gd name="adj1" fmla="val -32291"/>
                            <a:gd name="adj2" fmla="val -238016"/>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C13B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12pt;margin-top:257.5pt;height:24.2pt;width:72pt;z-index:251740160;v-text-anchor:middle;mso-width-relative:page;mso-height-relative:page;" fillcolor="#FFFFFF [3212]" filled="t" stroked="t" coordsize="21600,21600" o:gfxdata="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FzN6StgAAAALAQAADwAAAAAAAAABACAAAAAiAAAAZHJzL2Rvd25yZXYueG1s&#10;UEsBAhQAFAAAAAgAh07iQFwNNcKjAgAAUAUAAA4AAAAAAAAAAQAgAAAAJwEAAGRycy9lMm9Eb2Mu&#10;eG1sUEsFBgAAAAAGAAYAWQEAADwGAAAAAA==&#10;" adj="3825,-40611">
                <v:fill on="t" focussize="0,0"/>
                <v:stroke color="#000000 [3213]" joinstyle="round"/>
                <v:imagedata o:title=""/>
                <o:lock v:ext="edit" aspectratio="f"/>
                <v:textbox>
                  <w:txbxContent>
                    <w:p w14:paraId="1B0C13B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项目所在地</w:t>
                      </w:r>
                    </w:p>
                  </w:txbxContent>
                </v:textbox>
              </v:shape>
            </w:pict>
          </mc:Fallback>
        </mc:AlternateContent>
      </w:r>
      <w:r>
        <w:rPr>
          <w:color w:val="auto"/>
          <w:highlight w:val="none"/>
        </w:rPr>
        <mc:AlternateContent>
          <mc:Choice Requires="wps">
            <w:drawing>
              <wp:anchor distT="0" distB="0" distL="114300" distR="114300" simplePos="0" relativeHeight="251739136" behindDoc="0" locked="0" layoutInCell="1" allowOverlap="1">
                <wp:simplePos x="0" y="0"/>
                <wp:positionH relativeFrom="column">
                  <wp:posOffset>4038600</wp:posOffset>
                </wp:positionH>
                <wp:positionV relativeFrom="paragraph">
                  <wp:posOffset>2613025</wp:posOffset>
                </wp:positionV>
                <wp:extent cx="114300" cy="104775"/>
                <wp:effectExtent l="4445" t="4445" r="14605" b="5080"/>
                <wp:wrapNone/>
                <wp:docPr id="246" name="矩形 246"/>
                <wp:cNvGraphicFramePr/>
                <a:graphic xmlns:a="http://schemas.openxmlformats.org/drawingml/2006/main">
                  <a:graphicData uri="http://schemas.microsoft.com/office/word/2010/wordprocessingShape">
                    <wps:wsp>
                      <wps:cNvSpPr/>
                      <wps:spPr>
                        <a:xfrm>
                          <a:off x="0" y="0"/>
                          <a:ext cx="114300" cy="104775"/>
                        </a:xfrm>
                        <a:prstGeom prst="rect">
                          <a:avLst/>
                        </a:prstGeom>
                        <a:solidFill>
                          <a:srgbClr val="FF0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8pt;margin-top:205.75pt;height:8.25pt;width:9pt;z-index:251739136;v-text-anchor:middle;mso-width-relative:page;mso-height-relative:page;" fillcolor="#FF0000" filled="t" stroked="t" coordsize="21600,21600" o:gfxdata="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SszqbbAAAACwEAAA8AAAAAAAAAAQAgAAAAIgAAAGRycy9kb3ducmV2LnhtbFBL&#10;AQIUABQAAAAIAIdO4kAbClJjZQIAAN8EAAAOAAAAAAAAAAEAIAAAACoBAABkcnMvZTJvRG9jLnht&#10;bFBLBQYAAAAABgAGAFkBAAABBgAAAAA=&#10;">
                <v:fill on="t" focussize="0,0"/>
                <v:stroke color="#000000 [3213]" joinstyle="round"/>
                <v:imagedata o:title=""/>
                <o:lock v:ext="edit" aspectratio="f"/>
              </v:rect>
            </w:pict>
          </mc:Fallback>
        </mc:AlternateContent>
      </w: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7705725" cy="5133975"/>
            <wp:effectExtent l="0" t="0" r="9525" b="9525"/>
            <wp:docPr id="238" name="图片 238"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descr="111"/>
                    <pic:cNvPicPr>
                      <a:picLocks noChangeAspect="1"/>
                    </pic:cNvPicPr>
                  </pic:nvPicPr>
                  <pic:blipFill>
                    <a:blip r:embed="rId104"/>
                    <a:stretch>
                      <a:fillRect/>
                    </a:stretch>
                  </pic:blipFill>
                  <pic:spPr>
                    <a:xfrm>
                      <a:off x="0" y="0"/>
                      <a:ext cx="7705725" cy="5133975"/>
                    </a:xfrm>
                    <a:prstGeom prst="rect">
                      <a:avLst/>
                    </a:prstGeom>
                  </pic:spPr>
                </pic:pic>
              </a:graphicData>
            </a:graphic>
          </wp:inline>
        </w:drawing>
      </w:r>
    </w:p>
    <w:p w14:paraId="083EE083">
      <w:pPr>
        <w:pStyle w:val="25"/>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Times New Roman" w:hAnsi="Times New Roman" w:eastAsia="黑体" w:cs="Times New Roman"/>
          <w:snapToGrid w:val="0"/>
          <w:color w:val="auto"/>
          <w:sz w:val="32"/>
          <w:szCs w:val="32"/>
          <w:highlight w:val="none"/>
          <w:lang w:val="en-US" w:eastAsia="zh-CN"/>
        </w:rPr>
      </w:pP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5272405" cy="7473315"/>
            <wp:effectExtent l="0" t="0" r="4445" b="13335"/>
            <wp:docPr id="288" name="图片 288" descr="合同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descr="合同_01"/>
                    <pic:cNvPicPr>
                      <a:picLocks noChangeAspect="1"/>
                    </pic:cNvPicPr>
                  </pic:nvPicPr>
                  <pic:blipFill>
                    <a:blip r:embed="rId105"/>
                    <a:stretch>
                      <a:fillRect/>
                    </a:stretch>
                  </pic:blipFill>
                  <pic:spPr>
                    <a:xfrm>
                      <a:off x="0" y="0"/>
                      <a:ext cx="5272405" cy="7473315"/>
                    </a:xfrm>
                    <a:prstGeom prst="rect">
                      <a:avLst/>
                    </a:prstGeom>
                  </pic:spPr>
                </pic:pic>
              </a:graphicData>
            </a:graphic>
          </wp:inline>
        </w:drawing>
      </w: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5272405" cy="7473315"/>
            <wp:effectExtent l="0" t="0" r="4445" b="13335"/>
            <wp:docPr id="275" name="图片 275" descr="合同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descr="合同_02"/>
                    <pic:cNvPicPr>
                      <a:picLocks noChangeAspect="1"/>
                    </pic:cNvPicPr>
                  </pic:nvPicPr>
                  <pic:blipFill>
                    <a:blip r:embed="rId106"/>
                    <a:stretch>
                      <a:fillRect/>
                    </a:stretch>
                  </pic:blipFill>
                  <pic:spPr>
                    <a:xfrm>
                      <a:off x="0" y="0"/>
                      <a:ext cx="5272405" cy="7473315"/>
                    </a:xfrm>
                    <a:prstGeom prst="rect">
                      <a:avLst/>
                    </a:prstGeom>
                  </pic:spPr>
                </pic:pic>
              </a:graphicData>
            </a:graphic>
          </wp:inline>
        </w:drawing>
      </w: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5272405" cy="7473315"/>
            <wp:effectExtent l="0" t="0" r="4445" b="13335"/>
            <wp:docPr id="274" name="图片 274" descr="合同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descr="合同_03"/>
                    <pic:cNvPicPr>
                      <a:picLocks noChangeAspect="1"/>
                    </pic:cNvPicPr>
                  </pic:nvPicPr>
                  <pic:blipFill>
                    <a:blip r:embed="rId107"/>
                    <a:stretch>
                      <a:fillRect/>
                    </a:stretch>
                  </pic:blipFill>
                  <pic:spPr>
                    <a:xfrm>
                      <a:off x="0" y="0"/>
                      <a:ext cx="5272405" cy="7473315"/>
                    </a:xfrm>
                    <a:prstGeom prst="rect">
                      <a:avLst/>
                    </a:prstGeom>
                  </pic:spPr>
                </pic:pic>
              </a:graphicData>
            </a:graphic>
          </wp:inline>
        </w:drawing>
      </w: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5272405" cy="7473315"/>
            <wp:effectExtent l="0" t="0" r="4445" b="13335"/>
            <wp:docPr id="273" name="图片 273" descr="合同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descr="合同_04"/>
                    <pic:cNvPicPr>
                      <a:picLocks noChangeAspect="1"/>
                    </pic:cNvPicPr>
                  </pic:nvPicPr>
                  <pic:blipFill>
                    <a:blip r:embed="rId108"/>
                    <a:stretch>
                      <a:fillRect/>
                    </a:stretch>
                  </pic:blipFill>
                  <pic:spPr>
                    <a:xfrm>
                      <a:off x="0" y="0"/>
                      <a:ext cx="5272405" cy="7473315"/>
                    </a:xfrm>
                    <a:prstGeom prst="rect">
                      <a:avLst/>
                    </a:prstGeom>
                  </pic:spPr>
                </pic:pic>
              </a:graphicData>
            </a:graphic>
          </wp:inline>
        </w:drawing>
      </w: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5272405" cy="7473315"/>
            <wp:effectExtent l="0" t="0" r="4445" b="13335"/>
            <wp:docPr id="271" name="图片 271" descr="合同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descr="合同_05"/>
                    <pic:cNvPicPr>
                      <a:picLocks noChangeAspect="1"/>
                    </pic:cNvPicPr>
                  </pic:nvPicPr>
                  <pic:blipFill>
                    <a:blip r:embed="rId109"/>
                    <a:stretch>
                      <a:fillRect/>
                    </a:stretch>
                  </pic:blipFill>
                  <pic:spPr>
                    <a:xfrm>
                      <a:off x="0" y="0"/>
                      <a:ext cx="5272405" cy="7473315"/>
                    </a:xfrm>
                    <a:prstGeom prst="rect">
                      <a:avLst/>
                    </a:prstGeom>
                  </pic:spPr>
                </pic:pic>
              </a:graphicData>
            </a:graphic>
          </wp:inline>
        </w:drawing>
      </w: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5272405" cy="7473315"/>
            <wp:effectExtent l="0" t="0" r="4445" b="13335"/>
            <wp:docPr id="270" name="图片 270" descr="合同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descr="合同_06"/>
                    <pic:cNvPicPr>
                      <a:picLocks noChangeAspect="1"/>
                    </pic:cNvPicPr>
                  </pic:nvPicPr>
                  <pic:blipFill>
                    <a:blip r:embed="rId110"/>
                    <a:stretch>
                      <a:fillRect/>
                    </a:stretch>
                  </pic:blipFill>
                  <pic:spPr>
                    <a:xfrm>
                      <a:off x="0" y="0"/>
                      <a:ext cx="5272405" cy="7473315"/>
                    </a:xfrm>
                    <a:prstGeom prst="rect">
                      <a:avLst/>
                    </a:prstGeom>
                  </pic:spPr>
                </pic:pic>
              </a:graphicData>
            </a:graphic>
          </wp:inline>
        </w:drawing>
      </w: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5272405" cy="7473315"/>
            <wp:effectExtent l="0" t="0" r="4445" b="13335"/>
            <wp:docPr id="268" name="图片 268" descr="合同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descr="合同_07"/>
                    <pic:cNvPicPr>
                      <a:picLocks noChangeAspect="1"/>
                    </pic:cNvPicPr>
                  </pic:nvPicPr>
                  <pic:blipFill>
                    <a:blip r:embed="rId111"/>
                    <a:stretch>
                      <a:fillRect/>
                    </a:stretch>
                  </pic:blipFill>
                  <pic:spPr>
                    <a:xfrm>
                      <a:off x="0" y="0"/>
                      <a:ext cx="5272405" cy="7473315"/>
                    </a:xfrm>
                    <a:prstGeom prst="rect">
                      <a:avLst/>
                    </a:prstGeom>
                  </pic:spPr>
                </pic:pic>
              </a:graphicData>
            </a:graphic>
          </wp:inline>
        </w:drawing>
      </w:r>
      <w:r>
        <w:rPr>
          <w:rFonts w:hint="eastAsia" w:ascii="Times New Roman" w:hAnsi="Times New Roman" w:eastAsia="黑体" w:cs="Times New Roman"/>
          <w:snapToGrid w:val="0"/>
          <w:color w:val="auto"/>
          <w:sz w:val="32"/>
          <w:szCs w:val="32"/>
          <w:highlight w:val="none"/>
          <w:lang w:val="en-US" w:eastAsia="zh-CN"/>
        </w:rPr>
        <w:drawing>
          <wp:inline distT="0" distB="0" distL="114300" distR="114300">
            <wp:extent cx="5272405" cy="7473315"/>
            <wp:effectExtent l="0" t="0" r="4445" b="13335"/>
            <wp:docPr id="267" name="图片 267" descr="合同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descr="合同_08"/>
                    <pic:cNvPicPr>
                      <a:picLocks noChangeAspect="1"/>
                    </pic:cNvPicPr>
                  </pic:nvPicPr>
                  <pic:blipFill>
                    <a:blip r:embed="rId112"/>
                    <a:stretch>
                      <a:fillRect/>
                    </a:stretch>
                  </pic:blipFill>
                  <pic:spPr>
                    <a:xfrm>
                      <a:off x="0" y="0"/>
                      <a:ext cx="5272405" cy="7473315"/>
                    </a:xfrm>
                    <a:prstGeom prst="rect">
                      <a:avLst/>
                    </a:prstGeom>
                  </pic:spPr>
                </pic:pic>
              </a:graphicData>
            </a:graphic>
          </wp:inline>
        </w:drawing>
      </w:r>
    </w:p>
    <w:p w14:paraId="03B38079">
      <w:pPr>
        <w:pStyle w:val="54"/>
        <w:ind w:left="0" w:leftChars="0" w:firstLine="0" w:firstLineChars="0"/>
        <w:rPr>
          <w:color w:val="auto"/>
          <w:highlight w:val="none"/>
        </w:rPr>
      </w:pPr>
    </w:p>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钢结构雨棚2845.8平方米、1368.78平方米装载站平台雨">
    <w:altName w:val="宋体"/>
    <w:panose1 w:val="00000000000000000000"/>
    <w:charset w:val="86"/>
    <w:family w:val="roman"/>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4480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6E6DE">
    <w:pPr>
      <w:pStyle w:val="2"/>
      <w:framePr w:wrap="around" w:vAnchor="text" w:hAnchor="margin" w:xAlign="center" w:y="1"/>
      <w:rPr>
        <w:rStyle w:val="30"/>
      </w:rPr>
    </w:pPr>
    <w:r>
      <w:fldChar w:fldCharType="begin"/>
    </w:r>
    <w:r>
      <w:rPr>
        <w:rStyle w:val="30"/>
      </w:rPr>
      <w:instrText xml:space="preserve">PAGE  </w:instrText>
    </w:r>
    <w:r>
      <w:fldChar w:fldCharType="end"/>
    </w:r>
  </w:p>
  <w:p w14:paraId="5CE144A0">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A6186">
    <w:pPr>
      <w:pStyle w:val="2"/>
      <w:framePr w:wrap="around" w:vAnchor="text" w:hAnchor="margin" w:xAlign="outside" w:y="1"/>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Style w:val="30"/>
        <w:sz w:val="20"/>
      </w:rPr>
      <w:t xml:space="preserve"> </w:t>
    </w:r>
    <w:r>
      <w:rPr>
        <w:sz w:val="26"/>
        <w:szCs w:val="26"/>
      </w:rPr>
      <w:fldChar w:fldCharType="begin"/>
    </w:r>
    <w:r>
      <w:rPr>
        <w:rStyle w:val="30"/>
        <w:sz w:val="26"/>
        <w:szCs w:val="26"/>
      </w:rPr>
      <w:instrText xml:space="preserve">PAGE  </w:instrText>
    </w:r>
    <w:r>
      <w:rPr>
        <w:sz w:val="26"/>
        <w:szCs w:val="26"/>
      </w:rPr>
      <w:fldChar w:fldCharType="separate"/>
    </w:r>
    <w:r>
      <w:rPr>
        <w:rStyle w:val="30"/>
        <w:sz w:val="26"/>
        <w:szCs w:val="26"/>
      </w:rPr>
      <w:t>120</w:t>
    </w:r>
    <w:r>
      <w:rPr>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p w14:paraId="2165BF5E">
    <w:pPr>
      <w:pStyle w:val="2"/>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C1650">
    <w:pPr>
      <w:pStyle w:val="2"/>
      <w:framePr w:wrap="around" w:vAnchor="text" w:hAnchor="margin" w:xAlign="center" w:y="1"/>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26"/>
        <w:szCs w:val="26"/>
      </w:rPr>
      <w:fldChar w:fldCharType="begin"/>
    </w:r>
    <w:r>
      <w:rPr>
        <w:rStyle w:val="30"/>
        <w:rFonts w:ascii="宋体" w:hAnsi="宋体"/>
        <w:sz w:val="26"/>
        <w:szCs w:val="26"/>
      </w:rPr>
      <w:instrText xml:space="preserve">PAGE  </w:instrText>
    </w:r>
    <w:r>
      <w:rPr>
        <w:rFonts w:ascii="宋体" w:hAnsi="宋体"/>
        <w:sz w:val="26"/>
        <w:szCs w:val="26"/>
      </w:rPr>
      <w:fldChar w:fldCharType="separate"/>
    </w:r>
    <w:r>
      <w:rPr>
        <w:rStyle w:val="30"/>
        <w:rFonts w:ascii="宋体" w:hAnsi="宋体"/>
        <w:sz w:val="26"/>
        <w:szCs w:val="26"/>
      </w:rPr>
      <w:t>122</w:t>
    </w:r>
    <w:r>
      <w:rPr>
        <w:rFonts w:ascii="宋体" w:hAnsi="宋体"/>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p w14:paraId="329A5413">
    <w:pPr>
      <w:pStyle w:val="2"/>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358A1">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E30C3">
    <w:pPr>
      <w:pStyle w:val="2"/>
      <w:framePr w:wrap="around" w:vAnchor="text" w:hAnchor="margin" w:xAlign="outside" w:y="1"/>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rPr>
      <w:t xml:space="preserve">  </w:t>
    </w:r>
    <w:r>
      <w:rPr>
        <w:rFonts w:ascii="宋体" w:hAnsi="宋体"/>
        <w:sz w:val="26"/>
        <w:szCs w:val="26"/>
      </w:rPr>
      <w:fldChar w:fldCharType="begin"/>
    </w:r>
    <w:r>
      <w:rPr>
        <w:rStyle w:val="30"/>
        <w:rFonts w:ascii="宋体" w:hAnsi="宋体"/>
        <w:sz w:val="26"/>
        <w:szCs w:val="26"/>
      </w:rPr>
      <w:instrText xml:space="preserve">PAGE  </w:instrText>
    </w:r>
    <w:r>
      <w:rPr>
        <w:rFonts w:ascii="宋体" w:hAnsi="宋体"/>
        <w:sz w:val="26"/>
        <w:szCs w:val="26"/>
      </w:rPr>
      <w:fldChar w:fldCharType="separate"/>
    </w:r>
    <w:r>
      <w:rPr>
        <w:rStyle w:val="30"/>
        <w:rFonts w:ascii="宋体" w:hAnsi="宋体"/>
        <w:sz w:val="26"/>
        <w:szCs w:val="26"/>
      </w:rPr>
      <w:t>226</w:t>
    </w:r>
    <w:r>
      <w:rPr>
        <w:rFonts w:ascii="宋体" w:hAnsi="宋体"/>
        <w:sz w:val="26"/>
        <w:szCs w:val="26"/>
      </w:rPr>
      <w:fldChar w:fldCharType="end"/>
    </w:r>
    <w:r>
      <w:rPr>
        <w:rStyle w:val="30"/>
        <w:rFonts w:hint="eastAsia" w:ascii="宋体" w:hAnsi="宋体"/>
        <w:sz w:val="20"/>
      </w:rPr>
      <w:t xml:space="preserve">  </w:t>
    </w:r>
    <w:r>
      <w:rPr>
        <w:rStyle w:val="30"/>
        <w:rFonts w:hint="eastAsia" w:ascii="宋体" w:hAnsi="宋体"/>
        <w:sz w:val="28"/>
        <w:szCs w:val="28"/>
      </w:rPr>
      <w:t>—</w:t>
    </w:r>
  </w:p>
  <w:p w14:paraId="2FB382CC">
    <w:pPr>
      <w:pStyle w:val="2"/>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44D4BE"/>
    <w:multiLevelType w:val="multilevel"/>
    <w:tmpl w:val="5744D4BE"/>
    <w:lvl w:ilvl="0" w:tentative="0">
      <w:start w:val="1"/>
      <w:numFmt w:val="decimal"/>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6B"/>
    <w:rsid w:val="000001D5"/>
    <w:rsid w:val="000060B3"/>
    <w:rsid w:val="000112C5"/>
    <w:rsid w:val="0001425B"/>
    <w:rsid w:val="00016BED"/>
    <w:rsid w:val="000172A9"/>
    <w:rsid w:val="00021D05"/>
    <w:rsid w:val="00024164"/>
    <w:rsid w:val="00024470"/>
    <w:rsid w:val="000244FB"/>
    <w:rsid w:val="00024746"/>
    <w:rsid w:val="00025995"/>
    <w:rsid w:val="00025AFC"/>
    <w:rsid w:val="0002629D"/>
    <w:rsid w:val="00026B55"/>
    <w:rsid w:val="00035856"/>
    <w:rsid w:val="00036E0C"/>
    <w:rsid w:val="000376E9"/>
    <w:rsid w:val="000408F8"/>
    <w:rsid w:val="00040E2A"/>
    <w:rsid w:val="000410F4"/>
    <w:rsid w:val="00041EED"/>
    <w:rsid w:val="000428B3"/>
    <w:rsid w:val="00042E39"/>
    <w:rsid w:val="0004364B"/>
    <w:rsid w:val="0005002E"/>
    <w:rsid w:val="000511D5"/>
    <w:rsid w:val="00052A76"/>
    <w:rsid w:val="00053D6E"/>
    <w:rsid w:val="00053D89"/>
    <w:rsid w:val="00053E8B"/>
    <w:rsid w:val="00054FB0"/>
    <w:rsid w:val="00055038"/>
    <w:rsid w:val="00057382"/>
    <w:rsid w:val="00061B1F"/>
    <w:rsid w:val="00061FA3"/>
    <w:rsid w:val="00063D93"/>
    <w:rsid w:val="00065D42"/>
    <w:rsid w:val="00066631"/>
    <w:rsid w:val="00066635"/>
    <w:rsid w:val="000676F8"/>
    <w:rsid w:val="0007240D"/>
    <w:rsid w:val="000733C4"/>
    <w:rsid w:val="00073D9C"/>
    <w:rsid w:val="00073FBA"/>
    <w:rsid w:val="00074016"/>
    <w:rsid w:val="00074783"/>
    <w:rsid w:val="00076D1A"/>
    <w:rsid w:val="00077265"/>
    <w:rsid w:val="00077490"/>
    <w:rsid w:val="000800B4"/>
    <w:rsid w:val="0008070B"/>
    <w:rsid w:val="0008079C"/>
    <w:rsid w:val="00080933"/>
    <w:rsid w:val="000810AC"/>
    <w:rsid w:val="00081A02"/>
    <w:rsid w:val="00082231"/>
    <w:rsid w:val="0008392B"/>
    <w:rsid w:val="00084714"/>
    <w:rsid w:val="00085552"/>
    <w:rsid w:val="00085858"/>
    <w:rsid w:val="00086F08"/>
    <w:rsid w:val="000874D5"/>
    <w:rsid w:val="00087555"/>
    <w:rsid w:val="00090E56"/>
    <w:rsid w:val="00091A96"/>
    <w:rsid w:val="00092D38"/>
    <w:rsid w:val="0009377B"/>
    <w:rsid w:val="00094376"/>
    <w:rsid w:val="00095B90"/>
    <w:rsid w:val="00096D68"/>
    <w:rsid w:val="000A02AB"/>
    <w:rsid w:val="000A0EF5"/>
    <w:rsid w:val="000A12A6"/>
    <w:rsid w:val="000A20C9"/>
    <w:rsid w:val="000A3BE3"/>
    <w:rsid w:val="000A5A79"/>
    <w:rsid w:val="000A6720"/>
    <w:rsid w:val="000A69A3"/>
    <w:rsid w:val="000B00D1"/>
    <w:rsid w:val="000B058F"/>
    <w:rsid w:val="000B39C7"/>
    <w:rsid w:val="000B3F9A"/>
    <w:rsid w:val="000B4467"/>
    <w:rsid w:val="000B4A82"/>
    <w:rsid w:val="000B4DB9"/>
    <w:rsid w:val="000B6281"/>
    <w:rsid w:val="000B7B78"/>
    <w:rsid w:val="000B7CC2"/>
    <w:rsid w:val="000B7E3F"/>
    <w:rsid w:val="000C0798"/>
    <w:rsid w:val="000C09AC"/>
    <w:rsid w:val="000C0F24"/>
    <w:rsid w:val="000C2F13"/>
    <w:rsid w:val="000C3BC7"/>
    <w:rsid w:val="000C3CB3"/>
    <w:rsid w:val="000C3CC0"/>
    <w:rsid w:val="000C6387"/>
    <w:rsid w:val="000C767F"/>
    <w:rsid w:val="000D2424"/>
    <w:rsid w:val="000D43D0"/>
    <w:rsid w:val="000D506E"/>
    <w:rsid w:val="000D5A44"/>
    <w:rsid w:val="000D6841"/>
    <w:rsid w:val="000D7823"/>
    <w:rsid w:val="000E02D5"/>
    <w:rsid w:val="000E12FA"/>
    <w:rsid w:val="000E19F5"/>
    <w:rsid w:val="000E3ED2"/>
    <w:rsid w:val="000E48E7"/>
    <w:rsid w:val="000E7067"/>
    <w:rsid w:val="000E752C"/>
    <w:rsid w:val="000F3274"/>
    <w:rsid w:val="000F3C64"/>
    <w:rsid w:val="000F3F98"/>
    <w:rsid w:val="000F489C"/>
    <w:rsid w:val="000F5114"/>
    <w:rsid w:val="000F6AEC"/>
    <w:rsid w:val="000F6F6D"/>
    <w:rsid w:val="000F71C0"/>
    <w:rsid w:val="00100095"/>
    <w:rsid w:val="0010084E"/>
    <w:rsid w:val="00101B92"/>
    <w:rsid w:val="00101E30"/>
    <w:rsid w:val="00102371"/>
    <w:rsid w:val="00102B40"/>
    <w:rsid w:val="0010362A"/>
    <w:rsid w:val="0010618A"/>
    <w:rsid w:val="001072A7"/>
    <w:rsid w:val="00110B88"/>
    <w:rsid w:val="0011290A"/>
    <w:rsid w:val="00113460"/>
    <w:rsid w:val="00114BC7"/>
    <w:rsid w:val="00116232"/>
    <w:rsid w:val="00116F38"/>
    <w:rsid w:val="001176B7"/>
    <w:rsid w:val="0011786C"/>
    <w:rsid w:val="00120908"/>
    <w:rsid w:val="00123140"/>
    <w:rsid w:val="00123569"/>
    <w:rsid w:val="00124134"/>
    <w:rsid w:val="0012478B"/>
    <w:rsid w:val="001266FE"/>
    <w:rsid w:val="00131F42"/>
    <w:rsid w:val="00134E21"/>
    <w:rsid w:val="001357F1"/>
    <w:rsid w:val="00136550"/>
    <w:rsid w:val="00140D5E"/>
    <w:rsid w:val="00140FA8"/>
    <w:rsid w:val="00142FEB"/>
    <w:rsid w:val="00143A2D"/>
    <w:rsid w:val="00143F5A"/>
    <w:rsid w:val="001448D4"/>
    <w:rsid w:val="00144F4B"/>
    <w:rsid w:val="00145A41"/>
    <w:rsid w:val="001460F0"/>
    <w:rsid w:val="001466CB"/>
    <w:rsid w:val="00150B22"/>
    <w:rsid w:val="00151675"/>
    <w:rsid w:val="001533E2"/>
    <w:rsid w:val="001537FE"/>
    <w:rsid w:val="00156D57"/>
    <w:rsid w:val="00157435"/>
    <w:rsid w:val="00157B4F"/>
    <w:rsid w:val="00160EB1"/>
    <w:rsid w:val="001635B1"/>
    <w:rsid w:val="001641A6"/>
    <w:rsid w:val="00164291"/>
    <w:rsid w:val="00165D07"/>
    <w:rsid w:val="001709FD"/>
    <w:rsid w:val="00172A27"/>
    <w:rsid w:val="00174244"/>
    <w:rsid w:val="001745DE"/>
    <w:rsid w:val="0017504D"/>
    <w:rsid w:val="00175A67"/>
    <w:rsid w:val="0017671A"/>
    <w:rsid w:val="00177422"/>
    <w:rsid w:val="0018127D"/>
    <w:rsid w:val="00181F30"/>
    <w:rsid w:val="0018201B"/>
    <w:rsid w:val="00183E6E"/>
    <w:rsid w:val="00184590"/>
    <w:rsid w:val="00186885"/>
    <w:rsid w:val="001870D1"/>
    <w:rsid w:val="0018781E"/>
    <w:rsid w:val="00187E34"/>
    <w:rsid w:val="00190D24"/>
    <w:rsid w:val="001918EA"/>
    <w:rsid w:val="0019262D"/>
    <w:rsid w:val="00192EC4"/>
    <w:rsid w:val="00193147"/>
    <w:rsid w:val="00196AD4"/>
    <w:rsid w:val="0019768E"/>
    <w:rsid w:val="001A1278"/>
    <w:rsid w:val="001A1B35"/>
    <w:rsid w:val="001A447E"/>
    <w:rsid w:val="001A48A2"/>
    <w:rsid w:val="001A5AF2"/>
    <w:rsid w:val="001A61B6"/>
    <w:rsid w:val="001A6F61"/>
    <w:rsid w:val="001A7A47"/>
    <w:rsid w:val="001B1EAA"/>
    <w:rsid w:val="001B3B6E"/>
    <w:rsid w:val="001B4242"/>
    <w:rsid w:val="001B4C48"/>
    <w:rsid w:val="001B68EC"/>
    <w:rsid w:val="001B6937"/>
    <w:rsid w:val="001B72B8"/>
    <w:rsid w:val="001C69B3"/>
    <w:rsid w:val="001C6B70"/>
    <w:rsid w:val="001C72ED"/>
    <w:rsid w:val="001D006F"/>
    <w:rsid w:val="001D1718"/>
    <w:rsid w:val="001D187A"/>
    <w:rsid w:val="001D331F"/>
    <w:rsid w:val="001D4815"/>
    <w:rsid w:val="001D4CF2"/>
    <w:rsid w:val="001D5595"/>
    <w:rsid w:val="001D5B93"/>
    <w:rsid w:val="001D6F22"/>
    <w:rsid w:val="001D7874"/>
    <w:rsid w:val="001D7F22"/>
    <w:rsid w:val="001E26CF"/>
    <w:rsid w:val="001E2B73"/>
    <w:rsid w:val="001E3306"/>
    <w:rsid w:val="001F0F17"/>
    <w:rsid w:val="001F235A"/>
    <w:rsid w:val="001F2EB7"/>
    <w:rsid w:val="001F2FF8"/>
    <w:rsid w:val="001F3347"/>
    <w:rsid w:val="001F34DA"/>
    <w:rsid w:val="001F4992"/>
    <w:rsid w:val="001F57F9"/>
    <w:rsid w:val="001F629E"/>
    <w:rsid w:val="001F69E4"/>
    <w:rsid w:val="001F7A24"/>
    <w:rsid w:val="00200247"/>
    <w:rsid w:val="002002E2"/>
    <w:rsid w:val="00201CCC"/>
    <w:rsid w:val="00203F88"/>
    <w:rsid w:val="002041F5"/>
    <w:rsid w:val="002049FF"/>
    <w:rsid w:val="00204F95"/>
    <w:rsid w:val="002064E7"/>
    <w:rsid w:val="0020654E"/>
    <w:rsid w:val="00210FCA"/>
    <w:rsid w:val="002113D9"/>
    <w:rsid w:val="002123A6"/>
    <w:rsid w:val="002125B4"/>
    <w:rsid w:val="0021280A"/>
    <w:rsid w:val="00212AB4"/>
    <w:rsid w:val="00214A81"/>
    <w:rsid w:val="00214DE8"/>
    <w:rsid w:val="002155B8"/>
    <w:rsid w:val="00215DE7"/>
    <w:rsid w:val="0021680A"/>
    <w:rsid w:val="002202BF"/>
    <w:rsid w:val="00220461"/>
    <w:rsid w:val="00221B94"/>
    <w:rsid w:val="00222244"/>
    <w:rsid w:val="00223B2E"/>
    <w:rsid w:val="00224141"/>
    <w:rsid w:val="00224839"/>
    <w:rsid w:val="002249B2"/>
    <w:rsid w:val="00224D84"/>
    <w:rsid w:val="0022509D"/>
    <w:rsid w:val="0022567C"/>
    <w:rsid w:val="00226254"/>
    <w:rsid w:val="00226574"/>
    <w:rsid w:val="002273AE"/>
    <w:rsid w:val="002278EC"/>
    <w:rsid w:val="00231007"/>
    <w:rsid w:val="00231684"/>
    <w:rsid w:val="002317A0"/>
    <w:rsid w:val="00231FE0"/>
    <w:rsid w:val="002326EE"/>
    <w:rsid w:val="0023280E"/>
    <w:rsid w:val="00232C73"/>
    <w:rsid w:val="002334B7"/>
    <w:rsid w:val="00233A68"/>
    <w:rsid w:val="00234002"/>
    <w:rsid w:val="00235EFA"/>
    <w:rsid w:val="00235F30"/>
    <w:rsid w:val="00236080"/>
    <w:rsid w:val="002377D1"/>
    <w:rsid w:val="0024311C"/>
    <w:rsid w:val="00243243"/>
    <w:rsid w:val="00243D70"/>
    <w:rsid w:val="00246020"/>
    <w:rsid w:val="0024632C"/>
    <w:rsid w:val="00246E59"/>
    <w:rsid w:val="002506BC"/>
    <w:rsid w:val="00252C2C"/>
    <w:rsid w:val="00254345"/>
    <w:rsid w:val="00254447"/>
    <w:rsid w:val="002547D4"/>
    <w:rsid w:val="00255BBA"/>
    <w:rsid w:val="00256D1A"/>
    <w:rsid w:val="00256D32"/>
    <w:rsid w:val="00257924"/>
    <w:rsid w:val="00262698"/>
    <w:rsid w:val="00262E0D"/>
    <w:rsid w:val="00264557"/>
    <w:rsid w:val="00266511"/>
    <w:rsid w:val="00266EC0"/>
    <w:rsid w:val="0027014D"/>
    <w:rsid w:val="00272905"/>
    <w:rsid w:val="00274480"/>
    <w:rsid w:val="00274752"/>
    <w:rsid w:val="00274E98"/>
    <w:rsid w:val="002750EB"/>
    <w:rsid w:val="00275281"/>
    <w:rsid w:val="00275660"/>
    <w:rsid w:val="00275695"/>
    <w:rsid w:val="00276B58"/>
    <w:rsid w:val="002805AB"/>
    <w:rsid w:val="00281D12"/>
    <w:rsid w:val="0028312F"/>
    <w:rsid w:val="002831FA"/>
    <w:rsid w:val="00283A79"/>
    <w:rsid w:val="00284204"/>
    <w:rsid w:val="002856D7"/>
    <w:rsid w:val="002873FC"/>
    <w:rsid w:val="00287B55"/>
    <w:rsid w:val="002910DB"/>
    <w:rsid w:val="00291773"/>
    <w:rsid w:val="00293BD5"/>
    <w:rsid w:val="0029639E"/>
    <w:rsid w:val="0029758A"/>
    <w:rsid w:val="00297B71"/>
    <w:rsid w:val="002A168C"/>
    <w:rsid w:val="002A3DC7"/>
    <w:rsid w:val="002A69F8"/>
    <w:rsid w:val="002A6A1C"/>
    <w:rsid w:val="002A792B"/>
    <w:rsid w:val="002B2C40"/>
    <w:rsid w:val="002B49E2"/>
    <w:rsid w:val="002B5883"/>
    <w:rsid w:val="002B66E7"/>
    <w:rsid w:val="002B7B00"/>
    <w:rsid w:val="002B7B42"/>
    <w:rsid w:val="002B7C44"/>
    <w:rsid w:val="002B7CF9"/>
    <w:rsid w:val="002C04A0"/>
    <w:rsid w:val="002C0D10"/>
    <w:rsid w:val="002C2B17"/>
    <w:rsid w:val="002C3454"/>
    <w:rsid w:val="002C3A82"/>
    <w:rsid w:val="002C4091"/>
    <w:rsid w:val="002C4470"/>
    <w:rsid w:val="002C4DE5"/>
    <w:rsid w:val="002C67FF"/>
    <w:rsid w:val="002C72AF"/>
    <w:rsid w:val="002D21D2"/>
    <w:rsid w:val="002D2892"/>
    <w:rsid w:val="002D2A15"/>
    <w:rsid w:val="002D2EC6"/>
    <w:rsid w:val="002D3389"/>
    <w:rsid w:val="002D3DD0"/>
    <w:rsid w:val="002D3FDE"/>
    <w:rsid w:val="002D4731"/>
    <w:rsid w:val="002D5000"/>
    <w:rsid w:val="002D5639"/>
    <w:rsid w:val="002D6110"/>
    <w:rsid w:val="002D6AB5"/>
    <w:rsid w:val="002D6B57"/>
    <w:rsid w:val="002E0329"/>
    <w:rsid w:val="002E0A0E"/>
    <w:rsid w:val="002E0C39"/>
    <w:rsid w:val="002E1F3A"/>
    <w:rsid w:val="002E298A"/>
    <w:rsid w:val="002E41F1"/>
    <w:rsid w:val="002E62C8"/>
    <w:rsid w:val="002F0226"/>
    <w:rsid w:val="002F125C"/>
    <w:rsid w:val="002F1268"/>
    <w:rsid w:val="002F22E5"/>
    <w:rsid w:val="002F3C74"/>
    <w:rsid w:val="002F3F34"/>
    <w:rsid w:val="002F40E0"/>
    <w:rsid w:val="002F4FE3"/>
    <w:rsid w:val="002F6016"/>
    <w:rsid w:val="002F7577"/>
    <w:rsid w:val="00300756"/>
    <w:rsid w:val="003007B3"/>
    <w:rsid w:val="00301978"/>
    <w:rsid w:val="003025AC"/>
    <w:rsid w:val="0030332C"/>
    <w:rsid w:val="00303E8C"/>
    <w:rsid w:val="003045A6"/>
    <w:rsid w:val="00304D3C"/>
    <w:rsid w:val="003051C2"/>
    <w:rsid w:val="00305915"/>
    <w:rsid w:val="0030678C"/>
    <w:rsid w:val="00306812"/>
    <w:rsid w:val="00310D56"/>
    <w:rsid w:val="00312296"/>
    <w:rsid w:val="00314F0E"/>
    <w:rsid w:val="0031552F"/>
    <w:rsid w:val="00316E92"/>
    <w:rsid w:val="0031702B"/>
    <w:rsid w:val="00321D8E"/>
    <w:rsid w:val="00321DC0"/>
    <w:rsid w:val="00322AFD"/>
    <w:rsid w:val="00323185"/>
    <w:rsid w:val="00323F42"/>
    <w:rsid w:val="00325928"/>
    <w:rsid w:val="003260E5"/>
    <w:rsid w:val="00327D33"/>
    <w:rsid w:val="00331EB2"/>
    <w:rsid w:val="00332863"/>
    <w:rsid w:val="00335883"/>
    <w:rsid w:val="00335FFB"/>
    <w:rsid w:val="0033684D"/>
    <w:rsid w:val="00336BA1"/>
    <w:rsid w:val="0033778F"/>
    <w:rsid w:val="00337917"/>
    <w:rsid w:val="00337A5A"/>
    <w:rsid w:val="00337B42"/>
    <w:rsid w:val="00340ED3"/>
    <w:rsid w:val="00341050"/>
    <w:rsid w:val="00341B42"/>
    <w:rsid w:val="00341C7F"/>
    <w:rsid w:val="0034348F"/>
    <w:rsid w:val="00344767"/>
    <w:rsid w:val="00345A10"/>
    <w:rsid w:val="0035102E"/>
    <w:rsid w:val="00351A96"/>
    <w:rsid w:val="00351F1D"/>
    <w:rsid w:val="003520C2"/>
    <w:rsid w:val="0035342A"/>
    <w:rsid w:val="00354DBE"/>
    <w:rsid w:val="003559FF"/>
    <w:rsid w:val="00355C09"/>
    <w:rsid w:val="00356653"/>
    <w:rsid w:val="0035743F"/>
    <w:rsid w:val="003575A8"/>
    <w:rsid w:val="00357A21"/>
    <w:rsid w:val="00357BE2"/>
    <w:rsid w:val="00357CE2"/>
    <w:rsid w:val="003604A6"/>
    <w:rsid w:val="0036170C"/>
    <w:rsid w:val="00361E4F"/>
    <w:rsid w:val="00362B15"/>
    <w:rsid w:val="00363BAD"/>
    <w:rsid w:val="003645DC"/>
    <w:rsid w:val="00366569"/>
    <w:rsid w:val="00366E0F"/>
    <w:rsid w:val="00366E8F"/>
    <w:rsid w:val="00370717"/>
    <w:rsid w:val="003708E5"/>
    <w:rsid w:val="00370FFC"/>
    <w:rsid w:val="0037151C"/>
    <w:rsid w:val="00373B00"/>
    <w:rsid w:val="00380AD2"/>
    <w:rsid w:val="00380F9D"/>
    <w:rsid w:val="00381394"/>
    <w:rsid w:val="00381A72"/>
    <w:rsid w:val="00383C9C"/>
    <w:rsid w:val="00384676"/>
    <w:rsid w:val="00384732"/>
    <w:rsid w:val="0038684E"/>
    <w:rsid w:val="00386F02"/>
    <w:rsid w:val="00387AFB"/>
    <w:rsid w:val="00390857"/>
    <w:rsid w:val="0039172C"/>
    <w:rsid w:val="00392698"/>
    <w:rsid w:val="0039421C"/>
    <w:rsid w:val="0039447E"/>
    <w:rsid w:val="003A3A76"/>
    <w:rsid w:val="003A4BF3"/>
    <w:rsid w:val="003A7ED0"/>
    <w:rsid w:val="003B26FC"/>
    <w:rsid w:val="003B3BF1"/>
    <w:rsid w:val="003B420D"/>
    <w:rsid w:val="003B7B46"/>
    <w:rsid w:val="003C2709"/>
    <w:rsid w:val="003C2F97"/>
    <w:rsid w:val="003C59D0"/>
    <w:rsid w:val="003C6158"/>
    <w:rsid w:val="003C6C16"/>
    <w:rsid w:val="003C6D87"/>
    <w:rsid w:val="003D006C"/>
    <w:rsid w:val="003D0C07"/>
    <w:rsid w:val="003D1AAE"/>
    <w:rsid w:val="003D2012"/>
    <w:rsid w:val="003D4305"/>
    <w:rsid w:val="003D5C53"/>
    <w:rsid w:val="003D67FB"/>
    <w:rsid w:val="003D794D"/>
    <w:rsid w:val="003E16E9"/>
    <w:rsid w:val="003E17EC"/>
    <w:rsid w:val="003E29A9"/>
    <w:rsid w:val="003E3058"/>
    <w:rsid w:val="003E4C0B"/>
    <w:rsid w:val="003E569F"/>
    <w:rsid w:val="003E6190"/>
    <w:rsid w:val="003E69A6"/>
    <w:rsid w:val="003E6FBE"/>
    <w:rsid w:val="003E76A9"/>
    <w:rsid w:val="003F0809"/>
    <w:rsid w:val="003F1BC5"/>
    <w:rsid w:val="003F3039"/>
    <w:rsid w:val="003F5839"/>
    <w:rsid w:val="003F6A8C"/>
    <w:rsid w:val="003F755C"/>
    <w:rsid w:val="00403B54"/>
    <w:rsid w:val="004040BE"/>
    <w:rsid w:val="004043DF"/>
    <w:rsid w:val="0040520F"/>
    <w:rsid w:val="00405B78"/>
    <w:rsid w:val="00406F01"/>
    <w:rsid w:val="004074A9"/>
    <w:rsid w:val="00410295"/>
    <w:rsid w:val="00411D3E"/>
    <w:rsid w:val="00412AD7"/>
    <w:rsid w:val="00413E30"/>
    <w:rsid w:val="004148CB"/>
    <w:rsid w:val="0041619D"/>
    <w:rsid w:val="00416D50"/>
    <w:rsid w:val="00416FD5"/>
    <w:rsid w:val="00417621"/>
    <w:rsid w:val="00417767"/>
    <w:rsid w:val="00417772"/>
    <w:rsid w:val="00417F19"/>
    <w:rsid w:val="00420398"/>
    <w:rsid w:val="004205FE"/>
    <w:rsid w:val="00420C8E"/>
    <w:rsid w:val="00420E6A"/>
    <w:rsid w:val="00421CA1"/>
    <w:rsid w:val="004220CB"/>
    <w:rsid w:val="00422274"/>
    <w:rsid w:val="00422656"/>
    <w:rsid w:val="00422DF7"/>
    <w:rsid w:val="00422EC9"/>
    <w:rsid w:val="00424C09"/>
    <w:rsid w:val="00425A9E"/>
    <w:rsid w:val="00425D4F"/>
    <w:rsid w:val="00426BF1"/>
    <w:rsid w:val="00426D6B"/>
    <w:rsid w:val="004274F8"/>
    <w:rsid w:val="004307D0"/>
    <w:rsid w:val="004309D0"/>
    <w:rsid w:val="00430F0E"/>
    <w:rsid w:val="00431DA2"/>
    <w:rsid w:val="00431E6C"/>
    <w:rsid w:val="00432465"/>
    <w:rsid w:val="00432739"/>
    <w:rsid w:val="00432C2C"/>
    <w:rsid w:val="00433568"/>
    <w:rsid w:val="00433889"/>
    <w:rsid w:val="004339EE"/>
    <w:rsid w:val="00433CE7"/>
    <w:rsid w:val="004415BD"/>
    <w:rsid w:val="00442D2B"/>
    <w:rsid w:val="0044428C"/>
    <w:rsid w:val="004477B6"/>
    <w:rsid w:val="0045128B"/>
    <w:rsid w:val="004518DC"/>
    <w:rsid w:val="00452738"/>
    <w:rsid w:val="0045381F"/>
    <w:rsid w:val="004550FF"/>
    <w:rsid w:val="00456091"/>
    <w:rsid w:val="004563EE"/>
    <w:rsid w:val="00456CEB"/>
    <w:rsid w:val="00462670"/>
    <w:rsid w:val="00462B0E"/>
    <w:rsid w:val="00462C7F"/>
    <w:rsid w:val="0046317C"/>
    <w:rsid w:val="00466321"/>
    <w:rsid w:val="00466FBB"/>
    <w:rsid w:val="004677A0"/>
    <w:rsid w:val="00471750"/>
    <w:rsid w:val="00471D7F"/>
    <w:rsid w:val="004724BE"/>
    <w:rsid w:val="00475CA6"/>
    <w:rsid w:val="00475EB2"/>
    <w:rsid w:val="004765BA"/>
    <w:rsid w:val="00476701"/>
    <w:rsid w:val="00476B43"/>
    <w:rsid w:val="00476BE6"/>
    <w:rsid w:val="00480082"/>
    <w:rsid w:val="004800DE"/>
    <w:rsid w:val="00482F18"/>
    <w:rsid w:val="004842E6"/>
    <w:rsid w:val="00484B9B"/>
    <w:rsid w:val="004855F6"/>
    <w:rsid w:val="00485D58"/>
    <w:rsid w:val="0048661E"/>
    <w:rsid w:val="00486AAA"/>
    <w:rsid w:val="00486DCA"/>
    <w:rsid w:val="00491BC7"/>
    <w:rsid w:val="00491DAC"/>
    <w:rsid w:val="00494139"/>
    <w:rsid w:val="00494670"/>
    <w:rsid w:val="004A0DF7"/>
    <w:rsid w:val="004A12EC"/>
    <w:rsid w:val="004A2B59"/>
    <w:rsid w:val="004A3823"/>
    <w:rsid w:val="004A45A8"/>
    <w:rsid w:val="004A672E"/>
    <w:rsid w:val="004A78F3"/>
    <w:rsid w:val="004B2487"/>
    <w:rsid w:val="004B5BFE"/>
    <w:rsid w:val="004B71DA"/>
    <w:rsid w:val="004B7CB5"/>
    <w:rsid w:val="004C0A51"/>
    <w:rsid w:val="004C26A3"/>
    <w:rsid w:val="004C4A6F"/>
    <w:rsid w:val="004C5C20"/>
    <w:rsid w:val="004C65CC"/>
    <w:rsid w:val="004C6603"/>
    <w:rsid w:val="004C752B"/>
    <w:rsid w:val="004D0CB5"/>
    <w:rsid w:val="004D28B0"/>
    <w:rsid w:val="004D2B29"/>
    <w:rsid w:val="004D3273"/>
    <w:rsid w:val="004D5CF6"/>
    <w:rsid w:val="004D65FE"/>
    <w:rsid w:val="004E23AC"/>
    <w:rsid w:val="004E34F9"/>
    <w:rsid w:val="004E46E6"/>
    <w:rsid w:val="004E6946"/>
    <w:rsid w:val="004F02ED"/>
    <w:rsid w:val="004F0530"/>
    <w:rsid w:val="004F1AD8"/>
    <w:rsid w:val="004F2A37"/>
    <w:rsid w:val="004F4CE3"/>
    <w:rsid w:val="004F5616"/>
    <w:rsid w:val="004F6752"/>
    <w:rsid w:val="004F6EA3"/>
    <w:rsid w:val="00500177"/>
    <w:rsid w:val="00500CA0"/>
    <w:rsid w:val="00501E93"/>
    <w:rsid w:val="005039CB"/>
    <w:rsid w:val="00504AEC"/>
    <w:rsid w:val="0050558F"/>
    <w:rsid w:val="00505B34"/>
    <w:rsid w:val="00506203"/>
    <w:rsid w:val="00506286"/>
    <w:rsid w:val="00510813"/>
    <w:rsid w:val="005108C8"/>
    <w:rsid w:val="00511990"/>
    <w:rsid w:val="00511DE0"/>
    <w:rsid w:val="00514870"/>
    <w:rsid w:val="00514AA8"/>
    <w:rsid w:val="00514B9B"/>
    <w:rsid w:val="00515036"/>
    <w:rsid w:val="00515907"/>
    <w:rsid w:val="00516F27"/>
    <w:rsid w:val="00517F02"/>
    <w:rsid w:val="005202D9"/>
    <w:rsid w:val="00521750"/>
    <w:rsid w:val="00523443"/>
    <w:rsid w:val="00523B07"/>
    <w:rsid w:val="00524303"/>
    <w:rsid w:val="00524AD0"/>
    <w:rsid w:val="0052572D"/>
    <w:rsid w:val="005258A2"/>
    <w:rsid w:val="0052678F"/>
    <w:rsid w:val="00526E1C"/>
    <w:rsid w:val="005314A4"/>
    <w:rsid w:val="00531639"/>
    <w:rsid w:val="0053282B"/>
    <w:rsid w:val="005358B7"/>
    <w:rsid w:val="00535956"/>
    <w:rsid w:val="005375F5"/>
    <w:rsid w:val="00537988"/>
    <w:rsid w:val="005401AE"/>
    <w:rsid w:val="00540305"/>
    <w:rsid w:val="00540F75"/>
    <w:rsid w:val="005414F7"/>
    <w:rsid w:val="00541D6E"/>
    <w:rsid w:val="005428E2"/>
    <w:rsid w:val="00542E07"/>
    <w:rsid w:val="00543D52"/>
    <w:rsid w:val="00545424"/>
    <w:rsid w:val="0054585F"/>
    <w:rsid w:val="00545C41"/>
    <w:rsid w:val="00546AA5"/>
    <w:rsid w:val="00547DA0"/>
    <w:rsid w:val="00550418"/>
    <w:rsid w:val="00553517"/>
    <w:rsid w:val="00554A7B"/>
    <w:rsid w:val="0055572C"/>
    <w:rsid w:val="00555ADA"/>
    <w:rsid w:val="00560B6A"/>
    <w:rsid w:val="00560EAB"/>
    <w:rsid w:val="0056106A"/>
    <w:rsid w:val="005613C2"/>
    <w:rsid w:val="005615E7"/>
    <w:rsid w:val="00561631"/>
    <w:rsid w:val="00561754"/>
    <w:rsid w:val="00561979"/>
    <w:rsid w:val="00561F16"/>
    <w:rsid w:val="00562BC9"/>
    <w:rsid w:val="0057047B"/>
    <w:rsid w:val="00570C64"/>
    <w:rsid w:val="005712FB"/>
    <w:rsid w:val="005720AE"/>
    <w:rsid w:val="0057332D"/>
    <w:rsid w:val="005747B6"/>
    <w:rsid w:val="0057484C"/>
    <w:rsid w:val="00574D27"/>
    <w:rsid w:val="00576C28"/>
    <w:rsid w:val="00576E6B"/>
    <w:rsid w:val="00577C9C"/>
    <w:rsid w:val="00580860"/>
    <w:rsid w:val="00582E90"/>
    <w:rsid w:val="00585380"/>
    <w:rsid w:val="005856BD"/>
    <w:rsid w:val="00586101"/>
    <w:rsid w:val="0058616C"/>
    <w:rsid w:val="00586493"/>
    <w:rsid w:val="00591076"/>
    <w:rsid w:val="005917FF"/>
    <w:rsid w:val="00591F23"/>
    <w:rsid w:val="005924DD"/>
    <w:rsid w:val="00594D77"/>
    <w:rsid w:val="00594E72"/>
    <w:rsid w:val="00595BD9"/>
    <w:rsid w:val="005961C3"/>
    <w:rsid w:val="00596504"/>
    <w:rsid w:val="005969E4"/>
    <w:rsid w:val="00597B22"/>
    <w:rsid w:val="00597F96"/>
    <w:rsid w:val="005A04E1"/>
    <w:rsid w:val="005A06B7"/>
    <w:rsid w:val="005A1759"/>
    <w:rsid w:val="005A1BC7"/>
    <w:rsid w:val="005A2373"/>
    <w:rsid w:val="005A25DC"/>
    <w:rsid w:val="005A2A61"/>
    <w:rsid w:val="005A4A10"/>
    <w:rsid w:val="005A68A7"/>
    <w:rsid w:val="005A6F3B"/>
    <w:rsid w:val="005B0626"/>
    <w:rsid w:val="005B29B9"/>
    <w:rsid w:val="005B3903"/>
    <w:rsid w:val="005B5060"/>
    <w:rsid w:val="005B78B0"/>
    <w:rsid w:val="005C19CA"/>
    <w:rsid w:val="005C43C7"/>
    <w:rsid w:val="005C48C0"/>
    <w:rsid w:val="005C62BC"/>
    <w:rsid w:val="005C645F"/>
    <w:rsid w:val="005D1989"/>
    <w:rsid w:val="005D2905"/>
    <w:rsid w:val="005D36AB"/>
    <w:rsid w:val="005D50FB"/>
    <w:rsid w:val="005D77E9"/>
    <w:rsid w:val="005E01A1"/>
    <w:rsid w:val="005E3535"/>
    <w:rsid w:val="005E5E86"/>
    <w:rsid w:val="005F27F5"/>
    <w:rsid w:val="005F45C3"/>
    <w:rsid w:val="005F635A"/>
    <w:rsid w:val="005F64FF"/>
    <w:rsid w:val="005F65B3"/>
    <w:rsid w:val="005F7983"/>
    <w:rsid w:val="00601C69"/>
    <w:rsid w:val="00603812"/>
    <w:rsid w:val="00604481"/>
    <w:rsid w:val="006047B3"/>
    <w:rsid w:val="00604991"/>
    <w:rsid w:val="00606315"/>
    <w:rsid w:val="00607589"/>
    <w:rsid w:val="0061093A"/>
    <w:rsid w:val="006117D4"/>
    <w:rsid w:val="00611884"/>
    <w:rsid w:val="00611EF0"/>
    <w:rsid w:val="0061215A"/>
    <w:rsid w:val="00613C5F"/>
    <w:rsid w:val="00615658"/>
    <w:rsid w:val="00617CC3"/>
    <w:rsid w:val="0062095D"/>
    <w:rsid w:val="00621859"/>
    <w:rsid w:val="0062478D"/>
    <w:rsid w:val="00625316"/>
    <w:rsid w:val="00626125"/>
    <w:rsid w:val="00626371"/>
    <w:rsid w:val="006271D9"/>
    <w:rsid w:val="0063254C"/>
    <w:rsid w:val="006325AF"/>
    <w:rsid w:val="00632BAB"/>
    <w:rsid w:val="006338A4"/>
    <w:rsid w:val="00633B3F"/>
    <w:rsid w:val="00633FB4"/>
    <w:rsid w:val="00634554"/>
    <w:rsid w:val="006347ED"/>
    <w:rsid w:val="00635659"/>
    <w:rsid w:val="006377A6"/>
    <w:rsid w:val="00637A3D"/>
    <w:rsid w:val="00637C82"/>
    <w:rsid w:val="006400EA"/>
    <w:rsid w:val="006409C6"/>
    <w:rsid w:val="006411EF"/>
    <w:rsid w:val="006414EB"/>
    <w:rsid w:val="00642D88"/>
    <w:rsid w:val="0064381A"/>
    <w:rsid w:val="006451D1"/>
    <w:rsid w:val="00646953"/>
    <w:rsid w:val="00646D8B"/>
    <w:rsid w:val="00647E5F"/>
    <w:rsid w:val="00651815"/>
    <w:rsid w:val="006522A9"/>
    <w:rsid w:val="006524D3"/>
    <w:rsid w:val="00656871"/>
    <w:rsid w:val="00660FC3"/>
    <w:rsid w:val="006636E3"/>
    <w:rsid w:val="006639D3"/>
    <w:rsid w:val="00666019"/>
    <w:rsid w:val="006678DA"/>
    <w:rsid w:val="006713F4"/>
    <w:rsid w:val="006745FC"/>
    <w:rsid w:val="006748B8"/>
    <w:rsid w:val="006775C3"/>
    <w:rsid w:val="00677AC5"/>
    <w:rsid w:val="00681DEC"/>
    <w:rsid w:val="00683125"/>
    <w:rsid w:val="00684BC4"/>
    <w:rsid w:val="00685531"/>
    <w:rsid w:val="006866C0"/>
    <w:rsid w:val="00687DE3"/>
    <w:rsid w:val="00691C06"/>
    <w:rsid w:val="0069290A"/>
    <w:rsid w:val="006930B8"/>
    <w:rsid w:val="00693D7E"/>
    <w:rsid w:val="0069517A"/>
    <w:rsid w:val="0069574A"/>
    <w:rsid w:val="00695DF5"/>
    <w:rsid w:val="0069775A"/>
    <w:rsid w:val="00697813"/>
    <w:rsid w:val="006978E4"/>
    <w:rsid w:val="006A2C57"/>
    <w:rsid w:val="006A3EE8"/>
    <w:rsid w:val="006A4160"/>
    <w:rsid w:val="006A704C"/>
    <w:rsid w:val="006A71B1"/>
    <w:rsid w:val="006A72BF"/>
    <w:rsid w:val="006B03F2"/>
    <w:rsid w:val="006B0712"/>
    <w:rsid w:val="006B30D0"/>
    <w:rsid w:val="006B37DC"/>
    <w:rsid w:val="006B38DD"/>
    <w:rsid w:val="006B3BC9"/>
    <w:rsid w:val="006B4703"/>
    <w:rsid w:val="006B4F68"/>
    <w:rsid w:val="006B50D9"/>
    <w:rsid w:val="006B597C"/>
    <w:rsid w:val="006B664C"/>
    <w:rsid w:val="006B6DCA"/>
    <w:rsid w:val="006B7111"/>
    <w:rsid w:val="006C0592"/>
    <w:rsid w:val="006C0C01"/>
    <w:rsid w:val="006C272E"/>
    <w:rsid w:val="006C2890"/>
    <w:rsid w:val="006C337D"/>
    <w:rsid w:val="006C5479"/>
    <w:rsid w:val="006C753C"/>
    <w:rsid w:val="006D02B0"/>
    <w:rsid w:val="006D13B5"/>
    <w:rsid w:val="006D2B29"/>
    <w:rsid w:val="006D6024"/>
    <w:rsid w:val="006D70CD"/>
    <w:rsid w:val="006D7EF6"/>
    <w:rsid w:val="006E04ED"/>
    <w:rsid w:val="006E12FF"/>
    <w:rsid w:val="006E1368"/>
    <w:rsid w:val="006E17F5"/>
    <w:rsid w:val="006E379D"/>
    <w:rsid w:val="006E3B25"/>
    <w:rsid w:val="006E607E"/>
    <w:rsid w:val="006E6238"/>
    <w:rsid w:val="006E6689"/>
    <w:rsid w:val="006E6A24"/>
    <w:rsid w:val="006E7CFB"/>
    <w:rsid w:val="006F0F7D"/>
    <w:rsid w:val="006F10B4"/>
    <w:rsid w:val="006F2856"/>
    <w:rsid w:val="006F2C83"/>
    <w:rsid w:val="006F2E97"/>
    <w:rsid w:val="006F35BB"/>
    <w:rsid w:val="006F4785"/>
    <w:rsid w:val="006F48B0"/>
    <w:rsid w:val="006F4E2C"/>
    <w:rsid w:val="006F514E"/>
    <w:rsid w:val="006F5BD9"/>
    <w:rsid w:val="006F5FFE"/>
    <w:rsid w:val="006F7F26"/>
    <w:rsid w:val="0070157D"/>
    <w:rsid w:val="0070184D"/>
    <w:rsid w:val="007018C6"/>
    <w:rsid w:val="00702614"/>
    <w:rsid w:val="00703376"/>
    <w:rsid w:val="00703E04"/>
    <w:rsid w:val="007040F6"/>
    <w:rsid w:val="00706C5D"/>
    <w:rsid w:val="007103D0"/>
    <w:rsid w:val="00711A5D"/>
    <w:rsid w:val="00711D02"/>
    <w:rsid w:val="00712776"/>
    <w:rsid w:val="00712FD8"/>
    <w:rsid w:val="007159C6"/>
    <w:rsid w:val="00715E47"/>
    <w:rsid w:val="0071614C"/>
    <w:rsid w:val="00717222"/>
    <w:rsid w:val="007202D1"/>
    <w:rsid w:val="007212B1"/>
    <w:rsid w:val="00722200"/>
    <w:rsid w:val="00722BCF"/>
    <w:rsid w:val="00724AD2"/>
    <w:rsid w:val="00725F0C"/>
    <w:rsid w:val="00727B4E"/>
    <w:rsid w:val="00730584"/>
    <w:rsid w:val="00731D21"/>
    <w:rsid w:val="00732922"/>
    <w:rsid w:val="00734CC9"/>
    <w:rsid w:val="007360F4"/>
    <w:rsid w:val="00736689"/>
    <w:rsid w:val="007366B4"/>
    <w:rsid w:val="00736B9B"/>
    <w:rsid w:val="00737078"/>
    <w:rsid w:val="00737752"/>
    <w:rsid w:val="00742A26"/>
    <w:rsid w:val="0074329E"/>
    <w:rsid w:val="00743F5D"/>
    <w:rsid w:val="007458C2"/>
    <w:rsid w:val="00746033"/>
    <w:rsid w:val="00746E38"/>
    <w:rsid w:val="007501CD"/>
    <w:rsid w:val="0075088D"/>
    <w:rsid w:val="0075162E"/>
    <w:rsid w:val="007523B6"/>
    <w:rsid w:val="00753B81"/>
    <w:rsid w:val="00754034"/>
    <w:rsid w:val="00754B09"/>
    <w:rsid w:val="007560C8"/>
    <w:rsid w:val="00756556"/>
    <w:rsid w:val="007574F1"/>
    <w:rsid w:val="0076093F"/>
    <w:rsid w:val="007618C4"/>
    <w:rsid w:val="00762FE7"/>
    <w:rsid w:val="007637DC"/>
    <w:rsid w:val="007661AB"/>
    <w:rsid w:val="00766BD2"/>
    <w:rsid w:val="00767980"/>
    <w:rsid w:val="00767F4C"/>
    <w:rsid w:val="00770B19"/>
    <w:rsid w:val="007718AB"/>
    <w:rsid w:val="0077463F"/>
    <w:rsid w:val="00775C76"/>
    <w:rsid w:val="0077663B"/>
    <w:rsid w:val="007767BF"/>
    <w:rsid w:val="007821E1"/>
    <w:rsid w:val="00782E05"/>
    <w:rsid w:val="0078302B"/>
    <w:rsid w:val="007836EA"/>
    <w:rsid w:val="007838D5"/>
    <w:rsid w:val="00784CDA"/>
    <w:rsid w:val="00786EED"/>
    <w:rsid w:val="00787973"/>
    <w:rsid w:val="007906C4"/>
    <w:rsid w:val="00790B4E"/>
    <w:rsid w:val="00792D7B"/>
    <w:rsid w:val="00793799"/>
    <w:rsid w:val="007940EA"/>
    <w:rsid w:val="00795695"/>
    <w:rsid w:val="007957A0"/>
    <w:rsid w:val="007967E8"/>
    <w:rsid w:val="00796C96"/>
    <w:rsid w:val="0079755D"/>
    <w:rsid w:val="00797B8E"/>
    <w:rsid w:val="007A009C"/>
    <w:rsid w:val="007A05E5"/>
    <w:rsid w:val="007A1810"/>
    <w:rsid w:val="007A1888"/>
    <w:rsid w:val="007A1A01"/>
    <w:rsid w:val="007A2170"/>
    <w:rsid w:val="007A22BF"/>
    <w:rsid w:val="007A32B5"/>
    <w:rsid w:val="007A3323"/>
    <w:rsid w:val="007A38A3"/>
    <w:rsid w:val="007A5C69"/>
    <w:rsid w:val="007A5DB4"/>
    <w:rsid w:val="007A6433"/>
    <w:rsid w:val="007B1849"/>
    <w:rsid w:val="007B1902"/>
    <w:rsid w:val="007B191D"/>
    <w:rsid w:val="007B450C"/>
    <w:rsid w:val="007B6168"/>
    <w:rsid w:val="007B72B8"/>
    <w:rsid w:val="007B7A58"/>
    <w:rsid w:val="007B7B79"/>
    <w:rsid w:val="007C156F"/>
    <w:rsid w:val="007C21B5"/>
    <w:rsid w:val="007C27A2"/>
    <w:rsid w:val="007C3B38"/>
    <w:rsid w:val="007C3D00"/>
    <w:rsid w:val="007C7264"/>
    <w:rsid w:val="007D15E0"/>
    <w:rsid w:val="007D48BD"/>
    <w:rsid w:val="007D59D1"/>
    <w:rsid w:val="007E0BF9"/>
    <w:rsid w:val="007E4A34"/>
    <w:rsid w:val="007E4BD2"/>
    <w:rsid w:val="007E62EB"/>
    <w:rsid w:val="007E654F"/>
    <w:rsid w:val="007E7DF1"/>
    <w:rsid w:val="007F0268"/>
    <w:rsid w:val="007F0EE0"/>
    <w:rsid w:val="007F3D8A"/>
    <w:rsid w:val="007F48FC"/>
    <w:rsid w:val="007F58C5"/>
    <w:rsid w:val="007F6431"/>
    <w:rsid w:val="007F6DF5"/>
    <w:rsid w:val="007F6E3C"/>
    <w:rsid w:val="008005AB"/>
    <w:rsid w:val="008005D2"/>
    <w:rsid w:val="00801393"/>
    <w:rsid w:val="008023A4"/>
    <w:rsid w:val="00802738"/>
    <w:rsid w:val="00802F88"/>
    <w:rsid w:val="008042A7"/>
    <w:rsid w:val="008071EA"/>
    <w:rsid w:val="00807C1B"/>
    <w:rsid w:val="00810518"/>
    <w:rsid w:val="00810E3A"/>
    <w:rsid w:val="0081293E"/>
    <w:rsid w:val="00815465"/>
    <w:rsid w:val="0081694D"/>
    <w:rsid w:val="00817A82"/>
    <w:rsid w:val="00817E9A"/>
    <w:rsid w:val="00820F7B"/>
    <w:rsid w:val="00821EAD"/>
    <w:rsid w:val="008220C0"/>
    <w:rsid w:val="00823080"/>
    <w:rsid w:val="00823620"/>
    <w:rsid w:val="008246DD"/>
    <w:rsid w:val="00826007"/>
    <w:rsid w:val="0082624F"/>
    <w:rsid w:val="00826DF7"/>
    <w:rsid w:val="00826FB9"/>
    <w:rsid w:val="00827F57"/>
    <w:rsid w:val="008304CE"/>
    <w:rsid w:val="008306BD"/>
    <w:rsid w:val="00831890"/>
    <w:rsid w:val="00831A80"/>
    <w:rsid w:val="00832407"/>
    <w:rsid w:val="00833743"/>
    <w:rsid w:val="00833930"/>
    <w:rsid w:val="00833981"/>
    <w:rsid w:val="00833FF9"/>
    <w:rsid w:val="008340A4"/>
    <w:rsid w:val="008367A3"/>
    <w:rsid w:val="00842BAD"/>
    <w:rsid w:val="00844FA2"/>
    <w:rsid w:val="008454E3"/>
    <w:rsid w:val="00845DC4"/>
    <w:rsid w:val="00852A5F"/>
    <w:rsid w:val="0085370F"/>
    <w:rsid w:val="008539DF"/>
    <w:rsid w:val="00856AA5"/>
    <w:rsid w:val="00856B2E"/>
    <w:rsid w:val="00857D2A"/>
    <w:rsid w:val="00860B59"/>
    <w:rsid w:val="008627DF"/>
    <w:rsid w:val="00863229"/>
    <w:rsid w:val="0086489E"/>
    <w:rsid w:val="00864F19"/>
    <w:rsid w:val="008650BC"/>
    <w:rsid w:val="008653DC"/>
    <w:rsid w:val="008657F5"/>
    <w:rsid w:val="00866F75"/>
    <w:rsid w:val="0086797A"/>
    <w:rsid w:val="0087135F"/>
    <w:rsid w:val="0087177B"/>
    <w:rsid w:val="00872863"/>
    <w:rsid w:val="00872D94"/>
    <w:rsid w:val="0087357E"/>
    <w:rsid w:val="00874706"/>
    <w:rsid w:val="00875E46"/>
    <w:rsid w:val="00880364"/>
    <w:rsid w:val="00880A6D"/>
    <w:rsid w:val="0088232C"/>
    <w:rsid w:val="00882AFE"/>
    <w:rsid w:val="00882C62"/>
    <w:rsid w:val="00882EE4"/>
    <w:rsid w:val="008863D0"/>
    <w:rsid w:val="008869AC"/>
    <w:rsid w:val="008870A9"/>
    <w:rsid w:val="008871AF"/>
    <w:rsid w:val="008911D1"/>
    <w:rsid w:val="00891592"/>
    <w:rsid w:val="00891E9E"/>
    <w:rsid w:val="008945B5"/>
    <w:rsid w:val="0089630B"/>
    <w:rsid w:val="008967E4"/>
    <w:rsid w:val="008A0455"/>
    <w:rsid w:val="008A1BBD"/>
    <w:rsid w:val="008A2F68"/>
    <w:rsid w:val="008A358F"/>
    <w:rsid w:val="008A3FC6"/>
    <w:rsid w:val="008A524A"/>
    <w:rsid w:val="008B1469"/>
    <w:rsid w:val="008B262C"/>
    <w:rsid w:val="008B3908"/>
    <w:rsid w:val="008B4FA6"/>
    <w:rsid w:val="008B5214"/>
    <w:rsid w:val="008B5282"/>
    <w:rsid w:val="008B6768"/>
    <w:rsid w:val="008B6EF2"/>
    <w:rsid w:val="008B7C17"/>
    <w:rsid w:val="008C2D01"/>
    <w:rsid w:val="008C2E7C"/>
    <w:rsid w:val="008C3DD0"/>
    <w:rsid w:val="008C40E6"/>
    <w:rsid w:val="008C69A0"/>
    <w:rsid w:val="008C7A59"/>
    <w:rsid w:val="008D0684"/>
    <w:rsid w:val="008D0994"/>
    <w:rsid w:val="008D0A83"/>
    <w:rsid w:val="008D0E13"/>
    <w:rsid w:val="008D0F56"/>
    <w:rsid w:val="008D0F7A"/>
    <w:rsid w:val="008D1383"/>
    <w:rsid w:val="008D5359"/>
    <w:rsid w:val="008D68E4"/>
    <w:rsid w:val="008E0506"/>
    <w:rsid w:val="008E0CFF"/>
    <w:rsid w:val="008E1374"/>
    <w:rsid w:val="008E2E78"/>
    <w:rsid w:val="008E5A3E"/>
    <w:rsid w:val="008E5D6B"/>
    <w:rsid w:val="008E76F0"/>
    <w:rsid w:val="008F15FE"/>
    <w:rsid w:val="008F2D29"/>
    <w:rsid w:val="008F408F"/>
    <w:rsid w:val="008F48D5"/>
    <w:rsid w:val="008F5008"/>
    <w:rsid w:val="008F5187"/>
    <w:rsid w:val="008F5606"/>
    <w:rsid w:val="008F578E"/>
    <w:rsid w:val="008F5997"/>
    <w:rsid w:val="008F60D8"/>
    <w:rsid w:val="00900907"/>
    <w:rsid w:val="00901A5E"/>
    <w:rsid w:val="0090251A"/>
    <w:rsid w:val="00902653"/>
    <w:rsid w:val="00902727"/>
    <w:rsid w:val="00903104"/>
    <w:rsid w:val="0090312B"/>
    <w:rsid w:val="00904877"/>
    <w:rsid w:val="009049D7"/>
    <w:rsid w:val="00904AF2"/>
    <w:rsid w:val="00905CB3"/>
    <w:rsid w:val="009074C0"/>
    <w:rsid w:val="00907834"/>
    <w:rsid w:val="00907E07"/>
    <w:rsid w:val="00907E96"/>
    <w:rsid w:val="009119F2"/>
    <w:rsid w:val="00911B68"/>
    <w:rsid w:val="00914682"/>
    <w:rsid w:val="00915813"/>
    <w:rsid w:val="00916748"/>
    <w:rsid w:val="0091736D"/>
    <w:rsid w:val="0091777B"/>
    <w:rsid w:val="00921A7A"/>
    <w:rsid w:val="0092618F"/>
    <w:rsid w:val="00926BA1"/>
    <w:rsid w:val="0092754B"/>
    <w:rsid w:val="0093037A"/>
    <w:rsid w:val="0093113E"/>
    <w:rsid w:val="00931535"/>
    <w:rsid w:val="00932C22"/>
    <w:rsid w:val="00935EBF"/>
    <w:rsid w:val="009363F4"/>
    <w:rsid w:val="00940470"/>
    <w:rsid w:val="0094154D"/>
    <w:rsid w:val="00944B78"/>
    <w:rsid w:val="009458BD"/>
    <w:rsid w:val="009469BC"/>
    <w:rsid w:val="0095155F"/>
    <w:rsid w:val="00951E10"/>
    <w:rsid w:val="00952D3F"/>
    <w:rsid w:val="00953AE0"/>
    <w:rsid w:val="00954429"/>
    <w:rsid w:val="009563CE"/>
    <w:rsid w:val="009565B7"/>
    <w:rsid w:val="009615E4"/>
    <w:rsid w:val="00961DDA"/>
    <w:rsid w:val="00963E1E"/>
    <w:rsid w:val="00964148"/>
    <w:rsid w:val="00964CC3"/>
    <w:rsid w:val="00964E8D"/>
    <w:rsid w:val="009661D2"/>
    <w:rsid w:val="00966464"/>
    <w:rsid w:val="0096703F"/>
    <w:rsid w:val="00967EB6"/>
    <w:rsid w:val="009705CC"/>
    <w:rsid w:val="00971FBF"/>
    <w:rsid w:val="00972D6F"/>
    <w:rsid w:val="009730C9"/>
    <w:rsid w:val="0097624A"/>
    <w:rsid w:val="00976328"/>
    <w:rsid w:val="0097680D"/>
    <w:rsid w:val="009775B1"/>
    <w:rsid w:val="00977F70"/>
    <w:rsid w:val="00982438"/>
    <w:rsid w:val="00982B58"/>
    <w:rsid w:val="00982EE4"/>
    <w:rsid w:val="0098404C"/>
    <w:rsid w:val="00984618"/>
    <w:rsid w:val="00985283"/>
    <w:rsid w:val="009859C5"/>
    <w:rsid w:val="00991923"/>
    <w:rsid w:val="00991D00"/>
    <w:rsid w:val="0099227B"/>
    <w:rsid w:val="00992445"/>
    <w:rsid w:val="009934D5"/>
    <w:rsid w:val="009939FE"/>
    <w:rsid w:val="0099569D"/>
    <w:rsid w:val="00995992"/>
    <w:rsid w:val="00995CC7"/>
    <w:rsid w:val="0099613B"/>
    <w:rsid w:val="009A03E5"/>
    <w:rsid w:val="009A0F3B"/>
    <w:rsid w:val="009A1B18"/>
    <w:rsid w:val="009A1BB4"/>
    <w:rsid w:val="009A2628"/>
    <w:rsid w:val="009A3200"/>
    <w:rsid w:val="009A379E"/>
    <w:rsid w:val="009A3815"/>
    <w:rsid w:val="009A3FE0"/>
    <w:rsid w:val="009B0897"/>
    <w:rsid w:val="009B1182"/>
    <w:rsid w:val="009B2537"/>
    <w:rsid w:val="009B40F3"/>
    <w:rsid w:val="009B43EB"/>
    <w:rsid w:val="009B5C3A"/>
    <w:rsid w:val="009B5DF0"/>
    <w:rsid w:val="009B66B6"/>
    <w:rsid w:val="009B7968"/>
    <w:rsid w:val="009B7BD9"/>
    <w:rsid w:val="009C105E"/>
    <w:rsid w:val="009C2A1A"/>
    <w:rsid w:val="009C5168"/>
    <w:rsid w:val="009C6D2D"/>
    <w:rsid w:val="009C7895"/>
    <w:rsid w:val="009C7DD5"/>
    <w:rsid w:val="009D0854"/>
    <w:rsid w:val="009D140A"/>
    <w:rsid w:val="009D19D2"/>
    <w:rsid w:val="009D62E4"/>
    <w:rsid w:val="009D6DDB"/>
    <w:rsid w:val="009D758D"/>
    <w:rsid w:val="009D770B"/>
    <w:rsid w:val="009D7E14"/>
    <w:rsid w:val="009E1584"/>
    <w:rsid w:val="009E1756"/>
    <w:rsid w:val="009E227D"/>
    <w:rsid w:val="009E3149"/>
    <w:rsid w:val="009E3B1F"/>
    <w:rsid w:val="009E5019"/>
    <w:rsid w:val="009E56D8"/>
    <w:rsid w:val="009E6E14"/>
    <w:rsid w:val="009F24DE"/>
    <w:rsid w:val="009F2F1F"/>
    <w:rsid w:val="009F672B"/>
    <w:rsid w:val="009F6B6C"/>
    <w:rsid w:val="00A01D3D"/>
    <w:rsid w:val="00A021E3"/>
    <w:rsid w:val="00A02387"/>
    <w:rsid w:val="00A0428B"/>
    <w:rsid w:val="00A04F1B"/>
    <w:rsid w:val="00A0501B"/>
    <w:rsid w:val="00A057A6"/>
    <w:rsid w:val="00A0631C"/>
    <w:rsid w:val="00A12594"/>
    <w:rsid w:val="00A128E0"/>
    <w:rsid w:val="00A129CB"/>
    <w:rsid w:val="00A14947"/>
    <w:rsid w:val="00A15E5A"/>
    <w:rsid w:val="00A1661C"/>
    <w:rsid w:val="00A20317"/>
    <w:rsid w:val="00A23039"/>
    <w:rsid w:val="00A244E7"/>
    <w:rsid w:val="00A2559A"/>
    <w:rsid w:val="00A264EE"/>
    <w:rsid w:val="00A2677B"/>
    <w:rsid w:val="00A30526"/>
    <w:rsid w:val="00A32383"/>
    <w:rsid w:val="00A32A83"/>
    <w:rsid w:val="00A339AC"/>
    <w:rsid w:val="00A33A39"/>
    <w:rsid w:val="00A33EA5"/>
    <w:rsid w:val="00A368DB"/>
    <w:rsid w:val="00A36D49"/>
    <w:rsid w:val="00A37536"/>
    <w:rsid w:val="00A3762E"/>
    <w:rsid w:val="00A37E12"/>
    <w:rsid w:val="00A40660"/>
    <w:rsid w:val="00A42249"/>
    <w:rsid w:val="00A423AA"/>
    <w:rsid w:val="00A44B7B"/>
    <w:rsid w:val="00A4725F"/>
    <w:rsid w:val="00A51774"/>
    <w:rsid w:val="00A53E44"/>
    <w:rsid w:val="00A53EC6"/>
    <w:rsid w:val="00A54105"/>
    <w:rsid w:val="00A55C0F"/>
    <w:rsid w:val="00A57542"/>
    <w:rsid w:val="00A60CA2"/>
    <w:rsid w:val="00A618CD"/>
    <w:rsid w:val="00A6234A"/>
    <w:rsid w:val="00A638F7"/>
    <w:rsid w:val="00A6449F"/>
    <w:rsid w:val="00A65565"/>
    <w:rsid w:val="00A65C3F"/>
    <w:rsid w:val="00A67994"/>
    <w:rsid w:val="00A726C7"/>
    <w:rsid w:val="00A72EE9"/>
    <w:rsid w:val="00A73A02"/>
    <w:rsid w:val="00A73EE9"/>
    <w:rsid w:val="00A76699"/>
    <w:rsid w:val="00A76CC4"/>
    <w:rsid w:val="00A81EAB"/>
    <w:rsid w:val="00A8370D"/>
    <w:rsid w:val="00A850D9"/>
    <w:rsid w:val="00A861F0"/>
    <w:rsid w:val="00A86847"/>
    <w:rsid w:val="00A8713F"/>
    <w:rsid w:val="00A876ED"/>
    <w:rsid w:val="00A90BA1"/>
    <w:rsid w:val="00A91EB3"/>
    <w:rsid w:val="00A9548C"/>
    <w:rsid w:val="00A9620B"/>
    <w:rsid w:val="00A9666F"/>
    <w:rsid w:val="00A968B9"/>
    <w:rsid w:val="00A97A9A"/>
    <w:rsid w:val="00A97D92"/>
    <w:rsid w:val="00A97F21"/>
    <w:rsid w:val="00AA0671"/>
    <w:rsid w:val="00AA221C"/>
    <w:rsid w:val="00AA2531"/>
    <w:rsid w:val="00AA2DB9"/>
    <w:rsid w:val="00AA4704"/>
    <w:rsid w:val="00AA4C1F"/>
    <w:rsid w:val="00AA5B8C"/>
    <w:rsid w:val="00AB1E09"/>
    <w:rsid w:val="00AB3E7A"/>
    <w:rsid w:val="00AB4A7D"/>
    <w:rsid w:val="00AB5330"/>
    <w:rsid w:val="00AB5551"/>
    <w:rsid w:val="00AB5B00"/>
    <w:rsid w:val="00AB6E59"/>
    <w:rsid w:val="00AB7747"/>
    <w:rsid w:val="00AC14CE"/>
    <w:rsid w:val="00AC182F"/>
    <w:rsid w:val="00AC2A56"/>
    <w:rsid w:val="00AC31C2"/>
    <w:rsid w:val="00AC4B6A"/>
    <w:rsid w:val="00AC56C5"/>
    <w:rsid w:val="00AC62B5"/>
    <w:rsid w:val="00AC7724"/>
    <w:rsid w:val="00AD055E"/>
    <w:rsid w:val="00AD1A3B"/>
    <w:rsid w:val="00AD2467"/>
    <w:rsid w:val="00AD25B7"/>
    <w:rsid w:val="00AD2872"/>
    <w:rsid w:val="00AD2FE5"/>
    <w:rsid w:val="00AD3B89"/>
    <w:rsid w:val="00AD47A7"/>
    <w:rsid w:val="00AD4AF0"/>
    <w:rsid w:val="00AD7372"/>
    <w:rsid w:val="00AE00AF"/>
    <w:rsid w:val="00AE1980"/>
    <w:rsid w:val="00AE26D5"/>
    <w:rsid w:val="00AE3823"/>
    <w:rsid w:val="00AE684D"/>
    <w:rsid w:val="00AF0CBF"/>
    <w:rsid w:val="00AF257F"/>
    <w:rsid w:val="00AF33CF"/>
    <w:rsid w:val="00AF355F"/>
    <w:rsid w:val="00AF4D50"/>
    <w:rsid w:val="00AF6179"/>
    <w:rsid w:val="00B004B5"/>
    <w:rsid w:val="00B01528"/>
    <w:rsid w:val="00B02ACB"/>
    <w:rsid w:val="00B04F6F"/>
    <w:rsid w:val="00B05268"/>
    <w:rsid w:val="00B064E6"/>
    <w:rsid w:val="00B06C5C"/>
    <w:rsid w:val="00B0791F"/>
    <w:rsid w:val="00B1295A"/>
    <w:rsid w:val="00B130B3"/>
    <w:rsid w:val="00B131D9"/>
    <w:rsid w:val="00B13DE3"/>
    <w:rsid w:val="00B166BA"/>
    <w:rsid w:val="00B1736D"/>
    <w:rsid w:val="00B20795"/>
    <w:rsid w:val="00B20A45"/>
    <w:rsid w:val="00B20F74"/>
    <w:rsid w:val="00B2227B"/>
    <w:rsid w:val="00B22C5C"/>
    <w:rsid w:val="00B23113"/>
    <w:rsid w:val="00B2348D"/>
    <w:rsid w:val="00B23F22"/>
    <w:rsid w:val="00B24F30"/>
    <w:rsid w:val="00B25813"/>
    <w:rsid w:val="00B27C7E"/>
    <w:rsid w:val="00B31ABF"/>
    <w:rsid w:val="00B31AC4"/>
    <w:rsid w:val="00B33BE3"/>
    <w:rsid w:val="00B366B1"/>
    <w:rsid w:val="00B367E5"/>
    <w:rsid w:val="00B43F93"/>
    <w:rsid w:val="00B43F9E"/>
    <w:rsid w:val="00B479A1"/>
    <w:rsid w:val="00B47DAE"/>
    <w:rsid w:val="00B500E3"/>
    <w:rsid w:val="00B50511"/>
    <w:rsid w:val="00B511ED"/>
    <w:rsid w:val="00B52F7E"/>
    <w:rsid w:val="00B53B5D"/>
    <w:rsid w:val="00B57DB4"/>
    <w:rsid w:val="00B6055E"/>
    <w:rsid w:val="00B61038"/>
    <w:rsid w:val="00B6317D"/>
    <w:rsid w:val="00B64114"/>
    <w:rsid w:val="00B67698"/>
    <w:rsid w:val="00B67758"/>
    <w:rsid w:val="00B70E26"/>
    <w:rsid w:val="00B734CB"/>
    <w:rsid w:val="00B7525D"/>
    <w:rsid w:val="00B752C3"/>
    <w:rsid w:val="00B75EB9"/>
    <w:rsid w:val="00B760B2"/>
    <w:rsid w:val="00B76334"/>
    <w:rsid w:val="00B767BC"/>
    <w:rsid w:val="00B7723F"/>
    <w:rsid w:val="00B80534"/>
    <w:rsid w:val="00B82C20"/>
    <w:rsid w:val="00B8433C"/>
    <w:rsid w:val="00B87491"/>
    <w:rsid w:val="00B91F83"/>
    <w:rsid w:val="00B92483"/>
    <w:rsid w:val="00B92883"/>
    <w:rsid w:val="00B93D34"/>
    <w:rsid w:val="00B941C5"/>
    <w:rsid w:val="00B96201"/>
    <w:rsid w:val="00B9651E"/>
    <w:rsid w:val="00BA29E9"/>
    <w:rsid w:val="00BA3B21"/>
    <w:rsid w:val="00BA6989"/>
    <w:rsid w:val="00BA7142"/>
    <w:rsid w:val="00BB07BB"/>
    <w:rsid w:val="00BB0E62"/>
    <w:rsid w:val="00BB1284"/>
    <w:rsid w:val="00BB237C"/>
    <w:rsid w:val="00BB40AF"/>
    <w:rsid w:val="00BB41A3"/>
    <w:rsid w:val="00BB5AE5"/>
    <w:rsid w:val="00BB6701"/>
    <w:rsid w:val="00BB68FB"/>
    <w:rsid w:val="00BB723E"/>
    <w:rsid w:val="00BB74F3"/>
    <w:rsid w:val="00BB779A"/>
    <w:rsid w:val="00BC0F33"/>
    <w:rsid w:val="00BC1B44"/>
    <w:rsid w:val="00BC1E51"/>
    <w:rsid w:val="00BC2AF8"/>
    <w:rsid w:val="00BC32DC"/>
    <w:rsid w:val="00BC35B6"/>
    <w:rsid w:val="00BC3DDD"/>
    <w:rsid w:val="00BC7D17"/>
    <w:rsid w:val="00BD13C7"/>
    <w:rsid w:val="00BD1B51"/>
    <w:rsid w:val="00BD2793"/>
    <w:rsid w:val="00BD4596"/>
    <w:rsid w:val="00BD4E98"/>
    <w:rsid w:val="00BD5364"/>
    <w:rsid w:val="00BD6890"/>
    <w:rsid w:val="00BE1405"/>
    <w:rsid w:val="00BE312D"/>
    <w:rsid w:val="00BE320F"/>
    <w:rsid w:val="00BE373E"/>
    <w:rsid w:val="00BE4668"/>
    <w:rsid w:val="00BE6748"/>
    <w:rsid w:val="00BE6B29"/>
    <w:rsid w:val="00BE7C1B"/>
    <w:rsid w:val="00BF0693"/>
    <w:rsid w:val="00BF0DDB"/>
    <w:rsid w:val="00BF1AD3"/>
    <w:rsid w:val="00BF1C20"/>
    <w:rsid w:val="00BF1E72"/>
    <w:rsid w:val="00BF24C0"/>
    <w:rsid w:val="00BF4215"/>
    <w:rsid w:val="00BF4221"/>
    <w:rsid w:val="00BF7CEB"/>
    <w:rsid w:val="00C025D9"/>
    <w:rsid w:val="00C0289A"/>
    <w:rsid w:val="00C03E65"/>
    <w:rsid w:val="00C04D0E"/>
    <w:rsid w:val="00C05998"/>
    <w:rsid w:val="00C074FB"/>
    <w:rsid w:val="00C10578"/>
    <w:rsid w:val="00C12700"/>
    <w:rsid w:val="00C1307C"/>
    <w:rsid w:val="00C135BC"/>
    <w:rsid w:val="00C1423C"/>
    <w:rsid w:val="00C159D2"/>
    <w:rsid w:val="00C15C95"/>
    <w:rsid w:val="00C16536"/>
    <w:rsid w:val="00C167BE"/>
    <w:rsid w:val="00C16D7D"/>
    <w:rsid w:val="00C20126"/>
    <w:rsid w:val="00C217B0"/>
    <w:rsid w:val="00C22BB9"/>
    <w:rsid w:val="00C233F4"/>
    <w:rsid w:val="00C234CE"/>
    <w:rsid w:val="00C2596A"/>
    <w:rsid w:val="00C27537"/>
    <w:rsid w:val="00C27E75"/>
    <w:rsid w:val="00C30A9C"/>
    <w:rsid w:val="00C31F9D"/>
    <w:rsid w:val="00C328FE"/>
    <w:rsid w:val="00C330CB"/>
    <w:rsid w:val="00C33507"/>
    <w:rsid w:val="00C34518"/>
    <w:rsid w:val="00C3617F"/>
    <w:rsid w:val="00C377CA"/>
    <w:rsid w:val="00C37D7B"/>
    <w:rsid w:val="00C437BD"/>
    <w:rsid w:val="00C4409D"/>
    <w:rsid w:val="00C44E72"/>
    <w:rsid w:val="00C45A06"/>
    <w:rsid w:val="00C47E5B"/>
    <w:rsid w:val="00C50C33"/>
    <w:rsid w:val="00C539FE"/>
    <w:rsid w:val="00C55296"/>
    <w:rsid w:val="00C556D7"/>
    <w:rsid w:val="00C56C15"/>
    <w:rsid w:val="00C6108B"/>
    <w:rsid w:val="00C6142C"/>
    <w:rsid w:val="00C61E4B"/>
    <w:rsid w:val="00C62CCF"/>
    <w:rsid w:val="00C634A7"/>
    <w:rsid w:val="00C639CA"/>
    <w:rsid w:val="00C64882"/>
    <w:rsid w:val="00C64BFF"/>
    <w:rsid w:val="00C65597"/>
    <w:rsid w:val="00C666F3"/>
    <w:rsid w:val="00C679A0"/>
    <w:rsid w:val="00C70448"/>
    <w:rsid w:val="00C704E9"/>
    <w:rsid w:val="00C718CD"/>
    <w:rsid w:val="00C7365A"/>
    <w:rsid w:val="00C75D3E"/>
    <w:rsid w:val="00C763C9"/>
    <w:rsid w:val="00C7658F"/>
    <w:rsid w:val="00C7746E"/>
    <w:rsid w:val="00C77570"/>
    <w:rsid w:val="00C80057"/>
    <w:rsid w:val="00C814E2"/>
    <w:rsid w:val="00C81C89"/>
    <w:rsid w:val="00C82232"/>
    <w:rsid w:val="00C82913"/>
    <w:rsid w:val="00C8327D"/>
    <w:rsid w:val="00C83D47"/>
    <w:rsid w:val="00C846C2"/>
    <w:rsid w:val="00C849A3"/>
    <w:rsid w:val="00C86203"/>
    <w:rsid w:val="00C8704B"/>
    <w:rsid w:val="00C90778"/>
    <w:rsid w:val="00C92A76"/>
    <w:rsid w:val="00C92C3A"/>
    <w:rsid w:val="00C932D8"/>
    <w:rsid w:val="00C940C6"/>
    <w:rsid w:val="00C94F97"/>
    <w:rsid w:val="00C95163"/>
    <w:rsid w:val="00C972B1"/>
    <w:rsid w:val="00C97AD6"/>
    <w:rsid w:val="00CA1704"/>
    <w:rsid w:val="00CA2A0B"/>
    <w:rsid w:val="00CA2CCE"/>
    <w:rsid w:val="00CA3FF1"/>
    <w:rsid w:val="00CA43FD"/>
    <w:rsid w:val="00CA52CD"/>
    <w:rsid w:val="00CA6E1A"/>
    <w:rsid w:val="00CA7EF8"/>
    <w:rsid w:val="00CB06E2"/>
    <w:rsid w:val="00CB4CFE"/>
    <w:rsid w:val="00CC489B"/>
    <w:rsid w:val="00CC5A80"/>
    <w:rsid w:val="00CC653A"/>
    <w:rsid w:val="00CC7147"/>
    <w:rsid w:val="00CD2BCD"/>
    <w:rsid w:val="00CD2DA1"/>
    <w:rsid w:val="00CD30EC"/>
    <w:rsid w:val="00CD3A4C"/>
    <w:rsid w:val="00CD7EC2"/>
    <w:rsid w:val="00CE0BED"/>
    <w:rsid w:val="00CE10E9"/>
    <w:rsid w:val="00CE2910"/>
    <w:rsid w:val="00CE495E"/>
    <w:rsid w:val="00CE4E70"/>
    <w:rsid w:val="00CE5393"/>
    <w:rsid w:val="00CE55D6"/>
    <w:rsid w:val="00CE5805"/>
    <w:rsid w:val="00CE5D19"/>
    <w:rsid w:val="00CE7D99"/>
    <w:rsid w:val="00CF1A3A"/>
    <w:rsid w:val="00CF2C90"/>
    <w:rsid w:val="00CF36BE"/>
    <w:rsid w:val="00CF3709"/>
    <w:rsid w:val="00CF6000"/>
    <w:rsid w:val="00CF6992"/>
    <w:rsid w:val="00CF6FEC"/>
    <w:rsid w:val="00D003F3"/>
    <w:rsid w:val="00D02402"/>
    <w:rsid w:val="00D0364F"/>
    <w:rsid w:val="00D06834"/>
    <w:rsid w:val="00D1124B"/>
    <w:rsid w:val="00D11471"/>
    <w:rsid w:val="00D11C6B"/>
    <w:rsid w:val="00D12094"/>
    <w:rsid w:val="00D1268B"/>
    <w:rsid w:val="00D13CFB"/>
    <w:rsid w:val="00D16E69"/>
    <w:rsid w:val="00D171D9"/>
    <w:rsid w:val="00D175F4"/>
    <w:rsid w:val="00D17C72"/>
    <w:rsid w:val="00D20B2C"/>
    <w:rsid w:val="00D22017"/>
    <w:rsid w:val="00D23311"/>
    <w:rsid w:val="00D24068"/>
    <w:rsid w:val="00D24565"/>
    <w:rsid w:val="00D25240"/>
    <w:rsid w:val="00D308ED"/>
    <w:rsid w:val="00D30E17"/>
    <w:rsid w:val="00D31061"/>
    <w:rsid w:val="00D318A1"/>
    <w:rsid w:val="00D31B8C"/>
    <w:rsid w:val="00D31D00"/>
    <w:rsid w:val="00D3347C"/>
    <w:rsid w:val="00D340AC"/>
    <w:rsid w:val="00D3682D"/>
    <w:rsid w:val="00D36D86"/>
    <w:rsid w:val="00D374C0"/>
    <w:rsid w:val="00D37BF8"/>
    <w:rsid w:val="00D408A5"/>
    <w:rsid w:val="00D417E3"/>
    <w:rsid w:val="00D428AA"/>
    <w:rsid w:val="00D43418"/>
    <w:rsid w:val="00D43B99"/>
    <w:rsid w:val="00D454FE"/>
    <w:rsid w:val="00D45A36"/>
    <w:rsid w:val="00D4674E"/>
    <w:rsid w:val="00D469E1"/>
    <w:rsid w:val="00D46C94"/>
    <w:rsid w:val="00D47ABE"/>
    <w:rsid w:val="00D501A3"/>
    <w:rsid w:val="00D50A34"/>
    <w:rsid w:val="00D50B56"/>
    <w:rsid w:val="00D53D60"/>
    <w:rsid w:val="00D53EFA"/>
    <w:rsid w:val="00D54F75"/>
    <w:rsid w:val="00D55E80"/>
    <w:rsid w:val="00D56139"/>
    <w:rsid w:val="00D57436"/>
    <w:rsid w:val="00D60D77"/>
    <w:rsid w:val="00D61823"/>
    <w:rsid w:val="00D62F20"/>
    <w:rsid w:val="00D65706"/>
    <w:rsid w:val="00D659C0"/>
    <w:rsid w:val="00D67E3E"/>
    <w:rsid w:val="00D67F3A"/>
    <w:rsid w:val="00D7223C"/>
    <w:rsid w:val="00D73320"/>
    <w:rsid w:val="00D73C54"/>
    <w:rsid w:val="00D75CC6"/>
    <w:rsid w:val="00D76BA6"/>
    <w:rsid w:val="00D76EE1"/>
    <w:rsid w:val="00D80149"/>
    <w:rsid w:val="00D81338"/>
    <w:rsid w:val="00D83E04"/>
    <w:rsid w:val="00D847EF"/>
    <w:rsid w:val="00D863BA"/>
    <w:rsid w:val="00D87BC1"/>
    <w:rsid w:val="00D9053D"/>
    <w:rsid w:val="00D9063E"/>
    <w:rsid w:val="00D93284"/>
    <w:rsid w:val="00D93438"/>
    <w:rsid w:val="00D94A7C"/>
    <w:rsid w:val="00D94A8A"/>
    <w:rsid w:val="00D94D47"/>
    <w:rsid w:val="00D95896"/>
    <w:rsid w:val="00D9618D"/>
    <w:rsid w:val="00D96624"/>
    <w:rsid w:val="00D96A67"/>
    <w:rsid w:val="00D972D0"/>
    <w:rsid w:val="00DA2AE9"/>
    <w:rsid w:val="00DA4F47"/>
    <w:rsid w:val="00DA59FB"/>
    <w:rsid w:val="00DA7BD3"/>
    <w:rsid w:val="00DB0B3D"/>
    <w:rsid w:val="00DB2983"/>
    <w:rsid w:val="00DB306C"/>
    <w:rsid w:val="00DB3CB1"/>
    <w:rsid w:val="00DB3CC0"/>
    <w:rsid w:val="00DB4F0F"/>
    <w:rsid w:val="00DB54F7"/>
    <w:rsid w:val="00DB6B36"/>
    <w:rsid w:val="00DB7828"/>
    <w:rsid w:val="00DC0493"/>
    <w:rsid w:val="00DC1257"/>
    <w:rsid w:val="00DC3DC0"/>
    <w:rsid w:val="00DC44C3"/>
    <w:rsid w:val="00DC4608"/>
    <w:rsid w:val="00DC47B4"/>
    <w:rsid w:val="00DC5B2B"/>
    <w:rsid w:val="00DC719C"/>
    <w:rsid w:val="00DD0546"/>
    <w:rsid w:val="00DD09E3"/>
    <w:rsid w:val="00DD1298"/>
    <w:rsid w:val="00DD25B6"/>
    <w:rsid w:val="00DD318D"/>
    <w:rsid w:val="00DD3B41"/>
    <w:rsid w:val="00DD42B1"/>
    <w:rsid w:val="00DD699E"/>
    <w:rsid w:val="00DD6CF8"/>
    <w:rsid w:val="00DE177F"/>
    <w:rsid w:val="00DE19B5"/>
    <w:rsid w:val="00DE1AB0"/>
    <w:rsid w:val="00DE5A93"/>
    <w:rsid w:val="00DE5C44"/>
    <w:rsid w:val="00DE60DF"/>
    <w:rsid w:val="00DE70FF"/>
    <w:rsid w:val="00DF0747"/>
    <w:rsid w:val="00DF1207"/>
    <w:rsid w:val="00DF2C09"/>
    <w:rsid w:val="00DF2E12"/>
    <w:rsid w:val="00DF3465"/>
    <w:rsid w:val="00DF514A"/>
    <w:rsid w:val="00DF6690"/>
    <w:rsid w:val="00DF6804"/>
    <w:rsid w:val="00DF6F71"/>
    <w:rsid w:val="00DF7C05"/>
    <w:rsid w:val="00E0105F"/>
    <w:rsid w:val="00E014DE"/>
    <w:rsid w:val="00E0358D"/>
    <w:rsid w:val="00E0415D"/>
    <w:rsid w:val="00E04323"/>
    <w:rsid w:val="00E04D66"/>
    <w:rsid w:val="00E05F76"/>
    <w:rsid w:val="00E070A2"/>
    <w:rsid w:val="00E07A5C"/>
    <w:rsid w:val="00E10F10"/>
    <w:rsid w:val="00E13DAA"/>
    <w:rsid w:val="00E15D16"/>
    <w:rsid w:val="00E17AA8"/>
    <w:rsid w:val="00E2656A"/>
    <w:rsid w:val="00E3017B"/>
    <w:rsid w:val="00E33B96"/>
    <w:rsid w:val="00E34B1E"/>
    <w:rsid w:val="00E37422"/>
    <w:rsid w:val="00E37DE6"/>
    <w:rsid w:val="00E408BB"/>
    <w:rsid w:val="00E412D0"/>
    <w:rsid w:val="00E436B9"/>
    <w:rsid w:val="00E43B81"/>
    <w:rsid w:val="00E44750"/>
    <w:rsid w:val="00E46D18"/>
    <w:rsid w:val="00E4727F"/>
    <w:rsid w:val="00E47292"/>
    <w:rsid w:val="00E47A8E"/>
    <w:rsid w:val="00E50C45"/>
    <w:rsid w:val="00E52032"/>
    <w:rsid w:val="00E52536"/>
    <w:rsid w:val="00E525B0"/>
    <w:rsid w:val="00E5272F"/>
    <w:rsid w:val="00E55F7E"/>
    <w:rsid w:val="00E56322"/>
    <w:rsid w:val="00E60452"/>
    <w:rsid w:val="00E60982"/>
    <w:rsid w:val="00E62C62"/>
    <w:rsid w:val="00E6492F"/>
    <w:rsid w:val="00E64FE9"/>
    <w:rsid w:val="00E654C1"/>
    <w:rsid w:val="00E65D97"/>
    <w:rsid w:val="00E675D0"/>
    <w:rsid w:val="00E67DAF"/>
    <w:rsid w:val="00E71E22"/>
    <w:rsid w:val="00E72A5A"/>
    <w:rsid w:val="00E72C0C"/>
    <w:rsid w:val="00E73354"/>
    <w:rsid w:val="00E745B6"/>
    <w:rsid w:val="00E755A7"/>
    <w:rsid w:val="00E7563B"/>
    <w:rsid w:val="00E7740F"/>
    <w:rsid w:val="00E823CD"/>
    <w:rsid w:val="00E83FA5"/>
    <w:rsid w:val="00E840BD"/>
    <w:rsid w:val="00E844EB"/>
    <w:rsid w:val="00E878C9"/>
    <w:rsid w:val="00E87CCD"/>
    <w:rsid w:val="00E91ED8"/>
    <w:rsid w:val="00E9242D"/>
    <w:rsid w:val="00E9412B"/>
    <w:rsid w:val="00E94CCC"/>
    <w:rsid w:val="00E9599C"/>
    <w:rsid w:val="00E972C2"/>
    <w:rsid w:val="00EA07B8"/>
    <w:rsid w:val="00EA0D38"/>
    <w:rsid w:val="00EA31BA"/>
    <w:rsid w:val="00EA3DA6"/>
    <w:rsid w:val="00EA5CB3"/>
    <w:rsid w:val="00EA5F15"/>
    <w:rsid w:val="00EA6132"/>
    <w:rsid w:val="00EA6245"/>
    <w:rsid w:val="00EA780C"/>
    <w:rsid w:val="00EB2289"/>
    <w:rsid w:val="00EB2AA8"/>
    <w:rsid w:val="00EB3587"/>
    <w:rsid w:val="00EB3AD3"/>
    <w:rsid w:val="00EB5255"/>
    <w:rsid w:val="00EB5623"/>
    <w:rsid w:val="00EB5C47"/>
    <w:rsid w:val="00EB5FC1"/>
    <w:rsid w:val="00EB675C"/>
    <w:rsid w:val="00EB7CE3"/>
    <w:rsid w:val="00EC03A0"/>
    <w:rsid w:val="00EC1500"/>
    <w:rsid w:val="00EC2DFC"/>
    <w:rsid w:val="00EC2E03"/>
    <w:rsid w:val="00EC51AD"/>
    <w:rsid w:val="00EC7238"/>
    <w:rsid w:val="00EC7B94"/>
    <w:rsid w:val="00ED02D2"/>
    <w:rsid w:val="00ED0639"/>
    <w:rsid w:val="00ED156C"/>
    <w:rsid w:val="00ED1CD5"/>
    <w:rsid w:val="00ED1E2A"/>
    <w:rsid w:val="00ED1EB1"/>
    <w:rsid w:val="00ED6B37"/>
    <w:rsid w:val="00ED734D"/>
    <w:rsid w:val="00ED7420"/>
    <w:rsid w:val="00EE0F13"/>
    <w:rsid w:val="00EE2B5E"/>
    <w:rsid w:val="00EE658E"/>
    <w:rsid w:val="00EF0F4E"/>
    <w:rsid w:val="00EF3662"/>
    <w:rsid w:val="00EF3B80"/>
    <w:rsid w:val="00EF40BD"/>
    <w:rsid w:val="00EF4755"/>
    <w:rsid w:val="00EF7135"/>
    <w:rsid w:val="00F00368"/>
    <w:rsid w:val="00F027DB"/>
    <w:rsid w:val="00F028C8"/>
    <w:rsid w:val="00F061EB"/>
    <w:rsid w:val="00F06AB8"/>
    <w:rsid w:val="00F103BB"/>
    <w:rsid w:val="00F10B9F"/>
    <w:rsid w:val="00F11735"/>
    <w:rsid w:val="00F126FB"/>
    <w:rsid w:val="00F14035"/>
    <w:rsid w:val="00F14A7A"/>
    <w:rsid w:val="00F14E02"/>
    <w:rsid w:val="00F203DF"/>
    <w:rsid w:val="00F22985"/>
    <w:rsid w:val="00F2331F"/>
    <w:rsid w:val="00F23680"/>
    <w:rsid w:val="00F23D1D"/>
    <w:rsid w:val="00F2469F"/>
    <w:rsid w:val="00F25CD8"/>
    <w:rsid w:val="00F26738"/>
    <w:rsid w:val="00F26BF0"/>
    <w:rsid w:val="00F313A3"/>
    <w:rsid w:val="00F3201A"/>
    <w:rsid w:val="00F32081"/>
    <w:rsid w:val="00F327D2"/>
    <w:rsid w:val="00F3299D"/>
    <w:rsid w:val="00F32CFA"/>
    <w:rsid w:val="00F3383E"/>
    <w:rsid w:val="00F3626F"/>
    <w:rsid w:val="00F40321"/>
    <w:rsid w:val="00F43AD6"/>
    <w:rsid w:val="00F43BA4"/>
    <w:rsid w:val="00F460C6"/>
    <w:rsid w:val="00F465A7"/>
    <w:rsid w:val="00F50164"/>
    <w:rsid w:val="00F5085A"/>
    <w:rsid w:val="00F50ADE"/>
    <w:rsid w:val="00F50B7C"/>
    <w:rsid w:val="00F53DF5"/>
    <w:rsid w:val="00F54D87"/>
    <w:rsid w:val="00F550E6"/>
    <w:rsid w:val="00F55CCB"/>
    <w:rsid w:val="00F5737A"/>
    <w:rsid w:val="00F615A2"/>
    <w:rsid w:val="00F64389"/>
    <w:rsid w:val="00F64E57"/>
    <w:rsid w:val="00F6705D"/>
    <w:rsid w:val="00F67277"/>
    <w:rsid w:val="00F717BE"/>
    <w:rsid w:val="00F71F83"/>
    <w:rsid w:val="00F724CA"/>
    <w:rsid w:val="00F72B34"/>
    <w:rsid w:val="00F74345"/>
    <w:rsid w:val="00F76482"/>
    <w:rsid w:val="00F764A8"/>
    <w:rsid w:val="00F80A0A"/>
    <w:rsid w:val="00F82B19"/>
    <w:rsid w:val="00F847FF"/>
    <w:rsid w:val="00F86810"/>
    <w:rsid w:val="00F873C2"/>
    <w:rsid w:val="00F877BA"/>
    <w:rsid w:val="00F9103D"/>
    <w:rsid w:val="00F91F01"/>
    <w:rsid w:val="00F9212D"/>
    <w:rsid w:val="00F92601"/>
    <w:rsid w:val="00F94FC5"/>
    <w:rsid w:val="00F954A9"/>
    <w:rsid w:val="00F95661"/>
    <w:rsid w:val="00F965DA"/>
    <w:rsid w:val="00F97C59"/>
    <w:rsid w:val="00FA406A"/>
    <w:rsid w:val="00FA7B96"/>
    <w:rsid w:val="00FA7F52"/>
    <w:rsid w:val="00FB0F57"/>
    <w:rsid w:val="00FB170C"/>
    <w:rsid w:val="00FB2574"/>
    <w:rsid w:val="00FB503A"/>
    <w:rsid w:val="00FB516C"/>
    <w:rsid w:val="00FC089E"/>
    <w:rsid w:val="00FC1662"/>
    <w:rsid w:val="00FC3BE0"/>
    <w:rsid w:val="00FC4939"/>
    <w:rsid w:val="00FC5CA6"/>
    <w:rsid w:val="00FC68EF"/>
    <w:rsid w:val="00FD0236"/>
    <w:rsid w:val="00FD18F4"/>
    <w:rsid w:val="00FD23A9"/>
    <w:rsid w:val="00FD3660"/>
    <w:rsid w:val="00FD54DB"/>
    <w:rsid w:val="00FD619F"/>
    <w:rsid w:val="00FD71E1"/>
    <w:rsid w:val="00FE0A25"/>
    <w:rsid w:val="00FE16C0"/>
    <w:rsid w:val="00FE3FFB"/>
    <w:rsid w:val="00FE54E4"/>
    <w:rsid w:val="00FE6AC0"/>
    <w:rsid w:val="00FE76E8"/>
    <w:rsid w:val="00FF0976"/>
    <w:rsid w:val="00FF206D"/>
    <w:rsid w:val="00FF3ED7"/>
    <w:rsid w:val="00FF58CE"/>
    <w:rsid w:val="00FF615E"/>
    <w:rsid w:val="00FF7E13"/>
    <w:rsid w:val="011454F9"/>
    <w:rsid w:val="01290F7E"/>
    <w:rsid w:val="013C272D"/>
    <w:rsid w:val="015D1E09"/>
    <w:rsid w:val="016C4C19"/>
    <w:rsid w:val="01964E52"/>
    <w:rsid w:val="01A0313A"/>
    <w:rsid w:val="021C461D"/>
    <w:rsid w:val="02697903"/>
    <w:rsid w:val="02774E21"/>
    <w:rsid w:val="02AB6198"/>
    <w:rsid w:val="02EF0302"/>
    <w:rsid w:val="02F96569"/>
    <w:rsid w:val="03343439"/>
    <w:rsid w:val="033543E3"/>
    <w:rsid w:val="03B64856"/>
    <w:rsid w:val="03D1402B"/>
    <w:rsid w:val="03EA7B21"/>
    <w:rsid w:val="03F0319C"/>
    <w:rsid w:val="04152F96"/>
    <w:rsid w:val="041B75AD"/>
    <w:rsid w:val="04642403"/>
    <w:rsid w:val="04915386"/>
    <w:rsid w:val="04AE7167"/>
    <w:rsid w:val="04C7345C"/>
    <w:rsid w:val="052D4FD8"/>
    <w:rsid w:val="05692BD6"/>
    <w:rsid w:val="05714465"/>
    <w:rsid w:val="05AA3D38"/>
    <w:rsid w:val="05F83EAE"/>
    <w:rsid w:val="060D1384"/>
    <w:rsid w:val="06106D2E"/>
    <w:rsid w:val="063B1344"/>
    <w:rsid w:val="063E7D85"/>
    <w:rsid w:val="06C04DE4"/>
    <w:rsid w:val="07293586"/>
    <w:rsid w:val="07295285"/>
    <w:rsid w:val="07457CCE"/>
    <w:rsid w:val="07636392"/>
    <w:rsid w:val="076B6701"/>
    <w:rsid w:val="07770C56"/>
    <w:rsid w:val="08106181"/>
    <w:rsid w:val="083F1958"/>
    <w:rsid w:val="087137A5"/>
    <w:rsid w:val="088764C8"/>
    <w:rsid w:val="08940749"/>
    <w:rsid w:val="089F54D9"/>
    <w:rsid w:val="090A40B3"/>
    <w:rsid w:val="092217DD"/>
    <w:rsid w:val="09224641"/>
    <w:rsid w:val="093A7294"/>
    <w:rsid w:val="0942299C"/>
    <w:rsid w:val="098033FF"/>
    <w:rsid w:val="0A114D1A"/>
    <w:rsid w:val="0A263528"/>
    <w:rsid w:val="0A263993"/>
    <w:rsid w:val="0A2D3AC2"/>
    <w:rsid w:val="0A3567D8"/>
    <w:rsid w:val="0A7279A9"/>
    <w:rsid w:val="0AA755DF"/>
    <w:rsid w:val="0AAF064A"/>
    <w:rsid w:val="0ACF06BA"/>
    <w:rsid w:val="0B0006C6"/>
    <w:rsid w:val="0B120D44"/>
    <w:rsid w:val="0BB60AD4"/>
    <w:rsid w:val="0BBF7796"/>
    <w:rsid w:val="0BD27BF6"/>
    <w:rsid w:val="0C3B3C7D"/>
    <w:rsid w:val="0C537A8B"/>
    <w:rsid w:val="0C65246D"/>
    <w:rsid w:val="0C813889"/>
    <w:rsid w:val="0CA8688B"/>
    <w:rsid w:val="0CAA2036"/>
    <w:rsid w:val="0CAB2EAE"/>
    <w:rsid w:val="0CBE52DD"/>
    <w:rsid w:val="0CC54186"/>
    <w:rsid w:val="0CCB061E"/>
    <w:rsid w:val="0CD6602D"/>
    <w:rsid w:val="0CEF6424"/>
    <w:rsid w:val="0CF12CA2"/>
    <w:rsid w:val="0D621C7D"/>
    <w:rsid w:val="0DB564F7"/>
    <w:rsid w:val="0DFD4B76"/>
    <w:rsid w:val="0E73034D"/>
    <w:rsid w:val="0E9074FC"/>
    <w:rsid w:val="0EBE28C6"/>
    <w:rsid w:val="0EC26F7D"/>
    <w:rsid w:val="0EC326B9"/>
    <w:rsid w:val="0EC8676A"/>
    <w:rsid w:val="0F13775A"/>
    <w:rsid w:val="0F1C4D76"/>
    <w:rsid w:val="0F297F1D"/>
    <w:rsid w:val="0F55548D"/>
    <w:rsid w:val="0F5F45FE"/>
    <w:rsid w:val="0F8451AF"/>
    <w:rsid w:val="0F8C14E8"/>
    <w:rsid w:val="0F9A112B"/>
    <w:rsid w:val="0FF74BED"/>
    <w:rsid w:val="10166590"/>
    <w:rsid w:val="103A155A"/>
    <w:rsid w:val="106D2F64"/>
    <w:rsid w:val="10854A12"/>
    <w:rsid w:val="10892FC3"/>
    <w:rsid w:val="108931C0"/>
    <w:rsid w:val="10913E2E"/>
    <w:rsid w:val="10A93DE7"/>
    <w:rsid w:val="10B63710"/>
    <w:rsid w:val="10D06513"/>
    <w:rsid w:val="10DB5B8E"/>
    <w:rsid w:val="10F10820"/>
    <w:rsid w:val="111C2F7A"/>
    <w:rsid w:val="115033DA"/>
    <w:rsid w:val="11665CA1"/>
    <w:rsid w:val="1198426E"/>
    <w:rsid w:val="11AD6F74"/>
    <w:rsid w:val="11BE0CED"/>
    <w:rsid w:val="11C23998"/>
    <w:rsid w:val="120A03E2"/>
    <w:rsid w:val="120E373B"/>
    <w:rsid w:val="121F51F4"/>
    <w:rsid w:val="1224317D"/>
    <w:rsid w:val="12392222"/>
    <w:rsid w:val="123F2702"/>
    <w:rsid w:val="12CC6DD5"/>
    <w:rsid w:val="12CE3C9C"/>
    <w:rsid w:val="13317DF4"/>
    <w:rsid w:val="13951726"/>
    <w:rsid w:val="14396509"/>
    <w:rsid w:val="14B6157F"/>
    <w:rsid w:val="14DD2C3C"/>
    <w:rsid w:val="16087E1D"/>
    <w:rsid w:val="1637336C"/>
    <w:rsid w:val="16456CD8"/>
    <w:rsid w:val="169B49F3"/>
    <w:rsid w:val="16BE3E40"/>
    <w:rsid w:val="16DB631A"/>
    <w:rsid w:val="16F40EC6"/>
    <w:rsid w:val="172C5C09"/>
    <w:rsid w:val="1736338A"/>
    <w:rsid w:val="17701D14"/>
    <w:rsid w:val="17735226"/>
    <w:rsid w:val="178F0015"/>
    <w:rsid w:val="17CC05B4"/>
    <w:rsid w:val="17D45C61"/>
    <w:rsid w:val="17E65A95"/>
    <w:rsid w:val="181F2BD6"/>
    <w:rsid w:val="189F624C"/>
    <w:rsid w:val="18AB41E7"/>
    <w:rsid w:val="18C53099"/>
    <w:rsid w:val="19573E06"/>
    <w:rsid w:val="195A3E89"/>
    <w:rsid w:val="19651AD8"/>
    <w:rsid w:val="198620D6"/>
    <w:rsid w:val="19932AE0"/>
    <w:rsid w:val="199E1AF8"/>
    <w:rsid w:val="19B17E87"/>
    <w:rsid w:val="19C226EB"/>
    <w:rsid w:val="1A0D0610"/>
    <w:rsid w:val="1A1C66C0"/>
    <w:rsid w:val="1A42393B"/>
    <w:rsid w:val="1AAD45DE"/>
    <w:rsid w:val="1ACE6341"/>
    <w:rsid w:val="1AE14E8A"/>
    <w:rsid w:val="1B044BEA"/>
    <w:rsid w:val="1B046F80"/>
    <w:rsid w:val="1B0C04B5"/>
    <w:rsid w:val="1B3267B5"/>
    <w:rsid w:val="1B40161D"/>
    <w:rsid w:val="1B441859"/>
    <w:rsid w:val="1B5B73ED"/>
    <w:rsid w:val="1B644B29"/>
    <w:rsid w:val="1B6606B1"/>
    <w:rsid w:val="1B9A74D2"/>
    <w:rsid w:val="1B9B581B"/>
    <w:rsid w:val="1BDD16FA"/>
    <w:rsid w:val="1BDE6111"/>
    <w:rsid w:val="1C5E7925"/>
    <w:rsid w:val="1C6F78E3"/>
    <w:rsid w:val="1CFD070F"/>
    <w:rsid w:val="1D5F6196"/>
    <w:rsid w:val="1D6132A5"/>
    <w:rsid w:val="1D8E56D5"/>
    <w:rsid w:val="1D8E7AA4"/>
    <w:rsid w:val="1DBD03A1"/>
    <w:rsid w:val="1E474146"/>
    <w:rsid w:val="1E7A43DA"/>
    <w:rsid w:val="1E850517"/>
    <w:rsid w:val="1EE06ACD"/>
    <w:rsid w:val="1F010E6F"/>
    <w:rsid w:val="1F8257BB"/>
    <w:rsid w:val="1FE7539E"/>
    <w:rsid w:val="201F2ED3"/>
    <w:rsid w:val="20671BE0"/>
    <w:rsid w:val="20963CB8"/>
    <w:rsid w:val="2098343E"/>
    <w:rsid w:val="20A81A1B"/>
    <w:rsid w:val="20B07FB6"/>
    <w:rsid w:val="20B646FB"/>
    <w:rsid w:val="20FE1B70"/>
    <w:rsid w:val="211F30A1"/>
    <w:rsid w:val="21230184"/>
    <w:rsid w:val="212450B6"/>
    <w:rsid w:val="213B74B1"/>
    <w:rsid w:val="21473936"/>
    <w:rsid w:val="215A2310"/>
    <w:rsid w:val="21701179"/>
    <w:rsid w:val="21AE6B19"/>
    <w:rsid w:val="21D50D70"/>
    <w:rsid w:val="21DE318A"/>
    <w:rsid w:val="21EF5B80"/>
    <w:rsid w:val="21F654C7"/>
    <w:rsid w:val="21FF51AF"/>
    <w:rsid w:val="222379D9"/>
    <w:rsid w:val="2243776C"/>
    <w:rsid w:val="2244761C"/>
    <w:rsid w:val="22576990"/>
    <w:rsid w:val="227E6396"/>
    <w:rsid w:val="228F0193"/>
    <w:rsid w:val="22AC0175"/>
    <w:rsid w:val="22F47480"/>
    <w:rsid w:val="234A1CAB"/>
    <w:rsid w:val="237A0D40"/>
    <w:rsid w:val="239B0C2C"/>
    <w:rsid w:val="23DE1C48"/>
    <w:rsid w:val="23EE7669"/>
    <w:rsid w:val="240210CD"/>
    <w:rsid w:val="241F6274"/>
    <w:rsid w:val="24437762"/>
    <w:rsid w:val="24BF09F7"/>
    <w:rsid w:val="252D53FE"/>
    <w:rsid w:val="259F11D1"/>
    <w:rsid w:val="25AC7BD0"/>
    <w:rsid w:val="25AE752B"/>
    <w:rsid w:val="25EC2D81"/>
    <w:rsid w:val="25F357FB"/>
    <w:rsid w:val="25F55AE2"/>
    <w:rsid w:val="25F7019A"/>
    <w:rsid w:val="261037AD"/>
    <w:rsid w:val="262B443E"/>
    <w:rsid w:val="262F74C8"/>
    <w:rsid w:val="2697590D"/>
    <w:rsid w:val="269A744F"/>
    <w:rsid w:val="26AA0553"/>
    <w:rsid w:val="271623FB"/>
    <w:rsid w:val="27334A59"/>
    <w:rsid w:val="274D72B9"/>
    <w:rsid w:val="275315FA"/>
    <w:rsid w:val="277057A2"/>
    <w:rsid w:val="27916FFA"/>
    <w:rsid w:val="2798123C"/>
    <w:rsid w:val="27E36AF0"/>
    <w:rsid w:val="280727BD"/>
    <w:rsid w:val="288E72FD"/>
    <w:rsid w:val="28941A19"/>
    <w:rsid w:val="28CF7791"/>
    <w:rsid w:val="29206EB8"/>
    <w:rsid w:val="29595666"/>
    <w:rsid w:val="29874881"/>
    <w:rsid w:val="29A82239"/>
    <w:rsid w:val="29E325E0"/>
    <w:rsid w:val="2A36793E"/>
    <w:rsid w:val="2A452503"/>
    <w:rsid w:val="2A474341"/>
    <w:rsid w:val="2AD5516A"/>
    <w:rsid w:val="2AD56FCD"/>
    <w:rsid w:val="2B1C68BF"/>
    <w:rsid w:val="2B406554"/>
    <w:rsid w:val="2B515B2E"/>
    <w:rsid w:val="2B6300AD"/>
    <w:rsid w:val="2B840642"/>
    <w:rsid w:val="2B9B322C"/>
    <w:rsid w:val="2BA936A8"/>
    <w:rsid w:val="2BDA01DD"/>
    <w:rsid w:val="2BFD0CF5"/>
    <w:rsid w:val="2C2345A6"/>
    <w:rsid w:val="2C315A5A"/>
    <w:rsid w:val="2C346697"/>
    <w:rsid w:val="2C396033"/>
    <w:rsid w:val="2C4B1C25"/>
    <w:rsid w:val="2C6913D6"/>
    <w:rsid w:val="2C6B7DB9"/>
    <w:rsid w:val="2CB82A3D"/>
    <w:rsid w:val="2CDA0223"/>
    <w:rsid w:val="2D2F0D30"/>
    <w:rsid w:val="2D930638"/>
    <w:rsid w:val="2D9E56F5"/>
    <w:rsid w:val="2DA33FB7"/>
    <w:rsid w:val="2E2520F4"/>
    <w:rsid w:val="2E667F96"/>
    <w:rsid w:val="2E8226AB"/>
    <w:rsid w:val="2E9F3BE2"/>
    <w:rsid w:val="2EFA01FE"/>
    <w:rsid w:val="2F2C3498"/>
    <w:rsid w:val="2F393B22"/>
    <w:rsid w:val="2FBF2B2A"/>
    <w:rsid w:val="2FD065E6"/>
    <w:rsid w:val="2FD828C9"/>
    <w:rsid w:val="2FD96870"/>
    <w:rsid w:val="301720BE"/>
    <w:rsid w:val="3023718A"/>
    <w:rsid w:val="30580BC9"/>
    <w:rsid w:val="30D51F34"/>
    <w:rsid w:val="30D66946"/>
    <w:rsid w:val="311E2ED7"/>
    <w:rsid w:val="31291D70"/>
    <w:rsid w:val="315619EE"/>
    <w:rsid w:val="315C449C"/>
    <w:rsid w:val="31734CE2"/>
    <w:rsid w:val="31B82709"/>
    <w:rsid w:val="31D05482"/>
    <w:rsid w:val="32400B34"/>
    <w:rsid w:val="32537D58"/>
    <w:rsid w:val="32901BC8"/>
    <w:rsid w:val="329E6876"/>
    <w:rsid w:val="332A3EB0"/>
    <w:rsid w:val="332C406F"/>
    <w:rsid w:val="332D034A"/>
    <w:rsid w:val="333015F2"/>
    <w:rsid w:val="334B6320"/>
    <w:rsid w:val="33A569E9"/>
    <w:rsid w:val="33AD2592"/>
    <w:rsid w:val="33BD79A2"/>
    <w:rsid w:val="33D934D4"/>
    <w:rsid w:val="33FE2F6A"/>
    <w:rsid w:val="340E07E5"/>
    <w:rsid w:val="34235BF7"/>
    <w:rsid w:val="344B1AFC"/>
    <w:rsid w:val="3491180A"/>
    <w:rsid w:val="34AA6C31"/>
    <w:rsid w:val="358C5FA8"/>
    <w:rsid w:val="35C15DF1"/>
    <w:rsid w:val="35E82714"/>
    <w:rsid w:val="35FE7D7C"/>
    <w:rsid w:val="36074A7F"/>
    <w:rsid w:val="36923549"/>
    <w:rsid w:val="369B7629"/>
    <w:rsid w:val="36B1339C"/>
    <w:rsid w:val="36B75FBF"/>
    <w:rsid w:val="36BD0C45"/>
    <w:rsid w:val="36D51943"/>
    <w:rsid w:val="36DB4C99"/>
    <w:rsid w:val="36E35F1F"/>
    <w:rsid w:val="36F07C6C"/>
    <w:rsid w:val="37146E1D"/>
    <w:rsid w:val="37713D8B"/>
    <w:rsid w:val="377D7653"/>
    <w:rsid w:val="37C113A9"/>
    <w:rsid w:val="37E00298"/>
    <w:rsid w:val="38605613"/>
    <w:rsid w:val="38A9311C"/>
    <w:rsid w:val="38B302F9"/>
    <w:rsid w:val="38F12CD3"/>
    <w:rsid w:val="38F94775"/>
    <w:rsid w:val="392971ED"/>
    <w:rsid w:val="39325651"/>
    <w:rsid w:val="3976662C"/>
    <w:rsid w:val="397E31C9"/>
    <w:rsid w:val="398671A3"/>
    <w:rsid w:val="398874BB"/>
    <w:rsid w:val="3A171A2C"/>
    <w:rsid w:val="3A6833C0"/>
    <w:rsid w:val="3A872856"/>
    <w:rsid w:val="3AA42797"/>
    <w:rsid w:val="3AB32F9A"/>
    <w:rsid w:val="3AB518C0"/>
    <w:rsid w:val="3ABA0476"/>
    <w:rsid w:val="3AE17EA7"/>
    <w:rsid w:val="3B2A42AB"/>
    <w:rsid w:val="3B3763D1"/>
    <w:rsid w:val="3B680AF4"/>
    <w:rsid w:val="3BEA5864"/>
    <w:rsid w:val="3C2F6E1E"/>
    <w:rsid w:val="3C4F64BA"/>
    <w:rsid w:val="3C680112"/>
    <w:rsid w:val="3C7A4768"/>
    <w:rsid w:val="3C7E5511"/>
    <w:rsid w:val="3C992621"/>
    <w:rsid w:val="3CDA245A"/>
    <w:rsid w:val="3CE77760"/>
    <w:rsid w:val="3D030DFD"/>
    <w:rsid w:val="3D1E06B7"/>
    <w:rsid w:val="3D5B0162"/>
    <w:rsid w:val="3D6C5689"/>
    <w:rsid w:val="3D6C5920"/>
    <w:rsid w:val="3E344619"/>
    <w:rsid w:val="3E8A4C92"/>
    <w:rsid w:val="3EB90DE3"/>
    <w:rsid w:val="3EDA0523"/>
    <w:rsid w:val="3EED6BB2"/>
    <w:rsid w:val="3F463146"/>
    <w:rsid w:val="3F6963CD"/>
    <w:rsid w:val="3FDC5DE7"/>
    <w:rsid w:val="3FF00AF7"/>
    <w:rsid w:val="40343B8A"/>
    <w:rsid w:val="40474F1C"/>
    <w:rsid w:val="404C389A"/>
    <w:rsid w:val="4057181D"/>
    <w:rsid w:val="407A6407"/>
    <w:rsid w:val="410322FF"/>
    <w:rsid w:val="41461244"/>
    <w:rsid w:val="41947EA6"/>
    <w:rsid w:val="41DF62AC"/>
    <w:rsid w:val="4200449D"/>
    <w:rsid w:val="420907C5"/>
    <w:rsid w:val="42256B58"/>
    <w:rsid w:val="423A3BCC"/>
    <w:rsid w:val="424E57D2"/>
    <w:rsid w:val="42552A98"/>
    <w:rsid w:val="42B26C49"/>
    <w:rsid w:val="42C85301"/>
    <w:rsid w:val="42DE5B4B"/>
    <w:rsid w:val="433A6FE6"/>
    <w:rsid w:val="43480868"/>
    <w:rsid w:val="4350713C"/>
    <w:rsid w:val="436653E0"/>
    <w:rsid w:val="438367C7"/>
    <w:rsid w:val="43C41769"/>
    <w:rsid w:val="43C4431A"/>
    <w:rsid w:val="43EE2722"/>
    <w:rsid w:val="44B951CC"/>
    <w:rsid w:val="44C83831"/>
    <w:rsid w:val="44CD14E0"/>
    <w:rsid w:val="44DC3315"/>
    <w:rsid w:val="44F20B0B"/>
    <w:rsid w:val="452E5F4C"/>
    <w:rsid w:val="45612018"/>
    <w:rsid w:val="458946E9"/>
    <w:rsid w:val="45A47C0E"/>
    <w:rsid w:val="45B50DCF"/>
    <w:rsid w:val="460E70B4"/>
    <w:rsid w:val="46577FD6"/>
    <w:rsid w:val="46907154"/>
    <w:rsid w:val="46A909CF"/>
    <w:rsid w:val="46D6365B"/>
    <w:rsid w:val="46D955A7"/>
    <w:rsid w:val="47133957"/>
    <w:rsid w:val="47697346"/>
    <w:rsid w:val="479F5AA3"/>
    <w:rsid w:val="47A07E0C"/>
    <w:rsid w:val="47A3470D"/>
    <w:rsid w:val="47AF75DC"/>
    <w:rsid w:val="47DE1851"/>
    <w:rsid w:val="4870272E"/>
    <w:rsid w:val="491672C0"/>
    <w:rsid w:val="491B3E77"/>
    <w:rsid w:val="491D17AE"/>
    <w:rsid w:val="49DC7715"/>
    <w:rsid w:val="4A023139"/>
    <w:rsid w:val="4A117FFE"/>
    <w:rsid w:val="4A4A175D"/>
    <w:rsid w:val="4A7B576F"/>
    <w:rsid w:val="4AA22B3F"/>
    <w:rsid w:val="4AAF3D92"/>
    <w:rsid w:val="4AF561A9"/>
    <w:rsid w:val="4B825E47"/>
    <w:rsid w:val="4B9E690A"/>
    <w:rsid w:val="4BD65BDD"/>
    <w:rsid w:val="4BDD3701"/>
    <w:rsid w:val="4C2A52AB"/>
    <w:rsid w:val="4C4A0649"/>
    <w:rsid w:val="4C6677BD"/>
    <w:rsid w:val="4C7E5ECA"/>
    <w:rsid w:val="4C876AA5"/>
    <w:rsid w:val="4C9343BD"/>
    <w:rsid w:val="4CCD083F"/>
    <w:rsid w:val="4D0E00FB"/>
    <w:rsid w:val="4D1464C2"/>
    <w:rsid w:val="4D176606"/>
    <w:rsid w:val="4DE42935"/>
    <w:rsid w:val="4DEC4FB0"/>
    <w:rsid w:val="4DF219E3"/>
    <w:rsid w:val="4DF93D6B"/>
    <w:rsid w:val="4E075D8A"/>
    <w:rsid w:val="4E854252"/>
    <w:rsid w:val="4EC00FAD"/>
    <w:rsid w:val="4ECE4528"/>
    <w:rsid w:val="4EF4649C"/>
    <w:rsid w:val="4F7D1ABD"/>
    <w:rsid w:val="4F9843DC"/>
    <w:rsid w:val="4F9A205C"/>
    <w:rsid w:val="4FC62A8C"/>
    <w:rsid w:val="4FE20F0D"/>
    <w:rsid w:val="4FE51552"/>
    <w:rsid w:val="50396F9D"/>
    <w:rsid w:val="50504C4B"/>
    <w:rsid w:val="509C6E7C"/>
    <w:rsid w:val="50C578A1"/>
    <w:rsid w:val="50E76576"/>
    <w:rsid w:val="5106201A"/>
    <w:rsid w:val="513503CB"/>
    <w:rsid w:val="5162104E"/>
    <w:rsid w:val="51AC2464"/>
    <w:rsid w:val="51BB71BA"/>
    <w:rsid w:val="51D955B1"/>
    <w:rsid w:val="51F467DF"/>
    <w:rsid w:val="528C0A30"/>
    <w:rsid w:val="5293127C"/>
    <w:rsid w:val="531360E3"/>
    <w:rsid w:val="532E5503"/>
    <w:rsid w:val="53431963"/>
    <w:rsid w:val="535F247A"/>
    <w:rsid w:val="53650B13"/>
    <w:rsid w:val="53A039CC"/>
    <w:rsid w:val="53A1505A"/>
    <w:rsid w:val="53BC0DA3"/>
    <w:rsid w:val="54063E08"/>
    <w:rsid w:val="542B49D5"/>
    <w:rsid w:val="5430618E"/>
    <w:rsid w:val="543437E8"/>
    <w:rsid w:val="54A60641"/>
    <w:rsid w:val="54F73313"/>
    <w:rsid w:val="54F80955"/>
    <w:rsid w:val="552A5B5D"/>
    <w:rsid w:val="555170A7"/>
    <w:rsid w:val="5587536D"/>
    <w:rsid w:val="559B174B"/>
    <w:rsid w:val="55A544AB"/>
    <w:rsid w:val="55CE0CF4"/>
    <w:rsid w:val="56225429"/>
    <w:rsid w:val="56350DBA"/>
    <w:rsid w:val="56625644"/>
    <w:rsid w:val="56B22A9C"/>
    <w:rsid w:val="5710124A"/>
    <w:rsid w:val="57541EDD"/>
    <w:rsid w:val="57B72A76"/>
    <w:rsid w:val="57BE21D9"/>
    <w:rsid w:val="57C3426C"/>
    <w:rsid w:val="57CA44C2"/>
    <w:rsid w:val="57CE1F93"/>
    <w:rsid w:val="588743D1"/>
    <w:rsid w:val="5887701A"/>
    <w:rsid w:val="58A70673"/>
    <w:rsid w:val="58FC706B"/>
    <w:rsid w:val="596B19FF"/>
    <w:rsid w:val="59A4450F"/>
    <w:rsid w:val="59C0439F"/>
    <w:rsid w:val="5A021FF8"/>
    <w:rsid w:val="5A51686A"/>
    <w:rsid w:val="5A6F512A"/>
    <w:rsid w:val="5ABE2233"/>
    <w:rsid w:val="5B5756A5"/>
    <w:rsid w:val="5B5F4BB1"/>
    <w:rsid w:val="5B631000"/>
    <w:rsid w:val="5B7653B5"/>
    <w:rsid w:val="5B8C7B68"/>
    <w:rsid w:val="5B8F1929"/>
    <w:rsid w:val="5B9F7767"/>
    <w:rsid w:val="5BD465BB"/>
    <w:rsid w:val="5BDB0425"/>
    <w:rsid w:val="5BDF5D95"/>
    <w:rsid w:val="5BFE7528"/>
    <w:rsid w:val="5C8D796A"/>
    <w:rsid w:val="5CB3647B"/>
    <w:rsid w:val="5CEE3690"/>
    <w:rsid w:val="5CEF377B"/>
    <w:rsid w:val="5CFE6CDE"/>
    <w:rsid w:val="5DAC4BE2"/>
    <w:rsid w:val="5DE87F6C"/>
    <w:rsid w:val="5DEC0101"/>
    <w:rsid w:val="5E0F513A"/>
    <w:rsid w:val="5E2467F1"/>
    <w:rsid w:val="5E51638D"/>
    <w:rsid w:val="5E6E4602"/>
    <w:rsid w:val="5EFF2886"/>
    <w:rsid w:val="5F1A2B43"/>
    <w:rsid w:val="5FB837BB"/>
    <w:rsid w:val="5FE97D4A"/>
    <w:rsid w:val="5FF208F1"/>
    <w:rsid w:val="60473E79"/>
    <w:rsid w:val="6086105E"/>
    <w:rsid w:val="60A206C0"/>
    <w:rsid w:val="60A21C1A"/>
    <w:rsid w:val="60A26C67"/>
    <w:rsid w:val="60CC405A"/>
    <w:rsid w:val="6129719A"/>
    <w:rsid w:val="61965BB0"/>
    <w:rsid w:val="61A5574C"/>
    <w:rsid w:val="61E215D8"/>
    <w:rsid w:val="61EC00DF"/>
    <w:rsid w:val="621B3775"/>
    <w:rsid w:val="62364782"/>
    <w:rsid w:val="625D4F42"/>
    <w:rsid w:val="6307001E"/>
    <w:rsid w:val="631B5933"/>
    <w:rsid w:val="634F0BD2"/>
    <w:rsid w:val="6394356A"/>
    <w:rsid w:val="63A156ED"/>
    <w:rsid w:val="63C038B5"/>
    <w:rsid w:val="63C61B2C"/>
    <w:rsid w:val="63D40BE9"/>
    <w:rsid w:val="63D52D8F"/>
    <w:rsid w:val="63F73B2E"/>
    <w:rsid w:val="64102431"/>
    <w:rsid w:val="64321FEB"/>
    <w:rsid w:val="64484336"/>
    <w:rsid w:val="64A22E46"/>
    <w:rsid w:val="64A5243A"/>
    <w:rsid w:val="64F531DE"/>
    <w:rsid w:val="65014A5A"/>
    <w:rsid w:val="65301B42"/>
    <w:rsid w:val="65373578"/>
    <w:rsid w:val="657D3ADE"/>
    <w:rsid w:val="65D846D8"/>
    <w:rsid w:val="662A77B2"/>
    <w:rsid w:val="667B7BE8"/>
    <w:rsid w:val="66F022E2"/>
    <w:rsid w:val="671B5F35"/>
    <w:rsid w:val="671F124A"/>
    <w:rsid w:val="67442F28"/>
    <w:rsid w:val="677A33C6"/>
    <w:rsid w:val="679C01D1"/>
    <w:rsid w:val="681F6961"/>
    <w:rsid w:val="68610A2F"/>
    <w:rsid w:val="68805514"/>
    <w:rsid w:val="69316E2F"/>
    <w:rsid w:val="694E2071"/>
    <w:rsid w:val="69766163"/>
    <w:rsid w:val="697A3B33"/>
    <w:rsid w:val="69B0560F"/>
    <w:rsid w:val="69D44760"/>
    <w:rsid w:val="69D57688"/>
    <w:rsid w:val="69F074AD"/>
    <w:rsid w:val="6A2975E2"/>
    <w:rsid w:val="6A520EC7"/>
    <w:rsid w:val="6A56334F"/>
    <w:rsid w:val="6A82313E"/>
    <w:rsid w:val="6A99447C"/>
    <w:rsid w:val="6ADC0B86"/>
    <w:rsid w:val="6ADF255B"/>
    <w:rsid w:val="6AF87E20"/>
    <w:rsid w:val="6B146BE1"/>
    <w:rsid w:val="6B26470D"/>
    <w:rsid w:val="6B2F33D4"/>
    <w:rsid w:val="6B322639"/>
    <w:rsid w:val="6B4253A0"/>
    <w:rsid w:val="6B6E4076"/>
    <w:rsid w:val="6B942166"/>
    <w:rsid w:val="6BC526EB"/>
    <w:rsid w:val="6C006BDF"/>
    <w:rsid w:val="6C1175B2"/>
    <w:rsid w:val="6C3765DE"/>
    <w:rsid w:val="6C5A056D"/>
    <w:rsid w:val="6C636C38"/>
    <w:rsid w:val="6C6A4767"/>
    <w:rsid w:val="6C8E0259"/>
    <w:rsid w:val="6CD7699C"/>
    <w:rsid w:val="6D095787"/>
    <w:rsid w:val="6DB34098"/>
    <w:rsid w:val="6DB545B6"/>
    <w:rsid w:val="6DB66A7A"/>
    <w:rsid w:val="6DC337D6"/>
    <w:rsid w:val="6DE02FB4"/>
    <w:rsid w:val="6DE73231"/>
    <w:rsid w:val="6E147707"/>
    <w:rsid w:val="6E514CED"/>
    <w:rsid w:val="6E8A6EA2"/>
    <w:rsid w:val="6E9C6EE9"/>
    <w:rsid w:val="6EB563D5"/>
    <w:rsid w:val="6EBF1B71"/>
    <w:rsid w:val="6ED92677"/>
    <w:rsid w:val="6EDC3EB0"/>
    <w:rsid w:val="6F030E84"/>
    <w:rsid w:val="6F225983"/>
    <w:rsid w:val="6F521868"/>
    <w:rsid w:val="6F52451C"/>
    <w:rsid w:val="6F711063"/>
    <w:rsid w:val="6FFC5590"/>
    <w:rsid w:val="701B6D4C"/>
    <w:rsid w:val="706D1DD0"/>
    <w:rsid w:val="70856B87"/>
    <w:rsid w:val="709324E2"/>
    <w:rsid w:val="70D527EE"/>
    <w:rsid w:val="70F26D0F"/>
    <w:rsid w:val="715542B0"/>
    <w:rsid w:val="715B5300"/>
    <w:rsid w:val="71723179"/>
    <w:rsid w:val="71921F41"/>
    <w:rsid w:val="71D27F8A"/>
    <w:rsid w:val="72107CAB"/>
    <w:rsid w:val="721869DD"/>
    <w:rsid w:val="72287B19"/>
    <w:rsid w:val="72553024"/>
    <w:rsid w:val="728D6991"/>
    <w:rsid w:val="72935E30"/>
    <w:rsid w:val="72C07623"/>
    <w:rsid w:val="72EB1834"/>
    <w:rsid w:val="72FB35B3"/>
    <w:rsid w:val="73122968"/>
    <w:rsid w:val="731F5D5E"/>
    <w:rsid w:val="734F5974"/>
    <w:rsid w:val="736C5700"/>
    <w:rsid w:val="736D1458"/>
    <w:rsid w:val="737F74D1"/>
    <w:rsid w:val="73C51AD5"/>
    <w:rsid w:val="73D40739"/>
    <w:rsid w:val="74110246"/>
    <w:rsid w:val="741E793C"/>
    <w:rsid w:val="745E3944"/>
    <w:rsid w:val="74833549"/>
    <w:rsid w:val="752D3222"/>
    <w:rsid w:val="75355B19"/>
    <w:rsid w:val="75565028"/>
    <w:rsid w:val="7635099D"/>
    <w:rsid w:val="76380FC0"/>
    <w:rsid w:val="76515FEC"/>
    <w:rsid w:val="769F08F1"/>
    <w:rsid w:val="76D57DD1"/>
    <w:rsid w:val="77615540"/>
    <w:rsid w:val="77762421"/>
    <w:rsid w:val="777661E3"/>
    <w:rsid w:val="778D33FF"/>
    <w:rsid w:val="77B56B1F"/>
    <w:rsid w:val="77E301D5"/>
    <w:rsid w:val="780F09F4"/>
    <w:rsid w:val="78397B5B"/>
    <w:rsid w:val="78507D81"/>
    <w:rsid w:val="786607DD"/>
    <w:rsid w:val="78A90480"/>
    <w:rsid w:val="78AF67C2"/>
    <w:rsid w:val="78E44465"/>
    <w:rsid w:val="796C12CC"/>
    <w:rsid w:val="796D7B23"/>
    <w:rsid w:val="79C3298C"/>
    <w:rsid w:val="79CD3F3A"/>
    <w:rsid w:val="7A0C68CA"/>
    <w:rsid w:val="7A364017"/>
    <w:rsid w:val="7A8265E1"/>
    <w:rsid w:val="7A9F579C"/>
    <w:rsid w:val="7AA368FC"/>
    <w:rsid w:val="7B48332C"/>
    <w:rsid w:val="7B686D42"/>
    <w:rsid w:val="7B841746"/>
    <w:rsid w:val="7B887924"/>
    <w:rsid w:val="7C485F7E"/>
    <w:rsid w:val="7C4D227B"/>
    <w:rsid w:val="7C6C5AC7"/>
    <w:rsid w:val="7C9B7160"/>
    <w:rsid w:val="7CC6544B"/>
    <w:rsid w:val="7D0239FF"/>
    <w:rsid w:val="7D2C6362"/>
    <w:rsid w:val="7D5033E1"/>
    <w:rsid w:val="7D5E40CD"/>
    <w:rsid w:val="7DC55CA1"/>
    <w:rsid w:val="7DCD56F2"/>
    <w:rsid w:val="7E52238B"/>
    <w:rsid w:val="7E536A1F"/>
    <w:rsid w:val="7E5E7472"/>
    <w:rsid w:val="7E6A77F1"/>
    <w:rsid w:val="7E721000"/>
    <w:rsid w:val="7E79036E"/>
    <w:rsid w:val="7E800F70"/>
    <w:rsid w:val="7EAF5308"/>
    <w:rsid w:val="7F001CE7"/>
    <w:rsid w:val="7F154670"/>
    <w:rsid w:val="7F1823D8"/>
    <w:rsid w:val="7F186CD4"/>
    <w:rsid w:val="7F5568A2"/>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1"/>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paragraph" w:styleId="5">
    <w:name w:val="heading 3"/>
    <w:basedOn w:val="1"/>
    <w:next w:val="1"/>
    <w:link w:val="76"/>
    <w:qFormat/>
    <w:uiPriority w:val="0"/>
    <w:pPr>
      <w:keepNext/>
      <w:keepLines/>
      <w:spacing w:before="260" w:after="260" w:line="413" w:lineRule="auto"/>
      <w:outlineLvl w:val="2"/>
    </w:pPr>
    <w:rPr>
      <w:b/>
      <w:sz w:val="32"/>
    </w:rPr>
  </w:style>
  <w:style w:type="character" w:default="1" w:styleId="29">
    <w:name w:val="Default Paragraph Font"/>
    <w:semiHidden/>
    <w:unhideWhenUsed/>
    <w:qFormat/>
    <w:uiPriority w:val="1"/>
  </w:style>
  <w:style w:type="table" w:default="1" w:styleId="27">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footer"/>
    <w:basedOn w:val="1"/>
    <w:link w:val="41"/>
    <w:qFormat/>
    <w:uiPriority w:val="99"/>
    <w:pPr>
      <w:tabs>
        <w:tab w:val="center" w:pos="4153"/>
        <w:tab w:val="right" w:pos="8306"/>
      </w:tabs>
      <w:snapToGrid w:val="0"/>
      <w:jc w:val="left"/>
    </w:pPr>
    <w:rPr>
      <w:kern w:val="0"/>
      <w:sz w:val="18"/>
      <w:szCs w:val="20"/>
    </w:rPr>
  </w:style>
  <w:style w:type="paragraph" w:styleId="6">
    <w:name w:val="List 3"/>
    <w:basedOn w:val="1"/>
    <w:unhideWhenUsed/>
    <w:qFormat/>
    <w:uiPriority w:val="99"/>
    <w:pPr>
      <w:jc w:val="center"/>
    </w:pPr>
    <w:rPr>
      <w:szCs w:val="21"/>
    </w:rPr>
  </w:style>
  <w:style w:type="paragraph" w:styleId="7">
    <w:name w:val="Note Heading"/>
    <w:basedOn w:val="1"/>
    <w:next w:val="1"/>
    <w:qFormat/>
    <w:uiPriority w:val="0"/>
    <w:pPr>
      <w:widowControl/>
      <w:jc w:val="center"/>
    </w:pPr>
    <w:rPr>
      <w:rFonts w:ascii="Calibri" w:hAnsi="Calibri"/>
      <w:kern w:val="0"/>
      <w:sz w:val="24"/>
      <w:szCs w:val="20"/>
      <w:lang w:eastAsia="en-US" w:bidi="en-US"/>
    </w:rPr>
  </w:style>
  <w:style w:type="paragraph" w:styleId="8">
    <w:name w:val="Normal Indent"/>
    <w:basedOn w:val="1"/>
    <w:next w:val="9"/>
    <w:qFormat/>
    <w:uiPriority w:val="0"/>
    <w:pPr>
      <w:ind w:firstLine="420" w:firstLineChars="200"/>
    </w:pPr>
  </w:style>
  <w:style w:type="paragraph" w:styleId="9">
    <w:name w:val="Body Text First Indent 2"/>
    <w:basedOn w:val="10"/>
    <w:next w:val="11"/>
    <w:qFormat/>
    <w:uiPriority w:val="0"/>
    <w:pPr>
      <w:ind w:firstLine="420" w:firstLineChars="200"/>
    </w:pPr>
  </w:style>
  <w:style w:type="paragraph" w:styleId="10">
    <w:name w:val="Body Text Indent"/>
    <w:basedOn w:val="1"/>
    <w:link w:val="35"/>
    <w:qFormat/>
    <w:uiPriority w:val="0"/>
    <w:pPr>
      <w:spacing w:after="120"/>
      <w:ind w:left="420" w:leftChars="200"/>
    </w:pPr>
    <w:rPr>
      <w:kern w:val="0"/>
      <w:sz w:val="24"/>
      <w:szCs w:val="20"/>
    </w:rPr>
  </w:style>
  <w:style w:type="paragraph" w:styleId="11">
    <w:name w:val="Body Text First Indent"/>
    <w:basedOn w:val="12"/>
    <w:next w:val="1"/>
    <w:qFormat/>
    <w:uiPriority w:val="0"/>
    <w:pPr>
      <w:ind w:firstLine="420" w:firstLineChars="100"/>
    </w:pPr>
  </w:style>
  <w:style w:type="paragraph" w:styleId="12">
    <w:name w:val="Body Text"/>
    <w:basedOn w:val="1"/>
    <w:next w:val="1"/>
    <w:link w:val="36"/>
    <w:qFormat/>
    <w:uiPriority w:val="0"/>
    <w:pPr>
      <w:widowControl/>
      <w:snapToGrid w:val="0"/>
      <w:spacing w:before="60" w:after="160" w:line="259" w:lineRule="auto"/>
      <w:ind w:right="113"/>
    </w:pPr>
    <w:rPr>
      <w:kern w:val="0"/>
      <w:sz w:val="18"/>
      <w:szCs w:val="20"/>
    </w:rPr>
  </w:style>
  <w:style w:type="paragraph" w:styleId="13">
    <w:name w:val="Document Map"/>
    <w:basedOn w:val="1"/>
    <w:link w:val="37"/>
    <w:qFormat/>
    <w:uiPriority w:val="0"/>
    <w:rPr>
      <w:rFonts w:ascii="宋体"/>
      <w:sz w:val="18"/>
      <w:szCs w:val="18"/>
    </w:rPr>
  </w:style>
  <w:style w:type="paragraph" w:styleId="14">
    <w:name w:val="annotation text"/>
    <w:basedOn w:val="1"/>
    <w:link w:val="38"/>
    <w:semiHidden/>
    <w:qFormat/>
    <w:uiPriority w:val="0"/>
    <w:pPr>
      <w:jc w:val="left"/>
    </w:pPr>
    <w:rPr>
      <w:kern w:val="0"/>
      <w:sz w:val="24"/>
      <w:szCs w:val="20"/>
    </w:rPr>
  </w:style>
  <w:style w:type="paragraph" w:styleId="15">
    <w:name w:val="Closing"/>
    <w:basedOn w:val="1"/>
    <w:qFormat/>
    <w:uiPriority w:val="0"/>
    <w:pPr>
      <w:ind w:left="100" w:leftChars="2100"/>
    </w:pPr>
    <w:rPr>
      <w:sz w:val="32"/>
      <w:szCs w:val="32"/>
    </w:rPr>
  </w:style>
  <w:style w:type="paragraph" w:styleId="16">
    <w:name w:val="Plain Text"/>
    <w:basedOn w:val="1"/>
    <w:qFormat/>
    <w:uiPriority w:val="0"/>
    <w:rPr>
      <w:rFonts w:hAnsi="Courier New"/>
    </w:rPr>
  </w:style>
  <w:style w:type="paragraph" w:styleId="17">
    <w:name w:val="Date"/>
    <w:basedOn w:val="1"/>
    <w:next w:val="1"/>
    <w:link w:val="39"/>
    <w:qFormat/>
    <w:uiPriority w:val="0"/>
    <w:pPr>
      <w:ind w:left="100" w:leftChars="2500"/>
    </w:pPr>
    <w:rPr>
      <w:kern w:val="0"/>
      <w:sz w:val="24"/>
      <w:szCs w:val="20"/>
    </w:rPr>
  </w:style>
  <w:style w:type="paragraph" w:styleId="18">
    <w:name w:val="Body Text Indent 2"/>
    <w:basedOn w:val="1"/>
    <w:next w:val="1"/>
    <w:qFormat/>
    <w:uiPriority w:val="0"/>
    <w:pPr>
      <w:spacing w:line="400" w:lineRule="exact"/>
      <w:ind w:firstLine="480"/>
    </w:pPr>
    <w:rPr>
      <w:sz w:val="24"/>
    </w:rPr>
  </w:style>
  <w:style w:type="paragraph" w:styleId="19">
    <w:name w:val="Balloon Text"/>
    <w:basedOn w:val="1"/>
    <w:link w:val="40"/>
    <w:semiHidden/>
    <w:qFormat/>
    <w:uiPriority w:val="0"/>
    <w:rPr>
      <w:kern w:val="0"/>
      <w:sz w:val="18"/>
      <w:szCs w:val="20"/>
    </w:rPr>
  </w:style>
  <w:style w:type="paragraph" w:styleId="20">
    <w:name w:val="header"/>
    <w:basedOn w:val="1"/>
    <w:next w:val="21"/>
    <w:link w:val="42"/>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1">
    <w:name w:val="样式5"/>
    <w:basedOn w:val="22"/>
    <w:autoRedefine/>
    <w:qFormat/>
    <w:uiPriority w:val="0"/>
    <w:pPr>
      <w:spacing w:line="380" w:lineRule="exact"/>
      <w:ind w:firstLine="566" w:firstLineChars="202"/>
    </w:pPr>
    <w:rPr>
      <w:rFonts w:eastAsia="华文行楷"/>
      <w:sz w:val="28"/>
    </w:rPr>
  </w:style>
  <w:style w:type="paragraph" w:customStyle="1" w:styleId="22">
    <w:name w:val="正文1"/>
    <w:basedOn w:val="1"/>
    <w:qFormat/>
    <w:uiPriority w:val="0"/>
    <w:pPr>
      <w:adjustRightInd w:val="0"/>
      <w:snapToGrid w:val="0"/>
      <w:spacing w:line="500" w:lineRule="atLeast"/>
      <w:ind w:firstLine="567"/>
    </w:pPr>
    <w:rPr>
      <w:sz w:val="28"/>
      <w:szCs w:val="20"/>
    </w:rPr>
  </w:style>
  <w:style w:type="paragraph" w:styleId="23">
    <w:name w:val="List"/>
    <w:basedOn w:val="1"/>
    <w:qFormat/>
    <w:uiPriority w:val="0"/>
    <w:pPr>
      <w:ind w:left="200" w:hanging="200" w:hangingChars="200"/>
    </w:pPr>
    <w:rPr>
      <w:szCs w:val="20"/>
    </w:rPr>
  </w:style>
  <w:style w:type="paragraph" w:styleId="24">
    <w:name w:val="toc 6"/>
    <w:basedOn w:val="1"/>
    <w:next w:val="1"/>
    <w:qFormat/>
    <w:uiPriority w:val="39"/>
    <w:pPr>
      <w:ind w:left="1050"/>
      <w:jc w:val="left"/>
    </w:pPr>
    <w:rPr>
      <w:rFonts w:ascii="Calibri" w:hAnsi="Calibri" w:cs="Calibri"/>
      <w:sz w:val="18"/>
      <w:szCs w:val="18"/>
    </w:rPr>
  </w:style>
  <w:style w:type="paragraph" w:styleId="25">
    <w:name w:val="Normal (Web)"/>
    <w:basedOn w:val="1"/>
    <w:link w:val="43"/>
    <w:qFormat/>
    <w:uiPriority w:val="0"/>
    <w:pPr>
      <w:widowControl/>
      <w:spacing w:before="100" w:beforeAutospacing="1" w:after="100" w:afterAutospacing="1"/>
      <w:jc w:val="left"/>
    </w:pPr>
    <w:rPr>
      <w:rFonts w:ascii="宋体" w:hAnsi="宋体"/>
      <w:kern w:val="0"/>
      <w:sz w:val="24"/>
      <w:szCs w:val="20"/>
    </w:rPr>
  </w:style>
  <w:style w:type="paragraph" w:styleId="26">
    <w:name w:val="annotation subject"/>
    <w:basedOn w:val="14"/>
    <w:next w:val="14"/>
    <w:link w:val="44"/>
    <w:semiHidden/>
    <w:qFormat/>
    <w:uiPriority w:val="0"/>
    <w:rPr>
      <w:b/>
      <w:kern w:val="2"/>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qFormat/>
    <w:uiPriority w:val="0"/>
  </w:style>
  <w:style w:type="character" w:styleId="31">
    <w:name w:val="FollowedHyperlink"/>
    <w:qFormat/>
    <w:uiPriority w:val="0"/>
    <w:rPr>
      <w:color w:val="800080"/>
      <w:u w:val="none"/>
    </w:rPr>
  </w:style>
  <w:style w:type="character" w:styleId="32">
    <w:name w:val="Emphasis"/>
    <w:qFormat/>
    <w:uiPriority w:val="0"/>
  </w:style>
  <w:style w:type="character" w:styleId="33">
    <w:name w:val="Hyperlink"/>
    <w:qFormat/>
    <w:uiPriority w:val="0"/>
    <w:rPr>
      <w:color w:val="0000FF"/>
      <w:u w:val="none"/>
    </w:rPr>
  </w:style>
  <w:style w:type="character" w:styleId="34">
    <w:name w:val="annotation reference"/>
    <w:semiHidden/>
    <w:qFormat/>
    <w:uiPriority w:val="0"/>
    <w:rPr>
      <w:sz w:val="21"/>
    </w:rPr>
  </w:style>
  <w:style w:type="character" w:customStyle="1" w:styleId="35">
    <w:name w:val="正文文本缩进 Char"/>
    <w:link w:val="10"/>
    <w:semiHidden/>
    <w:qFormat/>
    <w:uiPriority w:val="0"/>
    <w:rPr>
      <w:rFonts w:ascii="Times New Roman" w:hAnsi="Times New Roman" w:eastAsia="宋体"/>
      <w:sz w:val="24"/>
    </w:rPr>
  </w:style>
  <w:style w:type="character" w:customStyle="1" w:styleId="36">
    <w:name w:val="正文文本 Char"/>
    <w:link w:val="12"/>
    <w:qFormat/>
    <w:uiPriority w:val="0"/>
    <w:rPr>
      <w:sz w:val="18"/>
    </w:rPr>
  </w:style>
  <w:style w:type="character" w:customStyle="1" w:styleId="37">
    <w:name w:val="文档结构图 Char"/>
    <w:link w:val="13"/>
    <w:qFormat/>
    <w:uiPriority w:val="0"/>
    <w:rPr>
      <w:rFonts w:ascii="宋体"/>
      <w:kern w:val="2"/>
      <w:sz w:val="18"/>
      <w:szCs w:val="18"/>
    </w:rPr>
  </w:style>
  <w:style w:type="character" w:customStyle="1" w:styleId="38">
    <w:name w:val="批注文字 Char"/>
    <w:link w:val="14"/>
    <w:qFormat/>
    <w:uiPriority w:val="0"/>
    <w:rPr>
      <w:rFonts w:ascii="Times New Roman" w:hAnsi="Times New Roman" w:eastAsia="宋体"/>
      <w:sz w:val="24"/>
    </w:rPr>
  </w:style>
  <w:style w:type="character" w:customStyle="1" w:styleId="39">
    <w:name w:val="日期 Char"/>
    <w:link w:val="17"/>
    <w:qFormat/>
    <w:uiPriority w:val="0"/>
    <w:rPr>
      <w:rFonts w:ascii="Times New Roman" w:hAnsi="Times New Roman" w:eastAsia="宋体"/>
      <w:sz w:val="24"/>
    </w:rPr>
  </w:style>
  <w:style w:type="character" w:customStyle="1" w:styleId="40">
    <w:name w:val="批注框文本 Char"/>
    <w:link w:val="19"/>
    <w:semiHidden/>
    <w:qFormat/>
    <w:uiPriority w:val="0"/>
    <w:rPr>
      <w:rFonts w:ascii="Times New Roman" w:hAnsi="Times New Roman" w:eastAsia="宋体"/>
      <w:sz w:val="18"/>
    </w:rPr>
  </w:style>
  <w:style w:type="character" w:customStyle="1" w:styleId="41">
    <w:name w:val="页脚 Char"/>
    <w:link w:val="2"/>
    <w:qFormat/>
    <w:uiPriority w:val="99"/>
    <w:rPr>
      <w:sz w:val="18"/>
    </w:rPr>
  </w:style>
  <w:style w:type="character" w:customStyle="1" w:styleId="42">
    <w:name w:val="页眉 Char"/>
    <w:link w:val="20"/>
    <w:qFormat/>
    <w:uiPriority w:val="0"/>
    <w:rPr>
      <w:sz w:val="18"/>
    </w:rPr>
  </w:style>
  <w:style w:type="character" w:customStyle="1" w:styleId="43">
    <w:name w:val="普通(网站) Char"/>
    <w:link w:val="25"/>
    <w:qFormat/>
    <w:uiPriority w:val="0"/>
    <w:rPr>
      <w:rFonts w:ascii="宋体" w:hAnsi="宋体" w:eastAsia="宋体"/>
      <w:sz w:val="24"/>
    </w:rPr>
  </w:style>
  <w:style w:type="character" w:customStyle="1" w:styleId="44">
    <w:name w:val="批注主题 Char"/>
    <w:link w:val="26"/>
    <w:semiHidden/>
    <w:qFormat/>
    <w:uiPriority w:val="0"/>
    <w:rPr>
      <w:rFonts w:ascii="Times New Roman" w:hAnsi="Times New Roman" w:eastAsia="宋体"/>
      <w:b/>
      <w:kern w:val="2"/>
      <w:sz w:val="24"/>
    </w:rPr>
  </w:style>
  <w:style w:type="character" w:customStyle="1" w:styleId="45">
    <w:name w:val="正文文本 字符1"/>
    <w:semiHidden/>
    <w:qFormat/>
    <w:uiPriority w:val="0"/>
    <w:rPr>
      <w:rFonts w:ascii="Times New Roman" w:hAnsi="Times New Roman" w:eastAsia="宋体"/>
      <w:sz w:val="24"/>
    </w:rPr>
  </w:style>
  <w:style w:type="character" w:customStyle="1" w:styleId="46">
    <w:name w:val="disabled"/>
    <w:qFormat/>
    <w:uiPriority w:val="0"/>
    <w:rPr>
      <w:vanish/>
    </w:rPr>
  </w:style>
  <w:style w:type="character" w:customStyle="1" w:styleId="47">
    <w:name w:val="表格 Char"/>
    <w:link w:val="48"/>
    <w:qFormat/>
    <w:uiPriority w:val="0"/>
    <w:rPr>
      <w:rFonts w:ascii="宋体"/>
      <w:sz w:val="21"/>
    </w:rPr>
  </w:style>
  <w:style w:type="paragraph" w:customStyle="1" w:styleId="48">
    <w:name w:val="表格"/>
    <w:basedOn w:val="23"/>
    <w:next w:val="1"/>
    <w:link w:val="47"/>
    <w:qFormat/>
    <w:uiPriority w:val="0"/>
    <w:pPr>
      <w:adjustRightInd w:val="0"/>
      <w:snapToGrid w:val="0"/>
      <w:spacing w:beforeLines="10" w:afterLines="10" w:line="259" w:lineRule="auto"/>
      <w:jc w:val="center"/>
    </w:pPr>
    <w:rPr>
      <w:rFonts w:ascii="宋体"/>
      <w:kern w:val="0"/>
      <w:szCs w:val="20"/>
    </w:rPr>
  </w:style>
  <w:style w:type="character" w:customStyle="1" w:styleId="49">
    <w:name w:val="日期 字符"/>
    <w:semiHidden/>
    <w:qFormat/>
    <w:uiPriority w:val="0"/>
    <w:rPr>
      <w:rFonts w:ascii="Times New Roman" w:hAnsi="Times New Roman" w:eastAsia="宋体"/>
      <w:sz w:val="24"/>
    </w:rPr>
  </w:style>
  <w:style w:type="character" w:customStyle="1" w:styleId="50">
    <w:name w:val="bsharetext"/>
    <w:qFormat/>
    <w:uiPriority w:val="0"/>
  </w:style>
  <w:style w:type="character" w:customStyle="1" w:styleId="51">
    <w:name w:val="znspantitle"/>
    <w:qFormat/>
    <w:uiPriority w:val="0"/>
    <w:rPr>
      <w:b/>
      <w:color w:val="333333"/>
    </w:rPr>
  </w:style>
  <w:style w:type="character" w:customStyle="1" w:styleId="52">
    <w:name w:val="批注文字 字符1"/>
    <w:semiHidden/>
    <w:qFormat/>
    <w:uiPriority w:val="0"/>
    <w:rPr>
      <w:rFonts w:ascii="Times New Roman" w:hAnsi="Times New Roman" w:eastAsia="宋体"/>
      <w:sz w:val="24"/>
    </w:rPr>
  </w:style>
  <w:style w:type="character" w:customStyle="1" w:styleId="53">
    <w:name w:val="页脚 字符"/>
    <w:qFormat/>
    <w:uiPriority w:val="99"/>
  </w:style>
  <w:style w:type="paragraph" w:customStyle="1" w:styleId="54">
    <w:name w:val="04内文"/>
    <w:qFormat/>
    <w:uiPriority w:val="0"/>
    <w:pPr>
      <w:widowControl w:val="0"/>
      <w:adjustRightInd w:val="0"/>
      <w:snapToGrid w:val="0"/>
      <w:spacing w:line="300" w:lineRule="auto"/>
      <w:ind w:firstLine="200" w:firstLineChars="200"/>
      <w:jc w:val="both"/>
    </w:pPr>
    <w:rPr>
      <w:rFonts w:ascii="Times New Roman" w:hAnsi="Times New Roman" w:eastAsia="仿宋" w:cs="Times New Roman"/>
      <w:kern w:val="2"/>
      <w:sz w:val="28"/>
      <w:szCs w:val="28"/>
      <w:lang w:val="zh-CN" w:eastAsia="zh-CN" w:bidi="ar-SA"/>
    </w:rPr>
  </w:style>
  <w:style w:type="paragraph" w:customStyle="1" w:styleId="55">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 文"/>
    <w:basedOn w:val="54"/>
    <w:qFormat/>
    <w:uiPriority w:val="0"/>
    <w:pPr>
      <w:ind w:firstLine="560"/>
    </w:pPr>
  </w:style>
  <w:style w:type="paragraph" w:customStyle="1" w:styleId="57">
    <w:name w:val="p0"/>
    <w:basedOn w:val="1"/>
    <w:qFormat/>
    <w:uiPriority w:val="0"/>
    <w:pPr>
      <w:widowControl/>
    </w:pPr>
    <w:rPr>
      <w:kern w:val="0"/>
      <w:szCs w:val="21"/>
    </w:rPr>
  </w:style>
  <w:style w:type="paragraph" w:customStyle="1" w:styleId="58">
    <w:name w:val="表格文字"/>
    <w:basedOn w:val="1"/>
    <w:qFormat/>
    <w:uiPriority w:val="0"/>
    <w:pPr>
      <w:adjustRightInd w:val="0"/>
      <w:snapToGrid w:val="0"/>
      <w:spacing w:line="400" w:lineRule="exact"/>
      <w:jc w:val="center"/>
    </w:pPr>
    <w:rPr>
      <w:color w:val="000000"/>
      <w:kern w:val="32"/>
    </w:rPr>
  </w:style>
  <w:style w:type="paragraph" w:customStyle="1" w:styleId="59">
    <w:name w:val="正文格式"/>
    <w:basedOn w:val="1"/>
    <w:qFormat/>
    <w:uiPriority w:val="99"/>
    <w:pPr>
      <w:adjustRightInd w:val="0"/>
      <w:snapToGrid w:val="0"/>
      <w:spacing w:line="360" w:lineRule="auto"/>
      <w:ind w:firstLine="482"/>
    </w:pPr>
    <w:rPr>
      <w:sz w:val="24"/>
    </w:rPr>
  </w:style>
  <w:style w:type="paragraph" w:customStyle="1" w:styleId="60">
    <w:name w:val="三级标题"/>
    <w:basedOn w:val="61"/>
    <w:qFormat/>
    <w:uiPriority w:val="0"/>
    <w:pPr>
      <w:spacing w:before="300"/>
      <w:ind w:firstLine="0" w:firstLineChars="0"/>
      <w:outlineLvl w:val="2"/>
    </w:pPr>
    <w:rPr>
      <w:b/>
    </w:rPr>
  </w:style>
  <w:style w:type="paragraph" w:customStyle="1" w:styleId="61">
    <w:name w:val="正文01"/>
    <w:basedOn w:val="1"/>
    <w:qFormat/>
    <w:uiPriority w:val="0"/>
    <w:pPr>
      <w:spacing w:before="60" w:line="460" w:lineRule="exact"/>
      <w:ind w:firstLine="200" w:firstLineChars="200"/>
    </w:pPr>
    <w:rPr>
      <w:sz w:val="24"/>
    </w:rPr>
  </w:style>
  <w:style w:type="paragraph" w:customStyle="1" w:styleId="62">
    <w:name w:val="一级标题"/>
    <w:basedOn w:val="1"/>
    <w:qFormat/>
    <w:uiPriority w:val="0"/>
    <w:pPr>
      <w:spacing w:before="60" w:line="460" w:lineRule="exact"/>
      <w:outlineLvl w:val="0"/>
    </w:pPr>
    <w:rPr>
      <w:b/>
      <w:sz w:val="32"/>
    </w:rPr>
  </w:style>
  <w:style w:type="paragraph" w:customStyle="1" w:styleId="63">
    <w:name w:val="表格内容"/>
    <w:basedOn w:val="1"/>
    <w:qFormat/>
    <w:uiPriority w:val="0"/>
    <w:pPr>
      <w:widowControl/>
      <w:jc w:val="center"/>
    </w:pPr>
    <w:rPr>
      <w:rFonts w:eastAsia="楷体" w:cs="宋体"/>
      <w:color w:val="000000"/>
      <w:kern w:val="0"/>
      <w:szCs w:val="21"/>
    </w:rPr>
  </w:style>
  <w:style w:type="paragraph" w:customStyle="1" w:styleId="64">
    <w:name w:val="报告书-正文"/>
    <w:qFormat/>
    <w:uiPriority w:val="0"/>
    <w:pPr>
      <w:spacing w:line="360" w:lineRule="auto"/>
      <w:ind w:firstLine="480" w:firstLineChars="200"/>
      <w:jc w:val="both"/>
    </w:pPr>
    <w:rPr>
      <w:rFonts w:ascii="Times New Roman" w:hAnsi="Times New Roman" w:eastAsia="宋体" w:cs="Times New Roman"/>
      <w:bCs/>
      <w:snapToGrid w:val="0"/>
      <w:color w:val="000000"/>
      <w:sz w:val="24"/>
      <w:szCs w:val="24"/>
      <w:lang w:val="en-US" w:eastAsia="zh-CN" w:bidi="ar-SA"/>
    </w:rPr>
  </w:style>
  <w:style w:type="paragraph" w:styleId="65">
    <w:name w:val="List Paragraph"/>
    <w:basedOn w:val="1"/>
    <w:qFormat/>
    <w:uiPriority w:val="99"/>
    <w:pPr>
      <w:ind w:firstLine="420" w:firstLineChars="200"/>
    </w:pPr>
  </w:style>
  <w:style w:type="paragraph" w:customStyle="1" w:styleId="66">
    <w:name w:val="正文五号无缩进表格内容字"/>
    <w:basedOn w:val="1"/>
    <w:qFormat/>
    <w:uiPriority w:val="0"/>
    <w:pPr>
      <w:adjustRightInd w:val="0"/>
      <w:snapToGrid w:val="0"/>
    </w:pPr>
    <w:rPr>
      <w:kern w:val="0"/>
    </w:rPr>
  </w:style>
  <w:style w:type="paragraph" w:customStyle="1" w:styleId="67">
    <w:name w:val="正文(首行缩进)"/>
    <w:basedOn w:val="1"/>
    <w:qFormat/>
    <w:uiPriority w:val="0"/>
    <w:pPr>
      <w:adjustRightInd w:val="0"/>
      <w:spacing w:line="360" w:lineRule="auto"/>
      <w:ind w:firstLine="540" w:firstLineChars="225"/>
      <w:textAlignment w:val="baseline"/>
    </w:pPr>
    <w:rPr>
      <w:color w:val="000000"/>
      <w:sz w:val="24"/>
    </w:rPr>
  </w:style>
  <w:style w:type="paragraph" w:customStyle="1" w:styleId="68">
    <w:name w:val="标题4"/>
    <w:basedOn w:val="1"/>
    <w:qFormat/>
    <w:uiPriority w:val="0"/>
    <w:pPr>
      <w:keepNext/>
      <w:keepLines/>
      <w:adjustRightInd w:val="0"/>
      <w:spacing w:beforeLines="50" w:line="360" w:lineRule="auto"/>
      <w:ind w:firstLine="562"/>
      <w:outlineLvl w:val="3"/>
    </w:pPr>
    <w:rPr>
      <w:b/>
    </w:rPr>
  </w:style>
  <w:style w:type="paragraph" w:customStyle="1" w:styleId="69">
    <w:name w:val="_Style 4"/>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70">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71">
    <w:name w:val="哈哈哈哈哈"/>
    <w:basedOn w:val="56"/>
    <w:qFormat/>
    <w:uiPriority w:val="0"/>
  </w:style>
  <w:style w:type="paragraph" w:customStyle="1" w:styleId="72">
    <w:name w:val="普通(网站)2"/>
    <w:basedOn w:val="1"/>
    <w:qFormat/>
    <w:uiPriority w:val="0"/>
    <w:pPr>
      <w:widowControl/>
      <w:spacing w:before="100" w:beforeAutospacing="1" w:after="100" w:afterAutospacing="1"/>
      <w:jc w:val="left"/>
    </w:pPr>
    <w:rPr>
      <w:rFonts w:ascii="宋体" w:hAnsi="宋体"/>
      <w:sz w:val="24"/>
      <w:szCs w:val="20"/>
    </w:rPr>
  </w:style>
  <w:style w:type="table" w:customStyle="1" w:styleId="73">
    <w:name w:val="表4"/>
    <w:basedOn w:val="27"/>
    <w:qFormat/>
    <w:uiPriority w:val="99"/>
    <w:pPr>
      <w:jc w:val="center"/>
    </w:pPr>
    <w:rPr>
      <w:rFonts w:eastAsia="Times New Roman"/>
    </w:r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74">
    <w:name w:val="xl25"/>
    <w:basedOn w:val="1"/>
    <w:qFormat/>
    <w:uiPriority w:val="0"/>
    <w:pPr>
      <w:widowControl/>
      <w:pBdr>
        <w:bottom w:val="single" w:color="auto" w:sz="4" w:space="0"/>
        <w:right w:val="single" w:color="auto" w:sz="4" w:space="0"/>
      </w:pBdr>
      <w:spacing w:before="100" w:beforeAutospacing="1" w:after="100" w:afterAutospacing="1"/>
    </w:pPr>
    <w:rPr>
      <w:kern w:val="0"/>
      <w:szCs w:val="21"/>
    </w:rPr>
  </w:style>
  <w:style w:type="paragraph" w:customStyle="1" w:styleId="75">
    <w:name w:val="xl36"/>
    <w:basedOn w:val="1"/>
    <w:qFormat/>
    <w:uiPriority w:val="0"/>
    <w:pPr>
      <w:widowControl/>
      <w:pBdr>
        <w:left w:val="single" w:color="auto" w:sz="4" w:space="0"/>
        <w:right w:val="single" w:color="auto" w:sz="4" w:space="0"/>
      </w:pBdr>
      <w:spacing w:before="100" w:beforeAutospacing="1" w:after="100" w:afterAutospacing="1"/>
      <w:jc w:val="center"/>
      <w:textAlignment w:val="top"/>
    </w:pPr>
    <w:rPr>
      <w:kern w:val="0"/>
      <w:sz w:val="24"/>
    </w:rPr>
  </w:style>
  <w:style w:type="character" w:customStyle="1" w:styleId="76">
    <w:name w:val="标题 3 Char"/>
    <w:basedOn w:val="29"/>
    <w:link w:val="5"/>
    <w:qFormat/>
    <w:uiPriority w:val="0"/>
    <w:rPr>
      <w:b/>
      <w:bCs/>
      <w:kern w:val="2"/>
      <w:sz w:val="32"/>
      <w:szCs w:val="32"/>
    </w:rPr>
  </w:style>
  <w:style w:type="character" w:customStyle="1" w:styleId="77">
    <w:name w:val="标准正文 Char"/>
    <w:basedOn w:val="29"/>
    <w:link w:val="78"/>
    <w:qFormat/>
    <w:uiPriority w:val="0"/>
    <w:rPr>
      <w:rFonts w:hint="eastAsia" w:ascii="宋体" w:hAnsi="宋体" w:eastAsia="宋体" w:cs="Courier New"/>
      <w:sz w:val="24"/>
      <w:szCs w:val="24"/>
    </w:rPr>
  </w:style>
  <w:style w:type="paragraph" w:customStyle="1" w:styleId="78">
    <w:name w:val="标准正文"/>
    <w:basedOn w:val="1"/>
    <w:link w:val="77"/>
    <w:qFormat/>
    <w:uiPriority w:val="0"/>
    <w:pPr>
      <w:keepNext/>
      <w:keepLines/>
      <w:widowControl/>
      <w:snapToGrid w:val="0"/>
      <w:spacing w:beforeLines="50" w:line="360" w:lineRule="auto"/>
      <w:ind w:firstLine="200" w:firstLineChars="200"/>
    </w:pPr>
    <w:rPr>
      <w:rFonts w:hint="eastAsia" w:ascii="宋体" w:hAnsi="宋体"/>
      <w:kern w:val="0"/>
      <w:sz w:val="24"/>
    </w:rPr>
  </w:style>
  <w:style w:type="paragraph" w:customStyle="1" w:styleId="79">
    <w:name w:val="msolistparagraph"/>
    <w:basedOn w:val="1"/>
    <w:qFormat/>
    <w:uiPriority w:val="0"/>
    <w:pPr>
      <w:spacing w:line="360" w:lineRule="auto"/>
      <w:ind w:left="1321" w:hanging="362" w:firstLineChars="200"/>
    </w:pPr>
    <w:rPr>
      <w:rFonts w:hint="eastAsia" w:ascii="宋体" w:hAnsi="宋体"/>
    </w:rPr>
  </w:style>
  <w:style w:type="character" w:customStyle="1" w:styleId="80">
    <w:name w:val="列出段落 Char"/>
    <w:basedOn w:val="29"/>
    <w:qFormat/>
    <w:uiPriority w:val="0"/>
    <w:rPr>
      <w:rFonts w:hint="eastAsia" w:ascii="宋体" w:hAnsi="宋体" w:eastAsia="宋体" w:cs="宋体"/>
      <w:kern w:val="2"/>
      <w:sz w:val="21"/>
      <w:szCs w:val="24"/>
      <w:lang w:val="zh-CN" w:bidi="zh-CN"/>
    </w:rPr>
  </w:style>
  <w:style w:type="paragraph" w:customStyle="1" w:styleId="81">
    <w:name w:val="toc 65"/>
    <w:next w:val="1"/>
    <w:qFormat/>
    <w:uiPriority w:val="0"/>
    <w:pPr>
      <w:wordWrap w:val="0"/>
      <w:ind w:left="2125"/>
      <w:jc w:val="both"/>
    </w:pPr>
    <w:rPr>
      <w:rFonts w:ascii="Calibri" w:hAnsi="Calibri" w:eastAsia="宋体" w:cs="Times New Roman"/>
      <w:sz w:val="21"/>
      <w:lang w:val="en-US" w:eastAsia="zh-CN" w:bidi="ar-SA"/>
    </w:rPr>
  </w:style>
  <w:style w:type="paragraph" w:customStyle="1" w:styleId="82">
    <w:name w:val="Table Paragraph"/>
    <w:basedOn w:val="1"/>
    <w:autoRedefine/>
    <w:qFormat/>
    <w:uiPriority w:val="1"/>
    <w:pPr>
      <w:jc w:val="center"/>
    </w:pPr>
    <w:rPr>
      <w:rFonts w:ascii="宋体" w:hAnsi="宋体" w:cs="宋体"/>
    </w:rPr>
  </w:style>
  <w:style w:type="paragraph" w:customStyle="1" w:styleId="83">
    <w:name w:val="报告正文"/>
    <w:basedOn w:val="1"/>
    <w:next w:val="1"/>
    <w:autoRedefine/>
    <w:qFormat/>
    <w:uiPriority w:val="0"/>
    <w:pPr>
      <w:spacing w:line="360" w:lineRule="auto"/>
      <w:ind w:firstLine="480" w:firstLineChars="200"/>
    </w:pPr>
    <w:rPr>
      <w:rFonts w:ascii="宋体" w:hAnsi="宋体"/>
      <w:sz w:val="24"/>
    </w:rPr>
  </w:style>
  <w:style w:type="paragraph" w:customStyle="1" w:styleId="84">
    <w:name w:val="表格文本"/>
    <w:basedOn w:val="1"/>
    <w:autoRedefine/>
    <w:qFormat/>
    <w:uiPriority w:val="0"/>
    <w:pPr>
      <w:jc w:val="center"/>
    </w:pPr>
  </w:style>
  <w:style w:type="paragraph" w:customStyle="1" w:styleId="85">
    <w:name w:val="列出段落1"/>
    <w:basedOn w:val="1"/>
    <w:autoRedefine/>
    <w:qFormat/>
    <w:uiPriority w:val="34"/>
    <w:pPr>
      <w:ind w:firstLine="420" w:firstLineChars="200"/>
    </w:pPr>
  </w:style>
  <w:style w:type="paragraph" w:customStyle="1" w:styleId="86">
    <w:name w:val="表格内文字"/>
    <w:basedOn w:val="1"/>
    <w:autoRedefine/>
    <w:qFormat/>
    <w:uiPriority w:val="0"/>
    <w:pPr>
      <w:widowControl/>
      <w:jc w:val="center"/>
    </w:pPr>
    <w:rPr>
      <w:szCs w:val="21"/>
    </w:rPr>
  </w:style>
  <w:style w:type="paragraph" w:customStyle="1" w:styleId="87">
    <w:name w:val="表格文字居中"/>
    <w:basedOn w:val="1"/>
    <w:qFormat/>
    <w:uiPriority w:val="0"/>
    <w:pPr>
      <w:adjustRightInd w:val="0"/>
      <w:snapToGrid w:val="0"/>
      <w:spacing w:line="240" w:lineRule="exact"/>
      <w:jc w:val="center"/>
    </w:pPr>
    <w:rPr>
      <w:rFonts w:ascii="宋体" w:hAnsi="宋体"/>
      <w:kern w:val="0"/>
      <w:szCs w:val="21"/>
    </w:rPr>
  </w:style>
  <w:style w:type="paragraph" w:customStyle="1" w:styleId="88">
    <w:name w:val="正文首行缩进2个字"/>
    <w:basedOn w:val="1"/>
    <w:autoRedefine/>
    <w:qFormat/>
    <w:uiPriority w:val="99"/>
    <w:pPr>
      <w:spacing w:line="360" w:lineRule="auto"/>
      <w:ind w:firstLine="480" w:firstLineChars="200"/>
    </w:pPr>
    <w:rPr>
      <w:b/>
      <w:sz w:val="24"/>
      <w:u w:val="single"/>
    </w:rPr>
  </w:style>
  <w:style w:type="paragraph" w:customStyle="1" w:styleId="89">
    <w:name w:val="Char"/>
    <w:basedOn w:val="1"/>
    <w:autoRedefine/>
    <w:qFormat/>
    <w:uiPriority w:val="99"/>
    <w:pPr>
      <w:adjustRightInd w:val="0"/>
      <w:spacing w:line="360" w:lineRule="atLeast"/>
      <w:textAlignment w:val="baseline"/>
    </w:pPr>
  </w:style>
  <w:style w:type="paragraph" w:customStyle="1" w:styleId="90">
    <w:name w:val="表格标题-段前0.3行"/>
    <w:basedOn w:val="1"/>
    <w:autoRedefine/>
    <w:qFormat/>
    <w:uiPriority w:val="0"/>
    <w:pPr>
      <w:keepNext/>
      <w:keepLines/>
      <w:widowControl/>
      <w:spacing w:before="30" w:beforeLines="30"/>
      <w:jc w:val="center"/>
    </w:pPr>
    <w:rPr>
      <w:b/>
      <w:bCs/>
    </w:rPr>
  </w:style>
  <w:style w:type="paragraph" w:customStyle="1" w:styleId="91">
    <w:name w:val="常用表格样式"/>
    <w:autoRedefine/>
    <w:qFormat/>
    <w:uiPriority w:val="0"/>
    <w:pPr>
      <w:widowControl w:val="0"/>
      <w:adjustRightInd w:val="0"/>
      <w:jc w:val="center"/>
    </w:pPr>
    <w:rPr>
      <w:rFonts w:ascii="宋体" w:hAnsi="宋体" w:eastAsia="仿宋_GB2312" w:cs="宋体"/>
      <w:color w:val="000000"/>
      <w:kern w:val="2"/>
      <w:sz w:val="18"/>
      <w:szCs w:val="18"/>
      <w:lang w:val="en-US" w:eastAsia="zh-CN" w:bidi="ar-SA"/>
    </w:rPr>
  </w:style>
  <w:style w:type="paragraph" w:customStyle="1" w:styleId="92">
    <w:name w:val="0正文"/>
    <w:basedOn w:val="10"/>
    <w:next w:val="20"/>
    <w:unhideWhenUsed/>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93">
    <w:name w:val="Normal_0"/>
    <w:qFormat/>
    <w:uiPriority w:val="0"/>
    <w:pPr>
      <w:widowControl w:val="0"/>
      <w:jc w:val="both"/>
    </w:pPr>
    <w:rPr>
      <w:rFonts w:ascii="Times New Roman" w:hAnsi="Times New Roman" w:eastAsiaTheme="minorEastAsia" w:cstheme="minorBidi"/>
      <w:kern w:val="2"/>
      <w:sz w:val="21"/>
      <w:szCs w:val="24"/>
      <w:lang w:val="en-US" w:eastAsia="zh-CN" w:bidi="ar-SA"/>
    </w:rPr>
  </w:style>
  <w:style w:type="paragraph" w:customStyle="1" w:styleId="94">
    <w:name w:val="样式 方正仿宋_GBK 三号 行距: 固定值 28 磅"/>
    <w:basedOn w:val="1"/>
    <w:qFormat/>
    <w:uiPriority w:val="0"/>
    <w:pPr>
      <w:spacing w:line="360" w:lineRule="auto"/>
      <w:ind w:firstLine="200" w:firstLineChars="200"/>
      <w:jc w:val="left"/>
    </w:pPr>
    <w:rPr>
      <w:rFonts w:ascii="方正仿宋_GBK" w:hAnsi="方正仿宋_GBK" w:cs="宋体"/>
      <w:sz w:val="28"/>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89.jpeg"/><Relationship Id="rId98" Type="http://schemas.openxmlformats.org/officeDocument/2006/relationships/image" Target="media/image88.png"/><Relationship Id="rId97" Type="http://schemas.openxmlformats.org/officeDocument/2006/relationships/image" Target="media/image87.png"/><Relationship Id="rId96" Type="http://schemas.openxmlformats.org/officeDocument/2006/relationships/image" Target="media/image86.png"/><Relationship Id="rId95" Type="http://schemas.openxmlformats.org/officeDocument/2006/relationships/image" Target="media/image85.jpeg"/><Relationship Id="rId94" Type="http://schemas.openxmlformats.org/officeDocument/2006/relationships/image" Target="media/image84.png"/><Relationship Id="rId93" Type="http://schemas.openxmlformats.org/officeDocument/2006/relationships/image" Target="media/image83.png"/><Relationship Id="rId92" Type="http://schemas.openxmlformats.org/officeDocument/2006/relationships/image" Target="media/image82.png"/><Relationship Id="rId91" Type="http://schemas.openxmlformats.org/officeDocument/2006/relationships/image" Target="media/image81.png"/><Relationship Id="rId90" Type="http://schemas.openxmlformats.org/officeDocument/2006/relationships/image" Target="media/image80.png"/><Relationship Id="rId9" Type="http://schemas.openxmlformats.org/officeDocument/2006/relationships/theme" Target="theme/theme1.xml"/><Relationship Id="rId89" Type="http://schemas.openxmlformats.org/officeDocument/2006/relationships/image" Target="media/image79.png"/><Relationship Id="rId88" Type="http://schemas.openxmlformats.org/officeDocument/2006/relationships/image" Target="media/image78.png"/><Relationship Id="rId87" Type="http://schemas.openxmlformats.org/officeDocument/2006/relationships/image" Target="media/image77.png"/><Relationship Id="rId86" Type="http://schemas.openxmlformats.org/officeDocument/2006/relationships/image" Target="media/image76.png"/><Relationship Id="rId85" Type="http://schemas.openxmlformats.org/officeDocument/2006/relationships/image" Target="media/image75.png"/><Relationship Id="rId84" Type="http://schemas.openxmlformats.org/officeDocument/2006/relationships/image" Target="media/image74.png"/><Relationship Id="rId83" Type="http://schemas.openxmlformats.org/officeDocument/2006/relationships/image" Target="media/image73.png"/><Relationship Id="rId82" Type="http://schemas.openxmlformats.org/officeDocument/2006/relationships/image" Target="media/image72.png"/><Relationship Id="rId81" Type="http://schemas.openxmlformats.org/officeDocument/2006/relationships/image" Target="media/image71.png"/><Relationship Id="rId80" Type="http://schemas.openxmlformats.org/officeDocument/2006/relationships/image" Target="media/image70.png"/><Relationship Id="rId8" Type="http://schemas.openxmlformats.org/officeDocument/2006/relationships/footer" Target="footer6.xml"/><Relationship Id="rId79" Type="http://schemas.openxmlformats.org/officeDocument/2006/relationships/image" Target="media/image69.png"/><Relationship Id="rId78" Type="http://schemas.openxmlformats.org/officeDocument/2006/relationships/image" Target="media/image68.png"/><Relationship Id="rId77" Type="http://schemas.openxmlformats.org/officeDocument/2006/relationships/image" Target="media/image67.png"/><Relationship Id="rId76" Type="http://schemas.openxmlformats.org/officeDocument/2006/relationships/image" Target="media/image66.png"/><Relationship Id="rId75" Type="http://schemas.openxmlformats.org/officeDocument/2006/relationships/image" Target="media/image65.png"/><Relationship Id="rId74" Type="http://schemas.openxmlformats.org/officeDocument/2006/relationships/image" Target="media/image64.png"/><Relationship Id="rId73" Type="http://schemas.openxmlformats.org/officeDocument/2006/relationships/image" Target="media/image63.png"/><Relationship Id="rId72" Type="http://schemas.openxmlformats.org/officeDocument/2006/relationships/image" Target="media/image62.png"/><Relationship Id="rId71" Type="http://schemas.openxmlformats.org/officeDocument/2006/relationships/image" Target="media/image61.png"/><Relationship Id="rId70" Type="http://schemas.openxmlformats.org/officeDocument/2006/relationships/image" Target="media/image60.png"/><Relationship Id="rId7" Type="http://schemas.openxmlformats.org/officeDocument/2006/relationships/footer" Target="footer5.xml"/><Relationship Id="rId69" Type="http://schemas.openxmlformats.org/officeDocument/2006/relationships/image" Target="media/image59.png"/><Relationship Id="rId68" Type="http://schemas.openxmlformats.org/officeDocument/2006/relationships/image" Target="media/image58.png"/><Relationship Id="rId67" Type="http://schemas.openxmlformats.org/officeDocument/2006/relationships/image" Target="media/image57.png"/><Relationship Id="rId66" Type="http://schemas.openxmlformats.org/officeDocument/2006/relationships/image" Target="media/image56.png"/><Relationship Id="rId65" Type="http://schemas.openxmlformats.org/officeDocument/2006/relationships/image" Target="media/image55.png"/><Relationship Id="rId64" Type="http://schemas.openxmlformats.org/officeDocument/2006/relationships/image" Target="media/image54.png"/><Relationship Id="rId63" Type="http://schemas.openxmlformats.org/officeDocument/2006/relationships/image" Target="media/image53.png"/><Relationship Id="rId62" Type="http://schemas.openxmlformats.org/officeDocument/2006/relationships/image" Target="media/image52.png"/><Relationship Id="rId61" Type="http://schemas.openxmlformats.org/officeDocument/2006/relationships/image" Target="media/image51.png"/><Relationship Id="rId60" Type="http://schemas.openxmlformats.org/officeDocument/2006/relationships/image" Target="media/image50.png"/><Relationship Id="rId6" Type="http://schemas.openxmlformats.org/officeDocument/2006/relationships/footer" Target="footer4.xml"/><Relationship Id="rId59" Type="http://schemas.openxmlformats.org/officeDocument/2006/relationships/image" Target="media/image49.png"/><Relationship Id="rId58" Type="http://schemas.openxmlformats.org/officeDocument/2006/relationships/image" Target="media/image48.png"/><Relationship Id="rId57" Type="http://schemas.openxmlformats.org/officeDocument/2006/relationships/image" Target="media/image47.png"/><Relationship Id="rId56" Type="http://schemas.openxmlformats.org/officeDocument/2006/relationships/image" Target="media/image46.png"/><Relationship Id="rId55" Type="http://schemas.openxmlformats.org/officeDocument/2006/relationships/image" Target="media/image45.pn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png"/><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footer" Target="footer3.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footer" Target="footer2.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jpeg"/><Relationship Id="rId35" Type="http://schemas.openxmlformats.org/officeDocument/2006/relationships/image" Target="media/image25.jpeg"/><Relationship Id="rId34" Type="http://schemas.openxmlformats.org/officeDocument/2006/relationships/image" Target="media/image24.jpe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wmf"/><Relationship Id="rId24" Type="http://schemas.openxmlformats.org/officeDocument/2006/relationships/oleObject" Target="embeddings/oleObject1.bin"/><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6" Type="http://schemas.openxmlformats.org/officeDocument/2006/relationships/fontTable" Target="fontTable.xml"/><Relationship Id="rId115" Type="http://schemas.openxmlformats.org/officeDocument/2006/relationships/customXml" Target="../customXml/item2.xml"/><Relationship Id="rId114" Type="http://schemas.openxmlformats.org/officeDocument/2006/relationships/numbering" Target="numbering.xml"/><Relationship Id="rId113" Type="http://schemas.openxmlformats.org/officeDocument/2006/relationships/customXml" Target="../customXml/item1.xml"/><Relationship Id="rId112" Type="http://schemas.openxmlformats.org/officeDocument/2006/relationships/image" Target="media/image102.png"/><Relationship Id="rId111" Type="http://schemas.openxmlformats.org/officeDocument/2006/relationships/image" Target="media/image101.png"/><Relationship Id="rId110" Type="http://schemas.openxmlformats.org/officeDocument/2006/relationships/image" Target="media/image100.png"/><Relationship Id="rId11" Type="http://schemas.openxmlformats.org/officeDocument/2006/relationships/image" Target="media/image2.png"/><Relationship Id="rId109" Type="http://schemas.openxmlformats.org/officeDocument/2006/relationships/image" Target="media/image99.png"/><Relationship Id="rId108" Type="http://schemas.openxmlformats.org/officeDocument/2006/relationships/image" Target="media/image98.png"/><Relationship Id="rId107" Type="http://schemas.openxmlformats.org/officeDocument/2006/relationships/image" Target="media/image97.png"/><Relationship Id="rId106" Type="http://schemas.openxmlformats.org/officeDocument/2006/relationships/image" Target="media/image96.png"/><Relationship Id="rId105" Type="http://schemas.openxmlformats.org/officeDocument/2006/relationships/image" Target="media/image95.png"/><Relationship Id="rId104" Type="http://schemas.openxmlformats.org/officeDocument/2006/relationships/image" Target="media/image94.png"/><Relationship Id="rId103" Type="http://schemas.openxmlformats.org/officeDocument/2006/relationships/image" Target="media/image93.png"/><Relationship Id="rId102" Type="http://schemas.openxmlformats.org/officeDocument/2006/relationships/image" Target="media/image92.png"/><Relationship Id="rId101" Type="http://schemas.openxmlformats.org/officeDocument/2006/relationships/image" Target="media/image91.png"/><Relationship Id="rId100" Type="http://schemas.openxmlformats.org/officeDocument/2006/relationships/image" Target="media/image90.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tailEnd type="arrow"/>
        </a:ln>
      </a:spPr>
      <a:bodyPr/>
      <a:lstStyle/>
      <a:style>
        <a:lnRef idx="2">
          <a:schemeClr val="accent1"/>
        </a:lnRef>
        <a:fillRef idx="0">
          <a:srgbClr val="FFFFFF"/>
        </a:fillRef>
        <a:effectRef idx="0">
          <a:srgbClr val="FFFFFF"/>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B8EE36-A4B5-4CDF-A417-CEB8B753641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178</Pages>
  <Words>39</Words>
  <Characters>62</Characters>
  <Lines>656</Lines>
  <Paragraphs>184</Paragraphs>
  <TotalTime>34</TotalTime>
  <ScaleCrop>false</ScaleCrop>
  <LinksUpToDate>false</LinksUpToDate>
  <CharactersWithSpaces>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2025-09-29T00:42:00Z</dcterms:created>
  <dc:creator>lhj</dc:creator>
  <cp:lastModifiedBy>__没有背景丶只有背影</cp:lastModifiedBy>
  <cp:lastPrinted>2025-10-14T01:19:00Z</cp:lastPrinted>
  <dcterms:modified xsi:type="dcterms:W3CDTF">2026-07-30T05:32:19Z</dcterms:modified>
  <dc:title>附件2</dc:title>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8C2F6DFB4E7C4A2C8B50C5FC6940D3C8_13</vt:lpwstr>
  </property>
  <property fmtid="{D5CDD505-2E9C-101B-9397-08002B2CF9AE}" pid="4" name="KSOTemplateDocerSaveRecord">
    <vt:lpwstr>eyJoZGlkIjoiMjEyMmI3ZmVlMmM1OTgxMmQ4MDU1ZDJkYzIxYmYzOGYiLCJ1c2VySWQiOiIzMjk1OTc3NDgifQ==</vt:lpwstr>
  </property>
</Properties>
</file>